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6EA4C860" w:rsidR="00E66C06" w:rsidRPr="00E66C06" w:rsidRDefault="00E66C06" w:rsidP="00E66C06">
      <w:pPr>
        <w:pStyle w:val="berschrift1"/>
        <w:numPr>
          <w:ilvl w:val="0"/>
          <w:numId w:val="0"/>
        </w:numPr>
        <w:rPr>
          <w:rFonts w:asciiTheme="minorHAnsi" w:hAnsiTheme="minorHAnsi" w:cstheme="minorHAnsi"/>
          <w:color w:val="2D497A"/>
          <w:sz w:val="36"/>
          <w:szCs w:val="36"/>
        </w:rPr>
      </w:pPr>
      <w:r w:rsidRPr="00E66C06">
        <w:rPr>
          <w:rFonts w:asciiTheme="minorHAnsi" w:hAnsiTheme="minorHAnsi" w:cstheme="minorHAnsi"/>
          <w:color w:val="2D497A"/>
          <w:sz w:val="36"/>
          <w:szCs w:val="36"/>
        </w:rPr>
        <w:t xml:space="preserve">Modul </w:t>
      </w:r>
      <w:r w:rsidR="007A6393">
        <w:rPr>
          <w:rFonts w:asciiTheme="minorHAnsi" w:hAnsiTheme="minorHAnsi" w:cstheme="minorHAnsi"/>
          <w:color w:val="2D497A"/>
          <w:sz w:val="36"/>
          <w:szCs w:val="36"/>
        </w:rPr>
        <w:t xml:space="preserve">2: </w:t>
      </w:r>
      <w:proofErr w:type="spellStart"/>
      <w:r w:rsidR="007A6393" w:rsidRPr="007A6393">
        <w:rPr>
          <w:rFonts w:asciiTheme="minorHAnsi" w:hAnsiTheme="minorHAnsi" w:cstheme="minorHAnsi"/>
          <w:color w:val="2D497A"/>
          <w:sz w:val="36"/>
          <w:szCs w:val="36"/>
        </w:rPr>
        <w:t>Logshipping</w:t>
      </w:r>
      <w:proofErr w:type="spellEnd"/>
    </w:p>
    <w:p w14:paraId="66D54B98" w14:textId="77777777" w:rsidR="007B3297" w:rsidRDefault="007B3297" w:rsidP="004B2448">
      <w:pPr>
        <w:rPr>
          <w:i/>
          <w:iCs/>
          <w:color w:val="2D497A"/>
        </w:rPr>
      </w:pPr>
    </w:p>
    <w:p w14:paraId="4456CEEB" w14:textId="64CEA679" w:rsidR="004B2448" w:rsidRPr="004B2448" w:rsidRDefault="004B2448" w:rsidP="004B2448">
      <w:pPr>
        <w:rPr>
          <w:i/>
          <w:iCs/>
          <w:color w:val="2D497A"/>
        </w:rPr>
      </w:pPr>
      <w:r w:rsidRPr="004B2448">
        <w:rPr>
          <w:i/>
          <w:iCs/>
          <w:color w:val="2D497A"/>
        </w:rPr>
        <w:t>Ziel:</w:t>
      </w:r>
    </w:p>
    <w:p w14:paraId="732391D3" w14:textId="0A9ADBC1" w:rsidR="004B2448" w:rsidRPr="004B2448" w:rsidRDefault="004B2448" w:rsidP="004B2448">
      <w:pPr>
        <w:rPr>
          <w:i/>
          <w:iCs/>
          <w:color w:val="2D497A"/>
        </w:rPr>
      </w:pPr>
      <w:r w:rsidRPr="004B2448">
        <w:rPr>
          <w:i/>
          <w:iCs/>
          <w:color w:val="2D497A"/>
        </w:rPr>
        <w:t>Systemvoraussetzungen:</w:t>
      </w:r>
    </w:p>
    <w:p w14:paraId="18019115" w14:textId="62F6A253" w:rsidR="004B2448" w:rsidRPr="004B2448" w:rsidRDefault="004B2448" w:rsidP="004B2448">
      <w:pPr>
        <w:rPr>
          <w:i/>
          <w:iCs/>
          <w:color w:val="2D497A"/>
        </w:rPr>
      </w:pPr>
      <w:r w:rsidRPr="004B2448">
        <w:rPr>
          <w:i/>
          <w:iCs/>
          <w:color w:val="2D497A"/>
        </w:rPr>
        <w:t>Tools:</w:t>
      </w:r>
    </w:p>
    <w:p w14:paraId="2ABE31EE" w14:textId="28179E8B" w:rsidR="004B2448" w:rsidRDefault="004B2448" w:rsidP="004B2448">
      <w:pPr>
        <w:rPr>
          <w:i/>
          <w:iCs/>
          <w:color w:val="2D497A"/>
        </w:rPr>
      </w:pPr>
      <w:r w:rsidRPr="004B2448">
        <w:rPr>
          <w:i/>
          <w:iCs/>
          <w:color w:val="2D497A"/>
        </w:rPr>
        <w:t>Dauer:</w:t>
      </w:r>
    </w:p>
    <w:p w14:paraId="2D2A0487" w14:textId="3BE30AEA" w:rsidR="004B2448" w:rsidRDefault="004B2448" w:rsidP="004B2448">
      <w:pPr>
        <w:rPr>
          <w:i/>
          <w:iCs/>
          <w:color w:val="2D497A"/>
        </w:rPr>
      </w:pPr>
      <w:r>
        <w:rPr>
          <w:i/>
          <w:iCs/>
          <w:color w:val="2D497A"/>
        </w:rPr>
        <w:t xml:space="preserve">Autor: </w:t>
      </w:r>
      <w:r w:rsidR="00637520">
        <w:rPr>
          <w:i/>
          <w:iCs/>
          <w:color w:val="2D497A"/>
        </w:rPr>
        <w:t>Andreas Rauch</w:t>
      </w:r>
    </w:p>
    <w:p w14:paraId="2BB3E48D" w14:textId="18140D91" w:rsidR="004B2448" w:rsidRPr="004B2448" w:rsidRDefault="004B2448" w:rsidP="004B2448">
      <w:pPr>
        <w:rPr>
          <w:i/>
          <w:iCs/>
          <w:color w:val="2D497A"/>
        </w:rPr>
      </w:pPr>
      <w:r>
        <w:rPr>
          <w:i/>
          <w:iCs/>
          <w:color w:val="2D497A"/>
        </w:rPr>
        <w:t xml:space="preserve">Letzte Änderung: </w:t>
      </w:r>
      <w:r w:rsidR="00FB2BD0">
        <w:rPr>
          <w:i/>
          <w:iCs/>
          <w:color w:val="2D497A"/>
        </w:rPr>
        <w:t>01.09.2021</w:t>
      </w:r>
    </w:p>
    <w:p w14:paraId="340205EF" w14:textId="376F374C" w:rsidR="004B2448" w:rsidRPr="007B3297" w:rsidRDefault="004B2448" w:rsidP="004B2448">
      <w:pPr>
        <w:rPr>
          <w:i/>
          <w:iCs/>
          <w:color w:val="2D497A"/>
        </w:rPr>
      </w:pPr>
      <w:r w:rsidRPr="004B2448">
        <w:rPr>
          <w:i/>
          <w:iCs/>
          <w:color w:val="2D497A"/>
        </w:rPr>
        <w:t>Falls nötig notwendige Informatione</w:t>
      </w:r>
      <w:r>
        <w:rPr>
          <w:i/>
          <w:iCs/>
          <w:color w:val="2D497A"/>
        </w:rPr>
        <w:t>n:</w:t>
      </w:r>
    </w:p>
    <w:p w14:paraId="42D5037B" w14:textId="04A8654B" w:rsidR="00637520" w:rsidRDefault="00637520" w:rsidP="00637520">
      <w:pPr>
        <w:pStyle w:val="Listenabsatz"/>
        <w:numPr>
          <w:ilvl w:val="0"/>
          <w:numId w:val="3"/>
        </w:numPr>
      </w:pPr>
      <w:r>
        <w:t xml:space="preserve">Legen Sie eine Datenbank auf dem Server HV-SQL1 mit dem Namen </w:t>
      </w:r>
      <w:proofErr w:type="spellStart"/>
      <w:r>
        <w:t>LogShipping</w:t>
      </w:r>
      <w:proofErr w:type="spellEnd"/>
      <w:r>
        <w:t xml:space="preserve"> an. Beachten Sie dabei, dass das Wiederherstellungsmodell auf mind. Massenprotokolliert oder vollständig gesetzt ist.</w:t>
      </w:r>
      <w:r>
        <w:br/>
        <w:t xml:space="preserve">Unter dem Punkt </w:t>
      </w:r>
      <w:r w:rsidRPr="00110DB9">
        <w:rPr>
          <w:b/>
          <w:bCs/>
        </w:rPr>
        <w:t>Optionen</w:t>
      </w:r>
      <w:r w:rsidRPr="00110DB9">
        <w:rPr>
          <w:b/>
          <w:bCs/>
          <w:sz w:val="18"/>
          <w:szCs w:val="18"/>
        </w:rPr>
        <w:sym w:font="Wingdings" w:char="F0E0"/>
      </w:r>
      <w:r w:rsidRPr="00110DB9">
        <w:rPr>
          <w:b/>
          <w:bCs/>
        </w:rPr>
        <w:t>Wiederherstellungsmodel</w:t>
      </w:r>
      <w:r>
        <w:rPr>
          <w:sz w:val="18"/>
          <w:szCs w:val="18"/>
        </w:rPr>
        <w:t xml:space="preserve"> </w:t>
      </w:r>
      <w:r>
        <w:t>der Datenbank können Sie dies festlegen.</w:t>
      </w:r>
    </w:p>
    <w:p w14:paraId="00F353C3" w14:textId="77777777" w:rsidR="00637520" w:rsidRDefault="00637520" w:rsidP="00637520">
      <w:pPr>
        <w:pStyle w:val="Listenabsatz"/>
        <w:numPr>
          <w:ilvl w:val="0"/>
          <w:numId w:val="3"/>
        </w:numPr>
      </w:pPr>
      <w:r>
        <w:t xml:space="preserve">Kontrollieren Sie auf den beteiligten </w:t>
      </w:r>
      <w:proofErr w:type="gramStart"/>
      <w:r>
        <w:t>SQL Server</w:t>
      </w:r>
      <w:proofErr w:type="gramEnd"/>
      <w:r>
        <w:t xml:space="preserve"> Instanzen, dass der Dienst SQL Agent aktiviert ist.</w:t>
      </w:r>
      <w:r>
        <w:br/>
      </w:r>
      <w:r w:rsidRPr="00275DB2">
        <w:rPr>
          <w:color w:val="70AD47" w:themeColor="accent6"/>
        </w:rPr>
        <w:t>Hinweis: der rote Schminkkoffer (SSKM bzw. SSCM)</w:t>
      </w:r>
    </w:p>
    <w:p w14:paraId="11E11DA9" w14:textId="77777777" w:rsidR="00637520" w:rsidRDefault="00637520" w:rsidP="00637520">
      <w:pPr>
        <w:pStyle w:val="Listenabsatz"/>
        <w:numPr>
          <w:ilvl w:val="0"/>
          <w:numId w:val="3"/>
        </w:numPr>
      </w:pPr>
      <w:r>
        <w:t>Geben Sie nun auf den HV-SQL1 den Backup Ordern frei, so dass die Instanz HV-SQL1 dort Schreibrechte besitzt und die Instanz HV-SQL2 Leserechte.</w:t>
      </w:r>
      <w:r>
        <w:br/>
      </w:r>
      <w:r w:rsidRPr="00275DB2">
        <w:rPr>
          <w:color w:val="70AD47" w:themeColor="accent6"/>
        </w:rPr>
        <w:t xml:space="preserve">Hinweis: </w:t>
      </w:r>
      <w:r>
        <w:rPr>
          <w:color w:val="70AD47" w:themeColor="accent6"/>
        </w:rPr>
        <w:t>M</w:t>
      </w:r>
      <w:r w:rsidRPr="00275DB2">
        <w:rPr>
          <w:color w:val="70AD47" w:themeColor="accent6"/>
        </w:rPr>
        <w:t xml:space="preserve">it welchem Konto greifen die Dienste tatsächlich </w:t>
      </w:r>
      <w:proofErr w:type="gramStart"/>
      <w:r w:rsidRPr="00275DB2">
        <w:rPr>
          <w:color w:val="70AD47" w:themeColor="accent6"/>
        </w:rPr>
        <w:t>zu….</w:t>
      </w:r>
      <w:proofErr w:type="gramEnd"/>
      <w:r w:rsidRPr="00275DB2">
        <w:rPr>
          <w:color w:val="70AD47" w:themeColor="accent6"/>
        </w:rPr>
        <w:t>?</w:t>
      </w:r>
    </w:p>
    <w:p w14:paraId="043B8A41" w14:textId="77777777" w:rsidR="00637520" w:rsidRDefault="00637520" w:rsidP="00637520">
      <w:pPr>
        <w:pStyle w:val="Listenabsatz"/>
        <w:numPr>
          <w:ilvl w:val="0"/>
          <w:numId w:val="3"/>
        </w:numPr>
      </w:pPr>
      <w:r>
        <w:t xml:space="preserve">Starten Sie den Assistenten auf der DB </w:t>
      </w:r>
      <w:proofErr w:type="spellStart"/>
      <w:r>
        <w:t>LogShipping</w:t>
      </w:r>
      <w:proofErr w:type="spellEnd"/>
      <w:r>
        <w:t xml:space="preserve"> und verwenden Sie dazu folgende Eckdaten:</w:t>
      </w:r>
    </w:p>
    <w:p w14:paraId="7B33A4E2" w14:textId="77777777" w:rsidR="00637520" w:rsidRDefault="00637520" w:rsidP="00637520">
      <w:pPr>
        <w:pStyle w:val="Listenabsatz"/>
        <w:numPr>
          <w:ilvl w:val="1"/>
          <w:numId w:val="3"/>
        </w:numPr>
      </w:pPr>
      <w:r>
        <w:t>Alle Zeitpläne sollten auf „Alle 1 min“ gestellt sein.</w:t>
      </w:r>
    </w:p>
    <w:p w14:paraId="07495C51" w14:textId="77777777" w:rsidR="00637520" w:rsidRDefault="00637520" w:rsidP="00637520">
      <w:pPr>
        <w:pStyle w:val="Listenabsatz"/>
        <w:numPr>
          <w:ilvl w:val="1"/>
          <w:numId w:val="3"/>
        </w:numPr>
      </w:pPr>
      <w:r>
        <w:t xml:space="preserve">Verwenden Sie den lokalen Backup Ordner </w:t>
      </w:r>
      <w:r w:rsidRPr="00B44DF5">
        <w:rPr>
          <w:b/>
          <w:bCs/>
          <w:i/>
          <w:iCs/>
        </w:rPr>
        <w:t>C:\_Backup</w:t>
      </w:r>
      <w:r>
        <w:t xml:space="preserve"> und dessen Freigabe </w:t>
      </w:r>
      <w:r w:rsidRPr="00B44DF5">
        <w:rPr>
          <w:b/>
          <w:bCs/>
          <w:i/>
          <w:iCs/>
          <w:color w:val="000000" w:themeColor="text1"/>
        </w:rPr>
        <w:t>\\hv-SQL1\_Backup</w:t>
      </w:r>
      <w:r w:rsidRPr="00B44DF5">
        <w:rPr>
          <w:color w:val="000000" w:themeColor="text1"/>
        </w:rPr>
        <w:t xml:space="preserve"> </w:t>
      </w:r>
      <w:r>
        <w:t xml:space="preserve">der HV-SQL1 Instanz als Quelle und den Backup Ordner des HV-SQL2 – ebenfalls </w:t>
      </w:r>
      <w:r w:rsidRPr="00B44DF5">
        <w:rPr>
          <w:b/>
          <w:bCs/>
          <w:i/>
          <w:iCs/>
        </w:rPr>
        <w:t>C:\_BACKUP</w:t>
      </w:r>
      <w:r>
        <w:t xml:space="preserve"> - als Ziel.</w:t>
      </w:r>
    </w:p>
    <w:p w14:paraId="24674201" w14:textId="77777777" w:rsidR="00637520" w:rsidRDefault="00637520" w:rsidP="00637520">
      <w:pPr>
        <w:pStyle w:val="Listenabsatz"/>
        <w:numPr>
          <w:ilvl w:val="1"/>
          <w:numId w:val="3"/>
        </w:numPr>
      </w:pPr>
      <w:r>
        <w:t xml:space="preserve">Die Zieldatenbank sollte einen </w:t>
      </w:r>
      <w:r w:rsidRPr="003B5095">
        <w:rPr>
          <w:b/>
          <w:bCs/>
        </w:rPr>
        <w:t>lesbaren Zustand</w:t>
      </w:r>
      <w:r>
        <w:t xml:space="preserve"> aufweisen, wobei im Falle eines Restore, die </w:t>
      </w:r>
      <w:r w:rsidRPr="003B5095">
        <w:rPr>
          <w:b/>
          <w:bCs/>
        </w:rPr>
        <w:t>Benutzer</w:t>
      </w:r>
      <w:r>
        <w:t xml:space="preserve"> von der Datenbank </w:t>
      </w:r>
      <w:r w:rsidRPr="003B5095">
        <w:rPr>
          <w:b/>
          <w:bCs/>
        </w:rPr>
        <w:t>getrennt werden</w:t>
      </w:r>
      <w:r>
        <w:t xml:space="preserve"> sollten.</w:t>
      </w:r>
    </w:p>
    <w:p w14:paraId="285BEB25" w14:textId="77777777" w:rsidR="00637520" w:rsidRDefault="00637520" w:rsidP="00637520">
      <w:pPr>
        <w:pStyle w:val="Listenabsatz"/>
        <w:numPr>
          <w:ilvl w:val="1"/>
          <w:numId w:val="3"/>
        </w:numPr>
      </w:pPr>
      <w:r>
        <w:t xml:space="preserve">Die </w:t>
      </w:r>
      <w:r w:rsidRPr="003B5095">
        <w:rPr>
          <w:b/>
          <w:bCs/>
        </w:rPr>
        <w:t>Zeitverzögerung</w:t>
      </w:r>
      <w:r>
        <w:t xml:space="preserve"> beim Restore sollte </w:t>
      </w:r>
      <w:r w:rsidRPr="003B5095">
        <w:rPr>
          <w:b/>
          <w:bCs/>
        </w:rPr>
        <w:t>0</w:t>
      </w:r>
      <w:r>
        <w:t xml:space="preserve"> betragen.</w:t>
      </w:r>
    </w:p>
    <w:p w14:paraId="6958A88E" w14:textId="77777777" w:rsidR="00637520" w:rsidRDefault="00637520" w:rsidP="00637520">
      <w:pPr>
        <w:pStyle w:val="Listenabsatz"/>
        <w:numPr>
          <w:ilvl w:val="1"/>
          <w:numId w:val="3"/>
        </w:numPr>
      </w:pPr>
      <w:r>
        <w:t xml:space="preserve">Testen Sie das </w:t>
      </w:r>
      <w:proofErr w:type="spellStart"/>
      <w:r>
        <w:t>Logshipping</w:t>
      </w:r>
      <w:proofErr w:type="spellEnd"/>
      <w:r>
        <w:t xml:space="preserve">, indem Sie eine </w:t>
      </w:r>
      <w:r w:rsidRPr="00576F48">
        <w:rPr>
          <w:b/>
        </w:rPr>
        <w:t>Tabelle</w:t>
      </w:r>
      <w:r>
        <w:t xml:space="preserve"> mit Namen </w:t>
      </w:r>
      <w:r w:rsidRPr="00576F48">
        <w:rPr>
          <w:b/>
        </w:rPr>
        <w:t>Test</w:t>
      </w:r>
      <w:r>
        <w:t xml:space="preserve"> (Spalten: </w:t>
      </w:r>
      <w:proofErr w:type="spellStart"/>
      <w:r>
        <w:t>id</w:t>
      </w:r>
      <w:proofErr w:type="spellEnd"/>
      <w:r>
        <w:t xml:space="preserve"> </w:t>
      </w:r>
      <w:proofErr w:type="spellStart"/>
      <w:r>
        <w:t>int</w:t>
      </w:r>
      <w:proofErr w:type="spellEnd"/>
      <w:r>
        <w:t xml:space="preserve"> </w:t>
      </w:r>
      <w:proofErr w:type="spellStart"/>
      <w:r>
        <w:t>identity</w:t>
      </w:r>
      <w:proofErr w:type="spellEnd"/>
      <w:r>
        <w:t xml:space="preserve"> und </w:t>
      </w:r>
      <w:proofErr w:type="spellStart"/>
      <w:r>
        <w:t>Spx</w:t>
      </w:r>
      <w:proofErr w:type="spellEnd"/>
      <w:r>
        <w:t xml:space="preserve"> </w:t>
      </w:r>
      <w:proofErr w:type="spellStart"/>
      <w:proofErr w:type="gramStart"/>
      <w:r>
        <w:t>char</w:t>
      </w:r>
      <w:proofErr w:type="spellEnd"/>
      <w:r>
        <w:t>(</w:t>
      </w:r>
      <w:proofErr w:type="gramEnd"/>
      <w:r>
        <w:t>4100)) anlegen. Fügen Sie nun ein paar Datensätze hinzu.</w:t>
      </w:r>
    </w:p>
    <w:p w14:paraId="09473FAF" w14:textId="77777777" w:rsidR="00637520" w:rsidRDefault="00637520" w:rsidP="00637520">
      <w:pPr>
        <w:pStyle w:val="Listenabsatz"/>
        <w:ind w:left="1440"/>
      </w:pPr>
      <w:r>
        <w:t xml:space="preserve">Überwachen das </w:t>
      </w:r>
      <w:proofErr w:type="spellStart"/>
      <w:r>
        <w:t>LogShipping</w:t>
      </w:r>
      <w:proofErr w:type="spellEnd"/>
      <w:r>
        <w:t>, in dem Sie folgendes kontrollieren:</w:t>
      </w:r>
      <w:r>
        <w:br/>
      </w:r>
    </w:p>
    <w:p w14:paraId="0D62C5DD" w14:textId="77777777" w:rsidR="00637520" w:rsidRDefault="00637520" w:rsidP="00637520">
      <w:pPr>
        <w:pStyle w:val="Listenabsatz"/>
        <w:numPr>
          <w:ilvl w:val="0"/>
          <w:numId w:val="4"/>
        </w:numPr>
      </w:pPr>
      <w:r>
        <w:t xml:space="preserve">Der </w:t>
      </w:r>
      <w:r w:rsidRPr="009A1AF4">
        <w:rPr>
          <w:b/>
          <w:bCs/>
        </w:rPr>
        <w:t>Quellordner</w:t>
      </w:r>
      <w:r>
        <w:t xml:space="preserve"> muss die </w:t>
      </w:r>
      <w:r w:rsidRPr="009A1AF4">
        <w:rPr>
          <w:b/>
          <w:bCs/>
        </w:rPr>
        <w:t>Transaktionsprotokollsicherungen</w:t>
      </w:r>
      <w:r>
        <w:t xml:space="preserve"> aufweisen</w:t>
      </w:r>
    </w:p>
    <w:p w14:paraId="214D65FC" w14:textId="77777777" w:rsidR="00637520" w:rsidRDefault="00637520" w:rsidP="00637520">
      <w:pPr>
        <w:pStyle w:val="Listenabsatz"/>
        <w:numPr>
          <w:ilvl w:val="0"/>
          <w:numId w:val="4"/>
        </w:numPr>
      </w:pPr>
      <w:r>
        <w:t xml:space="preserve">Der </w:t>
      </w:r>
      <w:r w:rsidRPr="009A1AF4">
        <w:rPr>
          <w:b/>
          <w:bCs/>
        </w:rPr>
        <w:t>Zielserver</w:t>
      </w:r>
      <w:r>
        <w:t xml:space="preserve"> muss die </w:t>
      </w:r>
      <w:r w:rsidRPr="009A1AF4">
        <w:rPr>
          <w:b/>
          <w:bCs/>
        </w:rPr>
        <w:t>DB</w:t>
      </w:r>
      <w:r>
        <w:t xml:space="preserve"> in einem </w:t>
      </w:r>
      <w:r w:rsidRPr="009A1AF4">
        <w:rPr>
          <w:b/>
          <w:bCs/>
        </w:rPr>
        <w:t>schreibgeschützten</w:t>
      </w:r>
      <w:r>
        <w:t xml:space="preserve"> Zustand haben</w:t>
      </w:r>
    </w:p>
    <w:p w14:paraId="314E3EF4" w14:textId="77777777" w:rsidR="00637520" w:rsidRDefault="00637520" w:rsidP="00637520">
      <w:pPr>
        <w:pStyle w:val="Listenabsatz"/>
        <w:numPr>
          <w:ilvl w:val="0"/>
          <w:numId w:val="4"/>
        </w:numPr>
      </w:pPr>
      <w:r>
        <w:t xml:space="preserve">Der </w:t>
      </w:r>
      <w:r w:rsidRPr="009A1AF4">
        <w:rPr>
          <w:b/>
          <w:bCs/>
        </w:rPr>
        <w:t>Zielordner</w:t>
      </w:r>
      <w:r>
        <w:t xml:space="preserve"> muss die </w:t>
      </w:r>
      <w:r w:rsidRPr="009A1AF4">
        <w:rPr>
          <w:b/>
          <w:bCs/>
        </w:rPr>
        <w:t>kopierten Sicherungen</w:t>
      </w:r>
      <w:r>
        <w:t xml:space="preserve"> erhalten</w:t>
      </w:r>
    </w:p>
    <w:p w14:paraId="21D1D848" w14:textId="77777777" w:rsidR="00637520" w:rsidRDefault="00637520" w:rsidP="00637520">
      <w:pPr>
        <w:pStyle w:val="Listenabsatz"/>
        <w:numPr>
          <w:ilvl w:val="0"/>
          <w:numId w:val="4"/>
        </w:numPr>
      </w:pPr>
      <w:r>
        <w:t>Die Tabelle Test mit den Datensätzen muss nach einigen Minuten in der Zieldatenbank auf HV-SQL2 auftauchen</w:t>
      </w:r>
    </w:p>
    <w:p w14:paraId="0A62FA22" w14:textId="0C3833A7" w:rsidR="00637520" w:rsidRDefault="00637520" w:rsidP="00637520">
      <w:pPr>
        <w:pStyle w:val="Listenabsatz"/>
        <w:numPr>
          <w:ilvl w:val="0"/>
          <w:numId w:val="4"/>
        </w:numPr>
      </w:pPr>
      <w:r>
        <w:t>Kontrollieren Sie auf beiden Instanzen, ob die Aufträge Fehler oder Erfolg aufweisen</w:t>
      </w:r>
    </w:p>
    <w:p w14:paraId="06A9E184" w14:textId="657A9343" w:rsidR="000E76DA" w:rsidRPr="00E66C06" w:rsidRDefault="00637520" w:rsidP="00454970">
      <w:pPr>
        <w:rPr>
          <w:color w:val="2D497A"/>
        </w:rPr>
      </w:pPr>
      <w:r w:rsidRPr="00A5174C">
        <w:rPr>
          <w:rFonts w:cstheme="minorHAnsi"/>
        </w:rPr>
        <w:t>Andreas Rauch, 01.09.2021</w:t>
      </w:r>
    </w:p>
    <w:sectPr w:rsidR="000E76DA" w:rsidRPr="00E66C06" w:rsidSect="005552AA">
      <w:headerReference w:type="default" r:id="rId11"/>
      <w:footerReference w:type="default" r:id="rId1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6AB33" w14:textId="77777777" w:rsidR="00ED3EA6" w:rsidRDefault="00ED3EA6" w:rsidP="00C720D3">
      <w:pPr>
        <w:spacing w:after="0" w:line="240" w:lineRule="auto"/>
      </w:pPr>
      <w:r>
        <w:separator/>
      </w:r>
    </w:p>
  </w:endnote>
  <w:endnote w:type="continuationSeparator" w:id="0">
    <w:p w14:paraId="229C8202" w14:textId="77777777" w:rsidR="00ED3EA6" w:rsidRDefault="00ED3EA6"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77777777" w:rsidR="002C18A9" w:rsidRDefault="00FB2BD0">
    <w:pPr>
      <w:pStyle w:val="Fuzeile"/>
    </w:pPr>
  </w:p>
  <w:p w14:paraId="62CCC702" w14:textId="1A51CCB8" w:rsidR="00444D33" w:rsidRDefault="007B3297">
    <w:pPr>
      <w:pStyle w:val="Fuzeile"/>
    </w:pPr>
    <w:r>
      <w:rPr>
        <w:noProof/>
      </w:rPr>
      <w:drawing>
        <wp:inline distT="0" distB="0" distL="0" distR="0" wp14:anchorId="48D1150E" wp14:editId="4AB7984A">
          <wp:extent cx="814705" cy="209550"/>
          <wp:effectExtent l="0" t="0" r="4445"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705" cy="209550"/>
                  </a:xfrm>
                  <a:prstGeom prst="rect">
                    <a:avLst/>
                  </a:prstGeom>
                  <a:noFill/>
                  <a:ln>
                    <a:noFill/>
                  </a:ln>
                </pic:spPr>
              </pic:pic>
            </a:graphicData>
          </a:graphic>
        </wp:inline>
      </w:drawing>
    </w:r>
    <w:r>
      <w:t xml:space="preserve">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624D1" w14:textId="77777777" w:rsidR="00ED3EA6" w:rsidRDefault="00ED3EA6" w:rsidP="00C720D3">
      <w:pPr>
        <w:spacing w:after="0" w:line="240" w:lineRule="auto"/>
      </w:pPr>
      <w:r>
        <w:separator/>
      </w:r>
    </w:p>
  </w:footnote>
  <w:footnote w:type="continuationSeparator" w:id="0">
    <w:p w14:paraId="22EF8904" w14:textId="77777777" w:rsidR="00ED3EA6" w:rsidRDefault="00ED3EA6"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55E03106"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39043"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proofErr w:type="gramStart"/>
    <w:r w:rsidR="001D50AF" w:rsidRPr="001D50AF">
      <w:rPr>
        <w:color w:val="FFFFFF" w:themeColor="background1"/>
      </w:rPr>
      <w:t>SQL Server</w:t>
    </w:r>
    <w:proofErr w:type="gramEnd"/>
    <w:r w:rsidR="001D50AF" w:rsidRPr="001D50AF">
      <w:rPr>
        <w:color w:val="FFFFFF" w:themeColor="background1"/>
      </w:rPr>
      <w:t xml:space="preserve"> </w:t>
    </w:r>
    <w:r w:rsidR="001D50AF">
      <w:rPr>
        <w:color w:val="FFFFFF" w:themeColor="background1"/>
      </w:rPr>
      <w:t xml:space="preserve">- </w:t>
    </w:r>
    <w:r w:rsidR="001D50AF" w:rsidRPr="001D50AF">
      <w:rPr>
        <w:color w:val="FFFFFF" w:themeColor="background1"/>
      </w:rPr>
      <w:t xml:space="preserve">Hochverfügbarkeit </w:t>
    </w:r>
    <w:r w:rsidR="001D50AF">
      <w:rPr>
        <w:color w:val="FFFFFF" w:themeColor="background1"/>
      </w:rPr>
      <w:t>mit</w:t>
    </w:r>
    <w:r w:rsidR="001D50AF" w:rsidRPr="001D50AF">
      <w:rPr>
        <w:color w:val="FFFFFF" w:themeColor="background1"/>
      </w:rPr>
      <w:t xml:space="preserve"> </w:t>
    </w:r>
    <w:proofErr w:type="spellStart"/>
    <w:r w:rsidR="001D50AF" w:rsidRPr="001D50AF">
      <w:rPr>
        <w:color w:val="FFFFFF" w:themeColor="background1"/>
      </w:rPr>
      <w:t>AlwaysOn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722"/>
    <w:multiLevelType w:val="hybridMultilevel"/>
    <w:tmpl w:val="42F2A22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16515A"/>
    <w:multiLevelType w:val="hybridMultilevel"/>
    <w:tmpl w:val="59F4672A"/>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E76DA"/>
    <w:rsid w:val="00187C6C"/>
    <w:rsid w:val="001D50AF"/>
    <w:rsid w:val="002D3082"/>
    <w:rsid w:val="00382D2C"/>
    <w:rsid w:val="00454970"/>
    <w:rsid w:val="004B2448"/>
    <w:rsid w:val="00637520"/>
    <w:rsid w:val="007A6393"/>
    <w:rsid w:val="007B3297"/>
    <w:rsid w:val="00816667"/>
    <w:rsid w:val="00A5174C"/>
    <w:rsid w:val="00C720D3"/>
    <w:rsid w:val="00D306AB"/>
    <w:rsid w:val="00E51198"/>
    <w:rsid w:val="00E66C06"/>
    <w:rsid w:val="00ED35D3"/>
    <w:rsid w:val="00ED3EA6"/>
    <w:rsid w:val="00FB2B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400367">
      <w:bodyDiv w:val="1"/>
      <w:marLeft w:val="0"/>
      <w:marRight w:val="0"/>
      <w:marTop w:val="0"/>
      <w:marBottom w:val="0"/>
      <w:divBdr>
        <w:top w:val="none" w:sz="0" w:space="0" w:color="auto"/>
        <w:left w:val="none" w:sz="0" w:space="0" w:color="auto"/>
        <w:bottom w:val="none" w:sz="0" w:space="0" w:color="auto"/>
        <w:right w:val="none" w:sz="0" w:space="0" w:color="auto"/>
      </w:divBdr>
    </w:div>
    <w:div w:id="214410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6" ma:contentTypeDescription="Ein neues Dokument erstellen." ma:contentTypeScope="" ma:versionID="056af482641e7e412ce98e55d58baef4">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cc8c11f7c62b477d8dbd326f9b93f965"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5FF9FE-7011-456A-BB5B-5D1DA9B6713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3.xml><?xml version="1.0" encoding="utf-8"?>
<ds:datastoreItem xmlns:ds="http://schemas.openxmlformats.org/officeDocument/2006/customXml" ds:itemID="{0B0B2B9A-756F-4B72-B7D7-3BFA2A5C6B86}"/>
</file>

<file path=customXml/itemProps4.xml><?xml version="1.0" encoding="utf-8"?>
<ds:datastoreItem xmlns:ds="http://schemas.openxmlformats.org/officeDocument/2006/customXml" ds:itemID="{5FFF0753-D0CD-486E-97F6-34028396C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1696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Jens Zimmermann</cp:lastModifiedBy>
  <cp:revision>6</cp:revision>
  <cp:lastPrinted>2021-09-01T10:34:00Z</cp:lastPrinted>
  <dcterms:created xsi:type="dcterms:W3CDTF">2021-09-01T12:51:00Z</dcterms:created>
  <dcterms:modified xsi:type="dcterms:W3CDTF">2021-09-02T12:07:00Z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