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4C16" w14:textId="37B876D5" w:rsidR="00E66C06" w:rsidRPr="00E66C06" w:rsidRDefault="00E66C06" w:rsidP="00E66C06">
      <w:pPr>
        <w:pStyle w:val="berschrift1"/>
        <w:numPr>
          <w:ilvl w:val="0"/>
          <w:numId w:val="0"/>
        </w:numPr>
        <w:rPr>
          <w:rFonts w:asciiTheme="minorHAnsi" w:hAnsiTheme="minorHAnsi" w:cstheme="minorHAnsi"/>
          <w:color w:val="2D497A"/>
          <w:sz w:val="36"/>
          <w:szCs w:val="36"/>
        </w:rPr>
      </w:pPr>
      <w:r w:rsidRPr="00E66C06">
        <w:rPr>
          <w:rFonts w:asciiTheme="minorHAnsi" w:hAnsiTheme="minorHAnsi" w:cstheme="minorHAnsi"/>
          <w:color w:val="2D497A"/>
          <w:sz w:val="36"/>
          <w:szCs w:val="36"/>
        </w:rPr>
        <w:t xml:space="preserve">Modul </w:t>
      </w:r>
      <w:r w:rsidR="00335B4B">
        <w:rPr>
          <w:rFonts w:asciiTheme="minorHAnsi" w:hAnsiTheme="minorHAnsi" w:cstheme="minorHAnsi"/>
          <w:color w:val="2D497A"/>
          <w:sz w:val="36"/>
          <w:szCs w:val="36"/>
        </w:rPr>
        <w:t>3: Spiegeln</w:t>
      </w:r>
    </w:p>
    <w:p w14:paraId="64AE4809" w14:textId="44B3A896" w:rsidR="00816667" w:rsidRDefault="00E66C06" w:rsidP="00E66C06">
      <w:pPr>
        <w:pStyle w:val="berschrift1"/>
        <w:numPr>
          <w:ilvl w:val="0"/>
          <w:numId w:val="0"/>
        </w:numPr>
        <w:rPr>
          <w:rFonts w:asciiTheme="minorHAnsi" w:hAnsiTheme="minorHAnsi" w:cstheme="minorHAnsi"/>
          <w:color w:val="2D497A"/>
          <w:sz w:val="36"/>
          <w:szCs w:val="36"/>
        </w:rPr>
      </w:pPr>
      <w:proofErr w:type="spellStart"/>
      <w:r w:rsidRPr="004B2448">
        <w:rPr>
          <w:rFonts w:asciiTheme="minorHAnsi" w:hAnsiTheme="minorHAnsi" w:cstheme="minorHAnsi"/>
          <w:color w:val="2D497A"/>
          <w:sz w:val="36"/>
          <w:szCs w:val="36"/>
        </w:rPr>
        <w:t>Labname</w:t>
      </w:r>
      <w:proofErr w:type="spellEnd"/>
    </w:p>
    <w:p w14:paraId="3B5761E0" w14:textId="77777777" w:rsidR="00187C6C" w:rsidRPr="00187C6C" w:rsidRDefault="00187C6C" w:rsidP="00187C6C"/>
    <w:p w14:paraId="4456CEEB" w14:textId="55673330" w:rsidR="004B2448" w:rsidRPr="004B2448" w:rsidRDefault="004B2448" w:rsidP="004B2448">
      <w:pPr>
        <w:rPr>
          <w:i/>
          <w:iCs/>
          <w:color w:val="2D497A"/>
        </w:rPr>
      </w:pPr>
      <w:r w:rsidRPr="004B2448">
        <w:rPr>
          <w:i/>
          <w:iCs/>
          <w:color w:val="2D497A"/>
        </w:rPr>
        <w:t>Ziel:</w:t>
      </w:r>
    </w:p>
    <w:p w14:paraId="732391D3" w14:textId="0A9ADBC1" w:rsidR="004B2448" w:rsidRPr="004B2448" w:rsidRDefault="004B2448" w:rsidP="004B2448">
      <w:pPr>
        <w:rPr>
          <w:i/>
          <w:iCs/>
          <w:color w:val="2D497A"/>
        </w:rPr>
      </w:pPr>
      <w:r w:rsidRPr="004B2448">
        <w:rPr>
          <w:i/>
          <w:iCs/>
          <w:color w:val="2D497A"/>
        </w:rPr>
        <w:t>Systemvoraussetzungen:</w:t>
      </w:r>
    </w:p>
    <w:p w14:paraId="18019115" w14:textId="62F6A253" w:rsidR="004B2448" w:rsidRPr="004B2448" w:rsidRDefault="004B2448" w:rsidP="004B2448">
      <w:pPr>
        <w:rPr>
          <w:i/>
          <w:iCs/>
          <w:color w:val="2D497A"/>
        </w:rPr>
      </w:pPr>
      <w:r w:rsidRPr="004B2448">
        <w:rPr>
          <w:i/>
          <w:iCs/>
          <w:color w:val="2D497A"/>
        </w:rPr>
        <w:t>Tools:</w:t>
      </w:r>
    </w:p>
    <w:p w14:paraId="2ABE31EE" w14:textId="28179E8B" w:rsidR="004B2448" w:rsidRDefault="004B2448" w:rsidP="004B2448">
      <w:pPr>
        <w:rPr>
          <w:i/>
          <w:iCs/>
          <w:color w:val="2D497A"/>
        </w:rPr>
      </w:pPr>
      <w:r w:rsidRPr="004B2448">
        <w:rPr>
          <w:i/>
          <w:iCs/>
          <w:color w:val="2D497A"/>
        </w:rPr>
        <w:t>Dauer:</w:t>
      </w:r>
    </w:p>
    <w:p w14:paraId="2D2A0487" w14:textId="15E6A1D4" w:rsidR="004B2448" w:rsidRDefault="004B2448" w:rsidP="004B2448">
      <w:pPr>
        <w:rPr>
          <w:i/>
          <w:iCs/>
          <w:color w:val="2D497A"/>
        </w:rPr>
      </w:pPr>
      <w:r>
        <w:rPr>
          <w:i/>
          <w:iCs/>
          <w:color w:val="2D497A"/>
        </w:rPr>
        <w:t xml:space="preserve">Autor: </w:t>
      </w:r>
      <w:r w:rsidR="00335B4B">
        <w:rPr>
          <w:i/>
          <w:iCs/>
          <w:color w:val="2D497A"/>
        </w:rPr>
        <w:t>Andreas Rauch</w:t>
      </w:r>
    </w:p>
    <w:p w14:paraId="2BB3E48D" w14:textId="5DB871F0" w:rsidR="004B2448" w:rsidRPr="004B2448" w:rsidRDefault="004B2448" w:rsidP="004B2448">
      <w:pPr>
        <w:rPr>
          <w:i/>
          <w:iCs/>
          <w:color w:val="2D497A"/>
        </w:rPr>
      </w:pPr>
      <w:r>
        <w:rPr>
          <w:i/>
          <w:iCs/>
          <w:color w:val="2D497A"/>
        </w:rPr>
        <w:t xml:space="preserve">Letzte Änderung: </w:t>
      </w:r>
      <w:r w:rsidR="00335B4B">
        <w:rPr>
          <w:i/>
          <w:iCs/>
          <w:color w:val="2D497A"/>
        </w:rPr>
        <w:t>01.09.2021</w:t>
      </w:r>
    </w:p>
    <w:p w14:paraId="0A059E17" w14:textId="029BA50D" w:rsidR="004B2448" w:rsidRPr="004B2448" w:rsidRDefault="004B2448" w:rsidP="004B2448">
      <w:pPr>
        <w:rPr>
          <w:i/>
          <w:iCs/>
          <w:color w:val="2D497A"/>
        </w:rPr>
      </w:pPr>
      <w:r w:rsidRPr="004B2448">
        <w:rPr>
          <w:i/>
          <w:iCs/>
          <w:color w:val="2D497A"/>
        </w:rPr>
        <w:t>Falls nötig notwendige Informatione</w:t>
      </w:r>
      <w:r>
        <w:rPr>
          <w:i/>
          <w:iCs/>
          <w:color w:val="2D497A"/>
        </w:rPr>
        <w:t>n:</w:t>
      </w:r>
    </w:p>
    <w:p w14:paraId="340205EF" w14:textId="77777777" w:rsidR="004B2448" w:rsidRPr="004B2448" w:rsidRDefault="004B2448" w:rsidP="004B2448"/>
    <w:p w14:paraId="207AA6AB" w14:textId="77777777" w:rsidR="00335B4B" w:rsidRDefault="00335B4B" w:rsidP="00335B4B">
      <w:pPr>
        <w:pStyle w:val="Listenabsatz"/>
        <w:numPr>
          <w:ilvl w:val="0"/>
          <w:numId w:val="3"/>
        </w:numPr>
        <w:spacing w:line="256" w:lineRule="auto"/>
      </w:pPr>
      <w:r>
        <w:t xml:space="preserve">Legen Sie auf dem HV-SQL1 eine </w:t>
      </w:r>
      <w:r>
        <w:rPr>
          <w:b/>
          <w:bCs/>
        </w:rPr>
        <w:t>DB</w:t>
      </w:r>
      <w:r>
        <w:t xml:space="preserve"> mit dem Namen </w:t>
      </w:r>
      <w:proofErr w:type="spellStart"/>
      <w:r>
        <w:rPr>
          <w:b/>
          <w:bCs/>
        </w:rPr>
        <w:t>MirrorDB</w:t>
      </w:r>
      <w:proofErr w:type="spellEnd"/>
      <w:r>
        <w:t xml:space="preserve"> an</w:t>
      </w:r>
    </w:p>
    <w:p w14:paraId="1C58B4B5" w14:textId="77777777" w:rsidR="00335B4B" w:rsidRDefault="00335B4B" w:rsidP="00335B4B">
      <w:pPr>
        <w:pStyle w:val="Listenabsatz"/>
        <w:numPr>
          <w:ilvl w:val="0"/>
          <w:numId w:val="3"/>
        </w:numPr>
        <w:spacing w:line="256" w:lineRule="auto"/>
      </w:pPr>
      <w:r>
        <w:t xml:space="preserve">Kontrollieren Sie, ob das </w:t>
      </w:r>
      <w:r>
        <w:rPr>
          <w:b/>
          <w:bCs/>
        </w:rPr>
        <w:t>Wiederherstellungsmodel</w:t>
      </w:r>
      <w:r>
        <w:t xml:space="preserve"> auf </w:t>
      </w:r>
      <w:r>
        <w:rPr>
          <w:b/>
          <w:bCs/>
          <w:i/>
          <w:iCs/>
        </w:rPr>
        <w:t>Vollständig</w:t>
      </w:r>
      <w:r>
        <w:t xml:space="preserve"> eingestellt ist</w:t>
      </w:r>
    </w:p>
    <w:p w14:paraId="12193B47" w14:textId="77777777" w:rsidR="00335B4B" w:rsidRDefault="00335B4B" w:rsidP="00335B4B">
      <w:pPr>
        <w:pStyle w:val="Listenabsatz"/>
        <w:numPr>
          <w:ilvl w:val="0"/>
          <w:numId w:val="3"/>
        </w:numPr>
        <w:spacing w:line="256" w:lineRule="auto"/>
      </w:pPr>
      <w:r>
        <w:t xml:space="preserve">Legen Sie ein </w:t>
      </w:r>
      <w:r>
        <w:rPr>
          <w:b/>
          <w:bCs/>
        </w:rPr>
        <w:t>Vollständiges Backup</w:t>
      </w:r>
      <w:r>
        <w:t xml:space="preserve"> der DB an und anschließend eine </w:t>
      </w:r>
      <w:r>
        <w:rPr>
          <w:b/>
          <w:bCs/>
        </w:rPr>
        <w:t>Transaktionsprotokollsicherung</w:t>
      </w:r>
      <w:r>
        <w:t xml:space="preserve">. </w:t>
      </w:r>
      <w:r>
        <w:br/>
        <w:t xml:space="preserve">Verwenden Sie zur Sicherung der V und T Sicherung </w:t>
      </w:r>
      <w:r>
        <w:rPr>
          <w:b/>
          <w:bCs/>
        </w:rPr>
        <w:t>dasselbe Medium</w:t>
      </w:r>
      <w:r>
        <w:br/>
        <w:t>(=.</w:t>
      </w:r>
      <w:proofErr w:type="spellStart"/>
      <w:r>
        <w:t>bak</w:t>
      </w:r>
      <w:proofErr w:type="spellEnd"/>
      <w:r>
        <w:t xml:space="preserve"> Datei)</w:t>
      </w:r>
    </w:p>
    <w:p w14:paraId="6D03DD1F" w14:textId="77777777" w:rsidR="00335B4B" w:rsidRDefault="00335B4B" w:rsidP="00335B4B">
      <w:pPr>
        <w:pStyle w:val="Listenabsatz"/>
        <w:numPr>
          <w:ilvl w:val="0"/>
          <w:numId w:val="3"/>
        </w:numPr>
        <w:spacing w:line="256" w:lineRule="auto"/>
      </w:pPr>
      <w:r>
        <w:rPr>
          <w:b/>
          <w:bCs/>
        </w:rPr>
        <w:t>Kopieren</w:t>
      </w:r>
      <w:r>
        <w:t xml:space="preserve"> Sie die Sicherungsdatei auf den Server HV-SQL2</w:t>
      </w:r>
    </w:p>
    <w:p w14:paraId="4846CF4B" w14:textId="77777777" w:rsidR="00335B4B" w:rsidRDefault="00335B4B" w:rsidP="00335B4B">
      <w:pPr>
        <w:pStyle w:val="Listenabsatz"/>
        <w:numPr>
          <w:ilvl w:val="0"/>
          <w:numId w:val="3"/>
        </w:numPr>
        <w:spacing w:line="256" w:lineRule="auto"/>
      </w:pPr>
      <w:r>
        <w:t>Stellen Sie die DB auf dem HV-SQL2 mit folgenden Optionen wieder her:</w:t>
      </w:r>
    </w:p>
    <w:p w14:paraId="5F8B52C6" w14:textId="77777777" w:rsidR="00335B4B" w:rsidRDefault="00335B4B" w:rsidP="00335B4B">
      <w:pPr>
        <w:pStyle w:val="Listenabsatz"/>
        <w:numPr>
          <w:ilvl w:val="1"/>
          <w:numId w:val="4"/>
        </w:numPr>
        <w:spacing w:line="256" w:lineRule="auto"/>
      </w:pPr>
      <w:r>
        <w:t>Korrektur der Dateipfade, falls notwendig</w:t>
      </w:r>
    </w:p>
    <w:p w14:paraId="7EF370A9" w14:textId="77777777" w:rsidR="00335B4B" w:rsidRDefault="00335B4B" w:rsidP="00335B4B">
      <w:pPr>
        <w:pStyle w:val="Listenabsatz"/>
        <w:numPr>
          <w:ilvl w:val="1"/>
          <w:numId w:val="4"/>
        </w:numPr>
        <w:spacing w:line="256" w:lineRule="auto"/>
      </w:pPr>
      <w:r>
        <w:rPr>
          <w:b/>
          <w:bCs/>
          <w:i/>
          <w:iCs/>
        </w:rPr>
        <w:t xml:space="preserve">Restore </w:t>
      </w:r>
      <w:proofErr w:type="spellStart"/>
      <w:r>
        <w:rPr>
          <w:b/>
          <w:bCs/>
          <w:i/>
          <w:iCs/>
        </w:rPr>
        <w:t>with</w:t>
      </w:r>
      <w:proofErr w:type="spellEnd"/>
      <w:r>
        <w:rPr>
          <w:b/>
          <w:bCs/>
          <w:i/>
          <w:iCs/>
        </w:rPr>
        <w:t xml:space="preserve"> </w:t>
      </w:r>
      <w:proofErr w:type="spellStart"/>
      <w:r>
        <w:rPr>
          <w:b/>
          <w:bCs/>
          <w:i/>
          <w:iCs/>
        </w:rPr>
        <w:t>norecovery</w:t>
      </w:r>
      <w:proofErr w:type="spellEnd"/>
      <w:r>
        <w:t xml:space="preserve"> (nicht lauffähige DB)</w:t>
      </w:r>
    </w:p>
    <w:p w14:paraId="5C35F176" w14:textId="77777777" w:rsidR="00335B4B" w:rsidRDefault="00335B4B" w:rsidP="00335B4B">
      <w:pPr>
        <w:pStyle w:val="Listenabsatz"/>
        <w:numPr>
          <w:ilvl w:val="0"/>
          <w:numId w:val="3"/>
        </w:numPr>
        <w:spacing w:line="256" w:lineRule="auto"/>
      </w:pPr>
      <w:r>
        <w:t xml:space="preserve">Gehen Sie zurück zum HV-SQL1 und öffnen die Eigenschaften der DB </w:t>
      </w:r>
      <w:proofErr w:type="spellStart"/>
      <w:r>
        <w:t>Mirroring</w:t>
      </w:r>
      <w:proofErr w:type="spellEnd"/>
    </w:p>
    <w:tbl>
      <w:tblPr>
        <w:tblStyle w:val="Tabellenraster"/>
        <w:tblpPr w:leftFromText="141" w:rightFromText="141" w:vertAnchor="text" w:horzAnchor="margin" w:tblpXSpec="center" w:tblpY="345"/>
        <w:tblW w:w="0" w:type="auto"/>
        <w:tblInd w:w="0" w:type="dxa"/>
        <w:tblLook w:val="04A0" w:firstRow="1" w:lastRow="0" w:firstColumn="1" w:lastColumn="0" w:noHBand="0" w:noVBand="1"/>
      </w:tblPr>
      <w:tblGrid>
        <w:gridCol w:w="2642"/>
        <w:gridCol w:w="2706"/>
      </w:tblGrid>
      <w:tr w:rsidR="00335B4B" w14:paraId="49486E69" w14:textId="77777777" w:rsidTr="00335B4B">
        <w:tc>
          <w:tcPr>
            <w:tcW w:w="2642" w:type="dxa"/>
            <w:tcBorders>
              <w:top w:val="single" w:sz="4" w:space="0" w:color="auto"/>
              <w:left w:val="single" w:sz="4" w:space="0" w:color="auto"/>
              <w:bottom w:val="single" w:sz="4" w:space="0" w:color="auto"/>
              <w:right w:val="single" w:sz="4" w:space="0" w:color="auto"/>
            </w:tcBorders>
            <w:hideMark/>
          </w:tcPr>
          <w:p w14:paraId="1C7D35A1" w14:textId="77777777" w:rsidR="00335B4B" w:rsidRDefault="00335B4B">
            <w:pPr>
              <w:pStyle w:val="Listenabsatz"/>
              <w:ind w:left="0"/>
            </w:pPr>
            <w:proofErr w:type="spellStart"/>
            <w:r>
              <w:rPr>
                <w:b/>
                <w:bCs/>
              </w:rPr>
              <w:t>Zeugensserver</w:t>
            </w:r>
            <w:proofErr w:type="spellEnd"/>
            <w:r>
              <w:t xml:space="preserve">: </w:t>
            </w:r>
          </w:p>
        </w:tc>
        <w:tc>
          <w:tcPr>
            <w:tcW w:w="2706" w:type="dxa"/>
            <w:tcBorders>
              <w:top w:val="single" w:sz="4" w:space="0" w:color="auto"/>
              <w:left w:val="single" w:sz="4" w:space="0" w:color="auto"/>
              <w:bottom w:val="single" w:sz="4" w:space="0" w:color="auto"/>
              <w:right w:val="single" w:sz="4" w:space="0" w:color="auto"/>
            </w:tcBorders>
            <w:hideMark/>
          </w:tcPr>
          <w:p w14:paraId="0A7F1B56" w14:textId="77777777" w:rsidR="00335B4B" w:rsidRDefault="00335B4B">
            <w:pPr>
              <w:pStyle w:val="Listenabsatz"/>
              <w:ind w:left="0"/>
            </w:pPr>
            <w:r>
              <w:rPr>
                <w:b/>
                <w:bCs/>
                <w:i/>
                <w:iCs/>
              </w:rPr>
              <w:t>Nein</w:t>
            </w:r>
          </w:p>
        </w:tc>
      </w:tr>
      <w:tr w:rsidR="00335B4B" w14:paraId="494B4FCA" w14:textId="77777777" w:rsidTr="00335B4B">
        <w:tc>
          <w:tcPr>
            <w:tcW w:w="2642" w:type="dxa"/>
            <w:tcBorders>
              <w:top w:val="single" w:sz="4" w:space="0" w:color="auto"/>
              <w:left w:val="single" w:sz="4" w:space="0" w:color="auto"/>
              <w:bottom w:val="single" w:sz="4" w:space="0" w:color="auto"/>
              <w:right w:val="single" w:sz="4" w:space="0" w:color="auto"/>
            </w:tcBorders>
            <w:hideMark/>
          </w:tcPr>
          <w:p w14:paraId="7AC08683" w14:textId="77777777" w:rsidR="00335B4B" w:rsidRDefault="00335B4B">
            <w:pPr>
              <w:pStyle w:val="Listenabsatz"/>
              <w:ind w:left="0"/>
            </w:pPr>
            <w:r>
              <w:rPr>
                <w:b/>
                <w:bCs/>
              </w:rPr>
              <w:t>Quellserver</w:t>
            </w:r>
            <w:r>
              <w:br/>
            </w:r>
          </w:p>
        </w:tc>
        <w:tc>
          <w:tcPr>
            <w:tcW w:w="2706" w:type="dxa"/>
            <w:tcBorders>
              <w:top w:val="single" w:sz="4" w:space="0" w:color="auto"/>
              <w:left w:val="single" w:sz="4" w:space="0" w:color="auto"/>
              <w:bottom w:val="single" w:sz="4" w:space="0" w:color="auto"/>
              <w:right w:val="single" w:sz="4" w:space="0" w:color="auto"/>
            </w:tcBorders>
            <w:hideMark/>
          </w:tcPr>
          <w:p w14:paraId="46F53DA9" w14:textId="77777777" w:rsidR="00335B4B" w:rsidRDefault="00335B4B">
            <w:pPr>
              <w:pStyle w:val="Listenabsatz"/>
              <w:ind w:left="0"/>
            </w:pPr>
            <w:r>
              <w:rPr>
                <w:b/>
                <w:bCs/>
                <w:i/>
                <w:iCs/>
              </w:rPr>
              <w:t>hv-sql1</w:t>
            </w:r>
            <w:r>
              <w:t xml:space="preserve"> </w:t>
            </w:r>
            <w:r>
              <w:br/>
              <w:t xml:space="preserve">Port: </w:t>
            </w:r>
            <w:r>
              <w:rPr>
                <w:b/>
                <w:bCs/>
                <w:i/>
                <w:iCs/>
              </w:rPr>
              <w:t>5022</w:t>
            </w:r>
            <w:r>
              <w:t xml:space="preserve"> </w:t>
            </w:r>
            <w:r>
              <w:br/>
              <w:t>Verschlüsselung aktiv</w:t>
            </w:r>
          </w:p>
        </w:tc>
      </w:tr>
      <w:tr w:rsidR="00335B4B" w14:paraId="11E22058" w14:textId="77777777" w:rsidTr="00335B4B">
        <w:tc>
          <w:tcPr>
            <w:tcW w:w="2642" w:type="dxa"/>
            <w:tcBorders>
              <w:top w:val="single" w:sz="4" w:space="0" w:color="auto"/>
              <w:left w:val="single" w:sz="4" w:space="0" w:color="auto"/>
              <w:bottom w:val="single" w:sz="4" w:space="0" w:color="auto"/>
              <w:right w:val="single" w:sz="4" w:space="0" w:color="auto"/>
            </w:tcBorders>
          </w:tcPr>
          <w:p w14:paraId="6940D897" w14:textId="77777777" w:rsidR="00335B4B" w:rsidRDefault="00335B4B">
            <w:pPr>
              <w:pStyle w:val="Listenabsatz"/>
              <w:ind w:left="0"/>
            </w:pPr>
            <w:r>
              <w:rPr>
                <w:b/>
                <w:bCs/>
              </w:rPr>
              <w:t xml:space="preserve">Zielserver </w:t>
            </w:r>
            <w:r>
              <w:rPr>
                <w:b/>
                <w:bCs/>
              </w:rPr>
              <w:br/>
            </w:r>
          </w:p>
          <w:p w14:paraId="77C1FB62" w14:textId="77777777" w:rsidR="00335B4B" w:rsidRDefault="00335B4B">
            <w:pPr>
              <w:pStyle w:val="Listenabsatz"/>
              <w:ind w:left="0"/>
            </w:pPr>
          </w:p>
        </w:tc>
        <w:tc>
          <w:tcPr>
            <w:tcW w:w="2706" w:type="dxa"/>
            <w:tcBorders>
              <w:top w:val="single" w:sz="4" w:space="0" w:color="auto"/>
              <w:left w:val="single" w:sz="4" w:space="0" w:color="auto"/>
              <w:bottom w:val="single" w:sz="4" w:space="0" w:color="auto"/>
              <w:right w:val="single" w:sz="4" w:space="0" w:color="auto"/>
            </w:tcBorders>
            <w:hideMark/>
          </w:tcPr>
          <w:p w14:paraId="67D5D955" w14:textId="77777777" w:rsidR="00335B4B" w:rsidRDefault="00335B4B">
            <w:pPr>
              <w:pStyle w:val="Listenabsatz"/>
              <w:ind w:left="0"/>
            </w:pPr>
            <w:r>
              <w:t xml:space="preserve">verbinden mit </w:t>
            </w:r>
            <w:r>
              <w:rPr>
                <w:b/>
                <w:bCs/>
                <w:i/>
                <w:iCs/>
              </w:rPr>
              <w:t>hv-sql2</w:t>
            </w:r>
            <w:r>
              <w:t xml:space="preserve"> (Windows Authentifizierung) </w:t>
            </w:r>
          </w:p>
          <w:p w14:paraId="11FF801A" w14:textId="77777777" w:rsidR="00335B4B" w:rsidRDefault="00335B4B">
            <w:pPr>
              <w:pStyle w:val="Listenabsatz"/>
              <w:ind w:left="0"/>
            </w:pPr>
            <w:r>
              <w:t xml:space="preserve">Port: </w:t>
            </w:r>
            <w:r>
              <w:rPr>
                <w:b/>
                <w:bCs/>
                <w:i/>
                <w:iCs/>
              </w:rPr>
              <w:t>5022</w:t>
            </w:r>
            <w:r>
              <w:t xml:space="preserve"> </w:t>
            </w:r>
            <w:r>
              <w:br/>
              <w:t>Verschlüsselung aktiv</w:t>
            </w:r>
          </w:p>
        </w:tc>
      </w:tr>
      <w:tr w:rsidR="00335B4B" w14:paraId="34171C49" w14:textId="77777777" w:rsidTr="00335B4B">
        <w:tc>
          <w:tcPr>
            <w:tcW w:w="2642" w:type="dxa"/>
            <w:tcBorders>
              <w:top w:val="single" w:sz="4" w:space="0" w:color="auto"/>
              <w:left w:val="single" w:sz="4" w:space="0" w:color="auto"/>
              <w:bottom w:val="single" w:sz="4" w:space="0" w:color="auto"/>
              <w:right w:val="single" w:sz="4" w:space="0" w:color="auto"/>
            </w:tcBorders>
            <w:hideMark/>
          </w:tcPr>
          <w:p w14:paraId="2AFF7A9B" w14:textId="77777777" w:rsidR="00335B4B" w:rsidRDefault="00335B4B">
            <w:pPr>
              <w:pStyle w:val="Listenabsatz"/>
              <w:ind w:left="0"/>
              <w:rPr>
                <w:b/>
                <w:bCs/>
              </w:rPr>
            </w:pPr>
            <w:r>
              <w:t>Die Felder für das Konto lassen Sie leer.</w:t>
            </w:r>
          </w:p>
        </w:tc>
        <w:tc>
          <w:tcPr>
            <w:tcW w:w="2706" w:type="dxa"/>
            <w:tcBorders>
              <w:top w:val="single" w:sz="4" w:space="0" w:color="auto"/>
              <w:left w:val="single" w:sz="4" w:space="0" w:color="auto"/>
              <w:bottom w:val="single" w:sz="4" w:space="0" w:color="auto"/>
              <w:right w:val="single" w:sz="4" w:space="0" w:color="auto"/>
            </w:tcBorders>
          </w:tcPr>
          <w:p w14:paraId="260F4D59" w14:textId="77777777" w:rsidR="00335B4B" w:rsidRDefault="00335B4B">
            <w:pPr>
              <w:pStyle w:val="Listenabsatz"/>
              <w:ind w:left="0"/>
            </w:pPr>
          </w:p>
        </w:tc>
      </w:tr>
    </w:tbl>
    <w:p w14:paraId="75A4E4E6" w14:textId="77777777" w:rsidR="00335B4B" w:rsidRDefault="00335B4B" w:rsidP="00335B4B">
      <w:pPr>
        <w:pStyle w:val="Listenabsatz"/>
        <w:numPr>
          <w:ilvl w:val="1"/>
          <w:numId w:val="3"/>
        </w:numPr>
        <w:spacing w:line="256" w:lineRule="auto"/>
      </w:pPr>
      <w:r>
        <w:t>Unter Spiegelung starten Sie den Assistenten und geben folgende Eckdaten ein:</w:t>
      </w:r>
      <w:r>
        <w:br/>
      </w:r>
      <w:r>
        <w:br/>
      </w:r>
      <w:r>
        <w:br/>
      </w:r>
      <w:r>
        <w:br/>
      </w:r>
    </w:p>
    <w:p w14:paraId="51EE373A" w14:textId="77777777" w:rsidR="00335B4B" w:rsidRDefault="00335B4B" w:rsidP="00335B4B">
      <w:pPr>
        <w:ind w:left="1080"/>
      </w:pPr>
    </w:p>
    <w:p w14:paraId="3AC986A9" w14:textId="77777777" w:rsidR="00335B4B" w:rsidRDefault="00335B4B" w:rsidP="00335B4B">
      <w:pPr>
        <w:ind w:left="1080"/>
      </w:pPr>
    </w:p>
    <w:p w14:paraId="603FCC05" w14:textId="77777777" w:rsidR="00335B4B" w:rsidRDefault="00335B4B" w:rsidP="00335B4B">
      <w:pPr>
        <w:ind w:left="1080"/>
      </w:pPr>
    </w:p>
    <w:p w14:paraId="0A82D8BA" w14:textId="77777777" w:rsidR="00335B4B" w:rsidRDefault="00335B4B" w:rsidP="00335B4B">
      <w:pPr>
        <w:ind w:left="1080"/>
      </w:pPr>
    </w:p>
    <w:p w14:paraId="58C1032D" w14:textId="77777777" w:rsidR="00335B4B" w:rsidRDefault="00335B4B" w:rsidP="00335B4B">
      <w:pPr>
        <w:ind w:left="1080"/>
      </w:pPr>
    </w:p>
    <w:p w14:paraId="7FA3CA9B" w14:textId="77777777" w:rsidR="00335B4B" w:rsidRDefault="00335B4B" w:rsidP="00335B4B">
      <w:pPr>
        <w:ind w:left="1080"/>
      </w:pPr>
    </w:p>
    <w:p w14:paraId="49A0A6C7" w14:textId="77777777" w:rsidR="00335B4B" w:rsidRDefault="00335B4B" w:rsidP="00335B4B">
      <w:pPr>
        <w:pStyle w:val="Listenabsatz"/>
        <w:numPr>
          <w:ilvl w:val="1"/>
          <w:numId w:val="3"/>
        </w:numPr>
        <w:spacing w:line="256" w:lineRule="auto"/>
      </w:pPr>
      <w:r>
        <w:rPr>
          <w:b/>
          <w:bCs/>
        </w:rPr>
        <w:t>Dialog: „Spiegelung starten“</w:t>
      </w:r>
      <w:r>
        <w:t xml:space="preserve"> </w:t>
      </w:r>
      <w:r>
        <w:br/>
        <w:t xml:space="preserve">Sobald Sie den Dialog sehen, ob die Spiegelung gestartet werden soll, lassen Sie das Fenster einfach so stehen. Wir kommen später hierher zurück. </w:t>
      </w:r>
    </w:p>
    <w:p w14:paraId="332AED8C" w14:textId="5384B733" w:rsidR="00335B4B" w:rsidRDefault="00335B4B" w:rsidP="004D2E5F">
      <w:pPr>
        <w:pStyle w:val="Listenabsatz"/>
        <w:spacing w:line="256" w:lineRule="auto"/>
        <w:ind w:left="1440"/>
      </w:pPr>
    </w:p>
    <w:p w14:paraId="2574FC4A" w14:textId="13FF77C8" w:rsidR="004D2E5F" w:rsidRDefault="004D2E5F" w:rsidP="004D2E5F">
      <w:pPr>
        <w:pStyle w:val="Listenabsatz"/>
        <w:spacing w:line="256" w:lineRule="auto"/>
        <w:ind w:left="1440"/>
      </w:pPr>
    </w:p>
    <w:p w14:paraId="4AA2DF6A" w14:textId="77777777" w:rsidR="004D2E5F" w:rsidRDefault="004D2E5F" w:rsidP="004D2E5F">
      <w:pPr>
        <w:pStyle w:val="Listenabsatz"/>
        <w:spacing w:line="256" w:lineRule="auto"/>
        <w:ind w:left="1440"/>
      </w:pPr>
    </w:p>
    <w:p w14:paraId="10E7D1C1" w14:textId="77777777" w:rsidR="00335B4B" w:rsidRDefault="00335B4B" w:rsidP="00335B4B">
      <w:pPr>
        <w:pStyle w:val="Listenabsatz"/>
        <w:numPr>
          <w:ilvl w:val="0"/>
          <w:numId w:val="3"/>
        </w:numPr>
        <w:spacing w:line="256" w:lineRule="auto"/>
      </w:pPr>
      <w:r>
        <w:lastRenderedPageBreak/>
        <w:t xml:space="preserve">Um die </w:t>
      </w:r>
      <w:r>
        <w:rPr>
          <w:b/>
          <w:bCs/>
        </w:rPr>
        <w:t>Spiegelung</w:t>
      </w:r>
      <w:r>
        <w:t xml:space="preserve"> zu </w:t>
      </w:r>
      <w:r>
        <w:rPr>
          <w:b/>
          <w:bCs/>
        </w:rPr>
        <w:t>aktivieren</w:t>
      </w:r>
      <w:r>
        <w:t xml:space="preserve">, bedarf es bestimmter </w:t>
      </w:r>
      <w:r>
        <w:rPr>
          <w:b/>
          <w:bCs/>
        </w:rPr>
        <w:t>Berechtigungen</w:t>
      </w:r>
      <w:r>
        <w:t>:</w:t>
      </w:r>
    </w:p>
    <w:p w14:paraId="28668DF1" w14:textId="77777777" w:rsidR="00335B4B" w:rsidRDefault="00335B4B" w:rsidP="00335B4B">
      <w:pPr>
        <w:pStyle w:val="Listenabsatz"/>
        <w:numPr>
          <w:ilvl w:val="1"/>
          <w:numId w:val="5"/>
        </w:numPr>
        <w:spacing w:line="256" w:lineRule="auto"/>
      </w:pPr>
      <w:r>
        <w:t>Zum einen muss das Konto von HV-SQL1 auf HV-SQL2 Zugriff besitzen, sowie von HV-SQL2 auf HV-SQL1.</w:t>
      </w:r>
      <w:r>
        <w:br/>
        <w:t xml:space="preserve">Daher sind </w:t>
      </w:r>
      <w:r>
        <w:rPr>
          <w:b/>
          <w:bCs/>
        </w:rPr>
        <w:t>Logins</w:t>
      </w:r>
      <w:r>
        <w:t xml:space="preserve"> und </w:t>
      </w:r>
      <w:r>
        <w:rPr>
          <w:b/>
          <w:bCs/>
        </w:rPr>
        <w:t>Zugriffsrechte</w:t>
      </w:r>
      <w:r>
        <w:t xml:space="preserve"> auf den jeweiligen Server für ein Konto notwendig. Idealerweise erledigen wir das mit „</w:t>
      </w:r>
      <w:r>
        <w:rPr>
          <w:b/>
          <w:bCs/>
          <w:i/>
          <w:iCs/>
        </w:rPr>
        <w:t>Registrierte Server</w:t>
      </w:r>
      <w:r>
        <w:t>“ und einem Skript:</w:t>
      </w:r>
    </w:p>
    <w:p w14:paraId="01600C34" w14:textId="77777777" w:rsidR="00335B4B" w:rsidRDefault="00335B4B" w:rsidP="00335B4B">
      <w:pPr>
        <w:pStyle w:val="Listenabsatz"/>
        <w:numPr>
          <w:ilvl w:val="1"/>
          <w:numId w:val="5"/>
        </w:numPr>
        <w:spacing w:line="256" w:lineRule="auto"/>
      </w:pPr>
      <w:r>
        <w:t xml:space="preserve">Klicken Sie dazu auf Ansicht im SSMS und öffnen sie </w:t>
      </w:r>
      <w:r>
        <w:rPr>
          <w:b/>
          <w:bCs/>
          <w:i/>
          <w:iCs/>
        </w:rPr>
        <w:t>Registrierten Server</w:t>
      </w:r>
    </w:p>
    <w:p w14:paraId="5CC0DC77" w14:textId="77777777" w:rsidR="00335B4B" w:rsidRDefault="00335B4B" w:rsidP="00335B4B">
      <w:pPr>
        <w:pStyle w:val="Listenabsatz"/>
        <w:numPr>
          <w:ilvl w:val="2"/>
          <w:numId w:val="3"/>
        </w:numPr>
        <w:spacing w:line="256" w:lineRule="auto"/>
      </w:pPr>
      <w:r>
        <w:t xml:space="preserve">Legen Sie mit der rechten Maustaste eine </w:t>
      </w:r>
      <w:r>
        <w:rPr>
          <w:b/>
          <w:bCs/>
        </w:rPr>
        <w:t>neue Servergruppe</w:t>
      </w:r>
      <w:r>
        <w:t xml:space="preserve"> an (Name: </w:t>
      </w:r>
      <w:r>
        <w:rPr>
          <w:b/>
          <w:bCs/>
          <w:i/>
          <w:iCs/>
        </w:rPr>
        <w:t>Schulungsserver</w:t>
      </w:r>
      <w:r>
        <w:t xml:space="preserve">), in der sie den </w:t>
      </w:r>
      <w:r>
        <w:rPr>
          <w:b/>
          <w:bCs/>
          <w:i/>
          <w:iCs/>
        </w:rPr>
        <w:t>hv-sql1</w:t>
      </w:r>
      <w:r>
        <w:t xml:space="preserve"> und den </w:t>
      </w:r>
      <w:r>
        <w:rPr>
          <w:b/>
          <w:bCs/>
          <w:i/>
          <w:iCs/>
        </w:rPr>
        <w:t xml:space="preserve">hv-sql2 </w:t>
      </w:r>
      <w:r>
        <w:rPr>
          <w:b/>
          <w:bCs/>
        </w:rPr>
        <w:t>registrieren</w:t>
      </w:r>
      <w:r>
        <w:t>.</w:t>
      </w:r>
    </w:p>
    <w:p w14:paraId="6DD69633" w14:textId="77777777" w:rsidR="00335B4B" w:rsidRDefault="00335B4B" w:rsidP="00335B4B">
      <w:pPr>
        <w:pStyle w:val="Listenabsatz"/>
        <w:numPr>
          <w:ilvl w:val="2"/>
          <w:numId w:val="3"/>
        </w:numPr>
        <w:spacing w:line="256" w:lineRule="auto"/>
      </w:pPr>
      <w:r>
        <w:t xml:space="preserve">Nun klicken sie mit der rechten Maustaste </w:t>
      </w:r>
      <w:r>
        <w:rPr>
          <w:b/>
          <w:bCs/>
        </w:rPr>
        <w:t>auf die neue Gruppe</w:t>
      </w:r>
      <w:r>
        <w:t xml:space="preserve"> und wählen </w:t>
      </w:r>
      <w:r>
        <w:rPr>
          <w:b/>
          <w:bCs/>
          <w:i/>
          <w:iCs/>
        </w:rPr>
        <w:t>neue Abfrage</w:t>
      </w:r>
      <w:r>
        <w:t>.</w:t>
      </w:r>
    </w:p>
    <w:p w14:paraId="5C4D0714" w14:textId="77777777" w:rsidR="00335B4B" w:rsidRDefault="00335B4B" w:rsidP="00335B4B">
      <w:pPr>
        <w:pStyle w:val="Listenabsatz"/>
        <w:ind w:left="2160"/>
        <w:rPr>
          <w:color w:val="538135" w:themeColor="accent6" w:themeShade="BF"/>
        </w:rPr>
      </w:pPr>
      <w:r>
        <w:rPr>
          <w:color w:val="538135" w:themeColor="accent6" w:themeShade="BF"/>
        </w:rPr>
        <w:t xml:space="preserve">Hinweis: Das Abfragefenster sollten </w:t>
      </w:r>
      <w:proofErr w:type="gramStart"/>
      <w:r>
        <w:rPr>
          <w:color w:val="538135" w:themeColor="accent6" w:themeShade="BF"/>
        </w:rPr>
        <w:t>unterhalb einen rosa Streifen</w:t>
      </w:r>
      <w:proofErr w:type="gramEnd"/>
      <w:r>
        <w:rPr>
          <w:color w:val="538135" w:themeColor="accent6" w:themeShade="BF"/>
        </w:rPr>
        <w:t xml:space="preserve"> anzeigen, was bedeutet, dass Sie mit allen beteiligten Server der Gruppe arbeiten werden. (gelb: nur ein Server)</w:t>
      </w:r>
    </w:p>
    <w:p w14:paraId="1215817B" w14:textId="77777777" w:rsidR="00335B4B" w:rsidRDefault="00335B4B" w:rsidP="00335B4B">
      <w:pPr>
        <w:pStyle w:val="Listenabsatz"/>
        <w:numPr>
          <w:ilvl w:val="2"/>
          <w:numId w:val="3"/>
        </w:numPr>
        <w:spacing w:line="256" w:lineRule="auto"/>
      </w:pPr>
      <w:r>
        <w:t xml:space="preserve">Geben Sie folgenden Code ein, der nun auf beiden Servern die Logins einrichtet und den Konten des </w:t>
      </w:r>
      <w:proofErr w:type="gramStart"/>
      <w:r>
        <w:t>SQL Dienstes</w:t>
      </w:r>
      <w:proofErr w:type="gramEnd"/>
      <w:r>
        <w:t xml:space="preserve"> das Recht auf die Spiegelungsendpunkte mit Namen „Spiegelung“ gibt</w:t>
      </w:r>
    </w:p>
    <w:p w14:paraId="5E14FEC8" w14:textId="77777777" w:rsidR="00335B4B" w:rsidRDefault="00335B4B" w:rsidP="00335B4B">
      <w:pPr>
        <w:autoSpaceDE w:val="0"/>
        <w:autoSpaceDN w:val="0"/>
        <w:adjustRightInd w:val="0"/>
        <w:spacing w:after="0" w:line="240" w:lineRule="auto"/>
        <w:ind w:left="1980"/>
        <w:rPr>
          <w:rFonts w:ascii="Consolas" w:hAnsi="Consolas" w:cs="Consolas"/>
          <w:color w:val="000000"/>
          <w:sz w:val="18"/>
          <w:szCs w:val="18"/>
        </w:rPr>
      </w:pPr>
      <w:r>
        <w:rPr>
          <w:rFonts w:ascii="Consolas" w:hAnsi="Consolas" w:cs="Consolas"/>
          <w:color w:val="0000FF"/>
          <w:sz w:val="18"/>
          <w:szCs w:val="18"/>
        </w:rPr>
        <w:t>USE</w:t>
      </w:r>
      <w:r>
        <w:rPr>
          <w:rFonts w:ascii="Consolas" w:hAnsi="Consolas" w:cs="Consolas"/>
          <w:color w:val="000000"/>
          <w:sz w:val="18"/>
          <w:szCs w:val="18"/>
        </w:rPr>
        <w:t xml:space="preserve"> [</w:t>
      </w:r>
      <w:proofErr w:type="spellStart"/>
      <w:r>
        <w:rPr>
          <w:rFonts w:ascii="Consolas" w:hAnsi="Consolas" w:cs="Consolas"/>
          <w:color w:val="000000"/>
          <w:sz w:val="18"/>
          <w:szCs w:val="18"/>
        </w:rPr>
        <w:t>master</w:t>
      </w:r>
      <w:proofErr w:type="spellEnd"/>
      <w:r>
        <w:rPr>
          <w:rFonts w:ascii="Consolas" w:hAnsi="Consolas" w:cs="Consolas"/>
          <w:color w:val="000000"/>
          <w:sz w:val="18"/>
          <w:szCs w:val="18"/>
        </w:rPr>
        <w:t>]</w:t>
      </w:r>
    </w:p>
    <w:p w14:paraId="667F3A36" w14:textId="77777777" w:rsidR="00335B4B" w:rsidRDefault="00335B4B" w:rsidP="00335B4B">
      <w:pPr>
        <w:autoSpaceDE w:val="0"/>
        <w:autoSpaceDN w:val="0"/>
        <w:adjustRightInd w:val="0"/>
        <w:spacing w:after="0" w:line="240" w:lineRule="auto"/>
        <w:ind w:left="1980"/>
        <w:rPr>
          <w:rFonts w:ascii="Consolas" w:hAnsi="Consolas" w:cs="Consolas"/>
          <w:color w:val="000000"/>
          <w:sz w:val="18"/>
          <w:szCs w:val="18"/>
        </w:rPr>
      </w:pPr>
      <w:r>
        <w:rPr>
          <w:rFonts w:ascii="Consolas" w:hAnsi="Consolas" w:cs="Consolas"/>
          <w:color w:val="0000FF"/>
          <w:sz w:val="18"/>
          <w:szCs w:val="18"/>
        </w:rPr>
        <w:t>GO</w:t>
      </w:r>
    </w:p>
    <w:p w14:paraId="39E9179D" w14:textId="77777777" w:rsidR="00335B4B" w:rsidRDefault="00335B4B" w:rsidP="00335B4B">
      <w:pPr>
        <w:autoSpaceDE w:val="0"/>
        <w:autoSpaceDN w:val="0"/>
        <w:adjustRightInd w:val="0"/>
        <w:spacing w:after="0" w:line="240" w:lineRule="auto"/>
        <w:ind w:left="1980"/>
        <w:rPr>
          <w:rFonts w:ascii="Consolas" w:hAnsi="Consolas" w:cs="Consolas"/>
          <w:color w:val="000000"/>
          <w:sz w:val="18"/>
          <w:szCs w:val="18"/>
        </w:rPr>
      </w:pPr>
      <w:r>
        <w:rPr>
          <w:rFonts w:ascii="Consolas" w:hAnsi="Consolas" w:cs="Consolas"/>
          <w:color w:val="0000FF"/>
          <w:sz w:val="18"/>
          <w:szCs w:val="18"/>
        </w:rPr>
        <w:t>CREATE</w:t>
      </w:r>
      <w:r>
        <w:rPr>
          <w:rFonts w:ascii="Consolas" w:hAnsi="Consolas" w:cs="Consolas"/>
          <w:color w:val="000000"/>
          <w:sz w:val="18"/>
          <w:szCs w:val="18"/>
        </w:rPr>
        <w:t xml:space="preserve"> </w:t>
      </w:r>
      <w:r>
        <w:rPr>
          <w:rFonts w:ascii="Consolas" w:hAnsi="Consolas" w:cs="Consolas"/>
          <w:color w:val="0000FF"/>
          <w:sz w:val="18"/>
          <w:szCs w:val="18"/>
        </w:rPr>
        <w:t>LOGIN</w:t>
      </w:r>
      <w:r>
        <w:rPr>
          <w:rFonts w:ascii="Consolas" w:hAnsi="Consolas" w:cs="Consolas"/>
          <w:color w:val="000000"/>
          <w:sz w:val="18"/>
          <w:szCs w:val="18"/>
        </w:rPr>
        <w:t xml:space="preserve"> [TRAINING\</w:t>
      </w:r>
      <w:proofErr w:type="spellStart"/>
      <w:r>
        <w:rPr>
          <w:rFonts w:ascii="Consolas" w:hAnsi="Consolas" w:cs="Consolas"/>
          <w:color w:val="000000"/>
          <w:sz w:val="18"/>
          <w:szCs w:val="18"/>
        </w:rPr>
        <w:t>svcsql</w:t>
      </w:r>
      <w:proofErr w:type="spellEnd"/>
      <w:r>
        <w:rPr>
          <w:rFonts w:ascii="Consolas" w:hAnsi="Consolas" w:cs="Consolas"/>
          <w:color w:val="000000"/>
          <w:sz w:val="18"/>
          <w:szCs w:val="18"/>
        </w:rPr>
        <w:t xml:space="preserve">] </w:t>
      </w:r>
      <w:r>
        <w:rPr>
          <w:rFonts w:ascii="Consolas" w:hAnsi="Consolas" w:cs="Consolas"/>
          <w:color w:val="0000FF"/>
          <w:sz w:val="18"/>
          <w:szCs w:val="18"/>
        </w:rPr>
        <w:t>FROM</w:t>
      </w:r>
      <w:r>
        <w:rPr>
          <w:rFonts w:ascii="Consolas" w:hAnsi="Consolas" w:cs="Consolas"/>
          <w:color w:val="000000"/>
          <w:sz w:val="18"/>
          <w:szCs w:val="18"/>
        </w:rPr>
        <w:t xml:space="preserve"> </w:t>
      </w:r>
      <w:r>
        <w:rPr>
          <w:rFonts w:ascii="Consolas" w:hAnsi="Consolas" w:cs="Consolas"/>
          <w:color w:val="0000FF"/>
          <w:sz w:val="18"/>
          <w:szCs w:val="18"/>
        </w:rPr>
        <w:t>WINDOWS</w:t>
      </w:r>
      <w:r>
        <w:rPr>
          <w:rFonts w:ascii="Consolas" w:hAnsi="Consolas" w:cs="Consolas"/>
          <w:color w:val="008000"/>
          <w:sz w:val="18"/>
          <w:szCs w:val="18"/>
        </w:rPr>
        <w:t>-- WITH DEFAULT_DATABASE=[</w:t>
      </w:r>
      <w:proofErr w:type="spellStart"/>
      <w:r>
        <w:rPr>
          <w:rFonts w:ascii="Consolas" w:hAnsi="Consolas" w:cs="Consolas"/>
          <w:color w:val="008000"/>
          <w:sz w:val="18"/>
          <w:szCs w:val="18"/>
        </w:rPr>
        <w:t>master</w:t>
      </w:r>
      <w:proofErr w:type="spellEnd"/>
      <w:r>
        <w:rPr>
          <w:rFonts w:ascii="Consolas" w:hAnsi="Consolas" w:cs="Consolas"/>
          <w:color w:val="008000"/>
          <w:sz w:val="18"/>
          <w:szCs w:val="18"/>
        </w:rPr>
        <w:t>]</w:t>
      </w:r>
    </w:p>
    <w:p w14:paraId="3E3BAE63" w14:textId="77777777" w:rsidR="00335B4B" w:rsidRDefault="00335B4B" w:rsidP="00335B4B">
      <w:pPr>
        <w:autoSpaceDE w:val="0"/>
        <w:autoSpaceDN w:val="0"/>
        <w:adjustRightInd w:val="0"/>
        <w:spacing w:after="0" w:line="240" w:lineRule="auto"/>
        <w:ind w:left="1980"/>
        <w:rPr>
          <w:rFonts w:ascii="Consolas" w:hAnsi="Consolas" w:cs="Consolas"/>
          <w:color w:val="000000"/>
          <w:sz w:val="18"/>
          <w:szCs w:val="18"/>
        </w:rPr>
      </w:pPr>
      <w:r>
        <w:rPr>
          <w:rFonts w:ascii="Consolas" w:hAnsi="Consolas" w:cs="Consolas"/>
          <w:color w:val="0000FF"/>
          <w:sz w:val="18"/>
          <w:szCs w:val="18"/>
        </w:rPr>
        <w:t>GO</w:t>
      </w:r>
    </w:p>
    <w:p w14:paraId="129DE954" w14:textId="77777777" w:rsidR="00335B4B" w:rsidRDefault="00335B4B" w:rsidP="00335B4B">
      <w:pPr>
        <w:autoSpaceDE w:val="0"/>
        <w:autoSpaceDN w:val="0"/>
        <w:adjustRightInd w:val="0"/>
        <w:spacing w:after="0" w:line="240" w:lineRule="auto"/>
        <w:ind w:left="564"/>
        <w:rPr>
          <w:rFonts w:ascii="Consolas" w:hAnsi="Consolas" w:cs="Consolas"/>
          <w:color w:val="000000"/>
          <w:sz w:val="18"/>
          <w:szCs w:val="18"/>
        </w:rPr>
      </w:pPr>
    </w:p>
    <w:p w14:paraId="4F0CFB6E" w14:textId="77777777" w:rsidR="00335B4B" w:rsidRDefault="00335B4B" w:rsidP="00335B4B">
      <w:pPr>
        <w:autoSpaceDE w:val="0"/>
        <w:autoSpaceDN w:val="0"/>
        <w:adjustRightInd w:val="0"/>
        <w:spacing w:after="0" w:line="240" w:lineRule="auto"/>
        <w:ind w:left="1272" w:firstLine="708"/>
        <w:rPr>
          <w:rFonts w:ascii="Consolas" w:hAnsi="Consolas" w:cs="Consolas"/>
          <w:color w:val="000000"/>
          <w:sz w:val="18"/>
          <w:szCs w:val="18"/>
        </w:rPr>
      </w:pPr>
      <w:r>
        <w:rPr>
          <w:rFonts w:ascii="Consolas" w:hAnsi="Consolas" w:cs="Consolas"/>
          <w:color w:val="008000"/>
          <w:sz w:val="18"/>
          <w:szCs w:val="18"/>
        </w:rPr>
        <w:t xml:space="preserve">--Recht auf Endpunkt auf jeden </w:t>
      </w:r>
      <w:proofErr w:type="spellStart"/>
      <w:r>
        <w:rPr>
          <w:rFonts w:ascii="Consolas" w:hAnsi="Consolas" w:cs="Consolas"/>
          <w:color w:val="008000"/>
          <w:sz w:val="18"/>
          <w:szCs w:val="18"/>
        </w:rPr>
        <w:t>bet</w:t>
      </w:r>
      <w:proofErr w:type="spellEnd"/>
      <w:r>
        <w:rPr>
          <w:rFonts w:ascii="Consolas" w:hAnsi="Consolas" w:cs="Consolas"/>
          <w:color w:val="008000"/>
          <w:sz w:val="18"/>
          <w:szCs w:val="18"/>
        </w:rPr>
        <w:t>. Server</w:t>
      </w:r>
    </w:p>
    <w:p w14:paraId="4016827A" w14:textId="77777777" w:rsidR="00335B4B" w:rsidRDefault="00335B4B" w:rsidP="00335B4B">
      <w:pPr>
        <w:ind w:left="1644" w:firstLine="336"/>
        <w:rPr>
          <w:rFonts w:ascii="Consolas" w:hAnsi="Consolas" w:cs="Consolas"/>
          <w:color w:val="000000"/>
          <w:sz w:val="18"/>
          <w:szCs w:val="18"/>
        </w:rPr>
      </w:pPr>
      <w:r>
        <w:rPr>
          <w:rFonts w:ascii="Consolas" w:hAnsi="Consolas" w:cs="Consolas"/>
          <w:color w:val="0000FF"/>
          <w:sz w:val="18"/>
          <w:szCs w:val="18"/>
        </w:rPr>
        <w:t xml:space="preserve">GRANT CONNECT ON </w:t>
      </w:r>
      <w:proofErr w:type="gramStart"/>
      <w:r>
        <w:rPr>
          <w:rFonts w:ascii="Consolas" w:hAnsi="Consolas" w:cs="Consolas"/>
          <w:color w:val="0000FF"/>
          <w:sz w:val="18"/>
          <w:szCs w:val="18"/>
        </w:rPr>
        <w:t>ENDPOINT</w:t>
      </w:r>
      <w:r>
        <w:rPr>
          <w:rFonts w:ascii="Consolas" w:hAnsi="Consolas" w:cs="Consolas"/>
          <w:color w:val="808080"/>
          <w:sz w:val="18"/>
          <w:szCs w:val="18"/>
        </w:rPr>
        <w:t>::</w:t>
      </w:r>
      <w:proofErr w:type="spellStart"/>
      <w:proofErr w:type="gramEnd"/>
      <w:r>
        <w:rPr>
          <w:rFonts w:ascii="Consolas" w:hAnsi="Consolas" w:cs="Consolas"/>
          <w:color w:val="000000"/>
          <w:sz w:val="18"/>
          <w:szCs w:val="18"/>
        </w:rPr>
        <w:t>spiegelung</w:t>
      </w:r>
      <w:proofErr w:type="spellEnd"/>
      <w:r>
        <w:rPr>
          <w:rFonts w:ascii="Consolas" w:hAnsi="Consolas" w:cs="Consolas"/>
          <w:color w:val="000000"/>
          <w:sz w:val="18"/>
          <w:szCs w:val="18"/>
        </w:rPr>
        <w:t xml:space="preserve"> </w:t>
      </w:r>
      <w:r>
        <w:rPr>
          <w:rFonts w:ascii="Consolas" w:hAnsi="Consolas" w:cs="Consolas"/>
          <w:color w:val="0000FF"/>
          <w:sz w:val="18"/>
          <w:szCs w:val="18"/>
        </w:rPr>
        <w:t>TO</w:t>
      </w:r>
      <w:r>
        <w:rPr>
          <w:rFonts w:ascii="Consolas" w:hAnsi="Consolas" w:cs="Consolas"/>
          <w:color w:val="000000"/>
          <w:sz w:val="18"/>
          <w:szCs w:val="18"/>
        </w:rPr>
        <w:t xml:space="preserve"> [TRAINING\</w:t>
      </w:r>
      <w:proofErr w:type="spellStart"/>
      <w:r>
        <w:rPr>
          <w:rFonts w:ascii="Consolas" w:hAnsi="Consolas" w:cs="Consolas"/>
          <w:color w:val="000000"/>
          <w:sz w:val="18"/>
          <w:szCs w:val="18"/>
        </w:rPr>
        <w:t>svcSQL</w:t>
      </w:r>
      <w:proofErr w:type="spellEnd"/>
      <w:r>
        <w:rPr>
          <w:rFonts w:ascii="Consolas" w:hAnsi="Consolas" w:cs="Consolas"/>
          <w:color w:val="000000"/>
          <w:sz w:val="18"/>
          <w:szCs w:val="18"/>
        </w:rPr>
        <w:t>]</w:t>
      </w:r>
    </w:p>
    <w:p w14:paraId="3A986227" w14:textId="77777777" w:rsidR="00335B4B" w:rsidRDefault="00335B4B" w:rsidP="00335B4B">
      <w:pPr>
        <w:ind w:left="1644" w:firstLine="336"/>
        <w:rPr>
          <w:rFonts w:ascii="Consolas" w:hAnsi="Consolas" w:cs="Consolas"/>
          <w:color w:val="000000"/>
          <w:sz w:val="19"/>
          <w:szCs w:val="19"/>
        </w:rPr>
      </w:pPr>
    </w:p>
    <w:p w14:paraId="02FA5839" w14:textId="77777777" w:rsidR="00335B4B" w:rsidRDefault="00335B4B" w:rsidP="00335B4B">
      <w:pPr>
        <w:pStyle w:val="Listenabsatz"/>
        <w:numPr>
          <w:ilvl w:val="0"/>
          <w:numId w:val="3"/>
        </w:numPr>
        <w:spacing w:line="256" w:lineRule="auto"/>
      </w:pPr>
      <w:r>
        <w:t xml:space="preserve">Nun wird es Zeit die </w:t>
      </w:r>
      <w:r>
        <w:rPr>
          <w:b/>
          <w:bCs/>
        </w:rPr>
        <w:t>Spiegelung</w:t>
      </w:r>
      <w:r>
        <w:t xml:space="preserve"> zu </w:t>
      </w:r>
      <w:r>
        <w:rPr>
          <w:b/>
          <w:bCs/>
        </w:rPr>
        <w:t>starten</w:t>
      </w:r>
      <w:r>
        <w:t xml:space="preserve">. Versuchen Sie via dem noch geöffneten Dialog die Spiegelung zu starten. Mit sehr hoher Wahrscheinlichkeit tritt ein Fehler auf. Das Problem liegt darin, dass das SSMS die Spiegelung nicht mehr weiter pflegt. Unter SQL 2014 war die Spiegelung an dieser Stelle fertig konfiguriert. Nun müssen wir die Spieglung </w:t>
      </w:r>
      <w:r>
        <w:rPr>
          <w:b/>
          <w:bCs/>
        </w:rPr>
        <w:t>manuell starten</w:t>
      </w:r>
      <w:r>
        <w:t>. Dazu führen wir folgendes auf dem HV-SQL1 aus:</w:t>
      </w:r>
    </w:p>
    <w:p w14:paraId="59174551" w14:textId="77777777" w:rsidR="00335B4B" w:rsidRDefault="00335B4B" w:rsidP="00335B4B">
      <w:pPr>
        <w:pStyle w:val="Listenabsatz"/>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b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SPDB </w:t>
      </w:r>
    </w:p>
    <w:p w14:paraId="6CCB209F" w14:textId="77777777" w:rsidR="00335B4B" w:rsidRDefault="00335B4B" w:rsidP="00335B4B">
      <w:pPr>
        <w:pStyle w:val="Listenabsatz"/>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PARTNER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'TCP://HV-SQL2.TRAINING.local:5022'</w:t>
      </w:r>
    </w:p>
    <w:p w14:paraId="47AF6FB1" w14:textId="77777777" w:rsidR="00335B4B" w:rsidRDefault="00335B4B" w:rsidP="00335B4B">
      <w:pPr>
        <w:pStyle w:val="Listenabsatz"/>
        <w:rPr>
          <w:rFonts w:ascii="Consolas" w:hAnsi="Consolas" w:cs="Consolas"/>
          <w:color w:val="0000FF"/>
          <w:sz w:val="19"/>
          <w:szCs w:val="19"/>
        </w:rPr>
      </w:pPr>
      <w:r>
        <w:rPr>
          <w:rFonts w:ascii="Consolas" w:hAnsi="Consolas" w:cs="Consolas"/>
          <w:color w:val="0000FF"/>
          <w:sz w:val="19"/>
          <w:szCs w:val="19"/>
        </w:rPr>
        <w:t>GO</w:t>
      </w:r>
    </w:p>
    <w:p w14:paraId="305CC3ED" w14:textId="77777777" w:rsidR="00335B4B" w:rsidRDefault="00335B4B" w:rsidP="00335B4B">
      <w:pPr>
        <w:ind w:firstLine="708"/>
      </w:pPr>
      <w:r>
        <w:t>Die Spiegelung sollten nun gestartet sein.</w:t>
      </w:r>
    </w:p>
    <w:p w14:paraId="4EFCFFFC" w14:textId="6C638CB1" w:rsidR="00E66C06" w:rsidRPr="00E66C06" w:rsidRDefault="00E66C06" w:rsidP="00E66C06">
      <w:pPr>
        <w:pStyle w:val="berschrift1"/>
        <w:numPr>
          <w:ilvl w:val="0"/>
          <w:numId w:val="0"/>
        </w:numPr>
        <w:rPr>
          <w:rFonts w:asciiTheme="minorHAnsi" w:hAnsiTheme="minorHAnsi" w:cstheme="minorHAnsi"/>
          <w:color w:val="2D497A"/>
          <w:sz w:val="22"/>
          <w:szCs w:val="22"/>
        </w:rPr>
      </w:pPr>
    </w:p>
    <w:p w14:paraId="0D40ECD0" w14:textId="6D49E471" w:rsidR="00E66C06" w:rsidRPr="00E66C06" w:rsidRDefault="00335B4B" w:rsidP="00335B4B">
      <w:pPr>
        <w:rPr>
          <w:color w:val="2D497A"/>
        </w:rPr>
      </w:pPr>
      <w:r>
        <w:rPr>
          <w:rFonts w:cstheme="minorHAnsi"/>
        </w:rPr>
        <w:t>Andreas Rauch</w:t>
      </w:r>
      <w:r w:rsidR="00E66C06" w:rsidRPr="00335B4B">
        <w:rPr>
          <w:rFonts w:cstheme="minorHAnsi"/>
        </w:rPr>
        <w:t xml:space="preserve">, </w:t>
      </w:r>
      <w:r>
        <w:rPr>
          <w:rFonts w:cstheme="minorHAnsi"/>
        </w:rPr>
        <w:t>01.09.2021</w:t>
      </w:r>
    </w:p>
    <w:p w14:paraId="68F14D6C" w14:textId="77777777" w:rsidR="00E66C06" w:rsidRPr="00E66C06" w:rsidRDefault="00E66C06" w:rsidP="00E66C06">
      <w:pPr>
        <w:pStyle w:val="berschrift1"/>
        <w:numPr>
          <w:ilvl w:val="0"/>
          <w:numId w:val="0"/>
        </w:numPr>
        <w:rPr>
          <w:color w:val="2D497A"/>
        </w:rPr>
      </w:pPr>
    </w:p>
    <w:p w14:paraId="0D0E6740" w14:textId="0EC9A5FB" w:rsidR="00816667" w:rsidRPr="00E66C06" w:rsidRDefault="00816667" w:rsidP="00E66C06">
      <w:pPr>
        <w:pStyle w:val="berschrift1"/>
        <w:numPr>
          <w:ilvl w:val="0"/>
          <w:numId w:val="0"/>
        </w:numPr>
        <w:rPr>
          <w:color w:val="2D497A"/>
        </w:rPr>
      </w:pPr>
      <w:r w:rsidRPr="00E66C06">
        <w:rPr>
          <w:color w:val="2D497A"/>
        </w:rPr>
        <w:br/>
      </w:r>
    </w:p>
    <w:p w14:paraId="06A9E184" w14:textId="77777777" w:rsidR="000E76DA" w:rsidRPr="00E66C06" w:rsidRDefault="000E76DA">
      <w:pPr>
        <w:rPr>
          <w:color w:val="2D497A"/>
        </w:rPr>
      </w:pPr>
    </w:p>
    <w:sectPr w:rsidR="000E76DA" w:rsidRPr="00E66C06" w:rsidSect="005552AA">
      <w:headerReference w:type="default" r:id="rId11"/>
      <w:footerReference w:type="default" r:id="rId12"/>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E973D" w14:textId="77777777" w:rsidR="00B53A9D" w:rsidRDefault="00B53A9D" w:rsidP="00C720D3">
      <w:pPr>
        <w:spacing w:after="0" w:line="240" w:lineRule="auto"/>
      </w:pPr>
      <w:r>
        <w:separator/>
      </w:r>
    </w:p>
  </w:endnote>
  <w:endnote w:type="continuationSeparator" w:id="0">
    <w:p w14:paraId="12EE1FE7" w14:textId="77777777" w:rsidR="00B53A9D" w:rsidRDefault="00B53A9D"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77777777" w:rsidR="002C18A9" w:rsidRDefault="004D2E5F">
    <w:pPr>
      <w:pStyle w:val="Fuzeile"/>
    </w:pPr>
  </w:p>
  <w:p w14:paraId="62CCC702" w14:textId="1DDB5223" w:rsidR="00444D33" w:rsidRDefault="004D2E5F">
    <w:pPr>
      <w:pStyle w:val="Fuzeile"/>
    </w:pPr>
    <w:r>
      <w:rPr>
        <w:noProof/>
      </w:rPr>
      <w:drawing>
        <wp:inline distT="0" distB="0" distL="0" distR="0" wp14:anchorId="137F5925" wp14:editId="073E5DD8">
          <wp:extent cx="814705" cy="209550"/>
          <wp:effectExtent l="0" t="0" r="4445"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4705" cy="209550"/>
                  </a:xfrm>
                  <a:prstGeom prst="rect">
                    <a:avLst/>
                  </a:prstGeom>
                  <a:noFill/>
                  <a:ln>
                    <a:noFill/>
                  </a:ln>
                </pic:spPr>
              </pic:pic>
            </a:graphicData>
          </a:graphic>
        </wp:inline>
      </w:drawing>
    </w:r>
    <w:r>
      <w:t xml:space="preserve">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6DA72" w14:textId="77777777" w:rsidR="00B53A9D" w:rsidRDefault="00B53A9D" w:rsidP="00C720D3">
      <w:pPr>
        <w:spacing w:after="0" w:line="240" w:lineRule="auto"/>
      </w:pPr>
      <w:r>
        <w:separator/>
      </w:r>
    </w:p>
  </w:footnote>
  <w:footnote w:type="continuationSeparator" w:id="0">
    <w:p w14:paraId="1BFE2DF8" w14:textId="77777777" w:rsidR="00B53A9D" w:rsidRDefault="00B53A9D"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55E03106" w:rsidR="00686EC9"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39043"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proofErr w:type="gramStart"/>
    <w:r w:rsidR="001D50AF" w:rsidRPr="001D50AF">
      <w:rPr>
        <w:color w:val="FFFFFF" w:themeColor="background1"/>
      </w:rPr>
      <w:t>SQL Server</w:t>
    </w:r>
    <w:proofErr w:type="gramEnd"/>
    <w:r w:rsidR="001D50AF" w:rsidRPr="001D50AF">
      <w:rPr>
        <w:color w:val="FFFFFF" w:themeColor="background1"/>
      </w:rPr>
      <w:t xml:space="preserve"> </w:t>
    </w:r>
    <w:r w:rsidR="001D50AF">
      <w:rPr>
        <w:color w:val="FFFFFF" w:themeColor="background1"/>
      </w:rPr>
      <w:t xml:space="preserve">- </w:t>
    </w:r>
    <w:r w:rsidR="001D50AF" w:rsidRPr="001D50AF">
      <w:rPr>
        <w:color w:val="FFFFFF" w:themeColor="background1"/>
      </w:rPr>
      <w:t xml:space="preserve">Hochverfügbarkeit </w:t>
    </w:r>
    <w:r w:rsidR="001D50AF">
      <w:rPr>
        <w:color w:val="FFFFFF" w:themeColor="background1"/>
      </w:rPr>
      <w:t>mit</w:t>
    </w:r>
    <w:r w:rsidR="001D50AF" w:rsidRPr="001D50AF">
      <w:rPr>
        <w:color w:val="FFFFFF" w:themeColor="background1"/>
      </w:rPr>
      <w:t xml:space="preserve"> </w:t>
    </w:r>
    <w:proofErr w:type="spellStart"/>
    <w:r w:rsidR="001D50AF" w:rsidRPr="001D50AF">
      <w:rPr>
        <w:color w:val="FFFFFF" w:themeColor="background1"/>
      </w:rPr>
      <w:t>AlwaysOn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A54ABA"/>
    <w:multiLevelType w:val="hybridMultilevel"/>
    <w:tmpl w:val="0CEC315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15:restartNumberingAfterBreak="0">
    <w:nsid w:val="3A2A0EB2"/>
    <w:multiLevelType w:val="hybridMultilevel"/>
    <w:tmpl w:val="E9E22D5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46975A4F"/>
    <w:multiLevelType w:val="hybridMultilevel"/>
    <w:tmpl w:val="D23CBF8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26BC4918">
      <w:start w:val="1"/>
      <w:numFmt w:val="lowerRoman"/>
      <w:lvlText w:val="%3."/>
      <w:lvlJc w:val="right"/>
      <w:pPr>
        <w:ind w:left="2160" w:hanging="180"/>
      </w:pPr>
      <w:rPr>
        <w:b w:val="0"/>
        <w:bCs w:val="0"/>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 w15:restartNumberingAfterBreak="0">
    <w:nsid w:val="7DA443A8"/>
    <w:multiLevelType w:val="multilevel"/>
    <w:tmpl w:val="094854DA"/>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4"/>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E76DA"/>
    <w:rsid w:val="00187C6C"/>
    <w:rsid w:val="001D50AF"/>
    <w:rsid w:val="002D3082"/>
    <w:rsid w:val="00335B4B"/>
    <w:rsid w:val="00382D2C"/>
    <w:rsid w:val="0040169F"/>
    <w:rsid w:val="004B2448"/>
    <w:rsid w:val="004D2E5F"/>
    <w:rsid w:val="00816667"/>
    <w:rsid w:val="00B53A9D"/>
    <w:rsid w:val="00C720D3"/>
    <w:rsid w:val="00D306AB"/>
    <w:rsid w:val="00E51198"/>
    <w:rsid w:val="00E66C06"/>
    <w:rsid w:val="00ED35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C6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 w:type="table" w:styleId="Tabellenraster">
    <w:name w:val="Table Grid"/>
    <w:basedOn w:val="NormaleTabelle"/>
    <w:uiPriority w:val="39"/>
    <w:rsid w:val="00335B4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031123">
      <w:bodyDiv w:val="1"/>
      <w:marLeft w:val="0"/>
      <w:marRight w:val="0"/>
      <w:marTop w:val="0"/>
      <w:marBottom w:val="0"/>
      <w:divBdr>
        <w:top w:val="none" w:sz="0" w:space="0" w:color="auto"/>
        <w:left w:val="none" w:sz="0" w:space="0" w:color="auto"/>
        <w:bottom w:val="none" w:sz="0" w:space="0" w:color="auto"/>
        <w:right w:val="none" w:sz="0" w:space="0" w:color="auto"/>
      </w:divBdr>
    </w:div>
    <w:div w:id="1242982912">
      <w:bodyDiv w:val="1"/>
      <w:marLeft w:val="0"/>
      <w:marRight w:val="0"/>
      <w:marTop w:val="0"/>
      <w:marBottom w:val="0"/>
      <w:divBdr>
        <w:top w:val="none" w:sz="0" w:space="0" w:color="auto"/>
        <w:left w:val="none" w:sz="0" w:space="0" w:color="auto"/>
        <w:bottom w:val="none" w:sz="0" w:space="0" w:color="auto"/>
        <w:right w:val="none" w:sz="0" w:space="0" w:color="auto"/>
      </w:divBdr>
    </w:div>
    <w:div w:id="172140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6" ma:contentTypeDescription="Ein neues Dokument erstellen." ma:contentTypeScope="" ma:versionID="056af482641e7e412ce98e55d58baef4">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cc8c11f7c62b477d8dbd326f9b93f965"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f5bf87e0-b9a9-40f7-828e-82e0fd796cd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element name="TaxCatchAll" ma:index="24" nillable="true" ma:displayName="Taxonomy Catch All Column" ma:hidden="true" ma:list="{b1df5dc2-97ce-41de-9242-1a08c11d8deb}" ma:internalName="TaxCatchAll" ma:showField="CatchAllData" ma:web="965790fa-1676-40e9-a1b2-ba5f45c56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965790fa-1676-40e9-a1b2-ba5f45c567ff" xsi:nil="true"/>
    <lcf76f155ced4ddcb4097134ff3c332f xmlns="6c0c9536-4234-4ee5-917d-0db1094ec3d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0A423C3-DB09-487E-9407-2E4A687057F4}">
  <ds:schemaRefs>
    <ds:schemaRef ds:uri="http://schemas.microsoft.com/sharepoint/v3/contenttype/forms"/>
  </ds:schemaRefs>
</ds:datastoreItem>
</file>

<file path=customXml/itemProps2.xml><?xml version="1.0" encoding="utf-8"?>
<ds:datastoreItem xmlns:ds="http://schemas.openxmlformats.org/officeDocument/2006/customXml" ds:itemID="{D11503D2-CD1B-4653-8C60-FC2794E6400D}"/>
</file>

<file path=customXml/itemProps3.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4.xml><?xml version="1.0" encoding="utf-8"?>
<ds:datastoreItem xmlns:ds="http://schemas.openxmlformats.org/officeDocument/2006/customXml" ds:itemID="{C9AACD41-43D1-4553-9A1C-A515E0DE3E15}">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2607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ppedv Lab Spezifikation</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Jens Zimmermann</cp:lastModifiedBy>
  <cp:revision>3</cp:revision>
  <cp:lastPrinted>2021-09-01T10:34:00Z</cp:lastPrinted>
  <dcterms:created xsi:type="dcterms:W3CDTF">2021-09-01T12:55:00Z</dcterms:created>
  <dcterms:modified xsi:type="dcterms:W3CDTF">2021-09-02T10:53:00Z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