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6A4C16" w14:textId="516686B1" w:rsidR="00E66C06" w:rsidRPr="00E66C06" w:rsidRDefault="00E66C06" w:rsidP="00E66C06">
      <w:pPr>
        <w:pStyle w:val="berschrift1"/>
        <w:numPr>
          <w:ilvl w:val="0"/>
          <w:numId w:val="0"/>
        </w:numPr>
        <w:rPr>
          <w:rFonts w:asciiTheme="minorHAnsi" w:hAnsiTheme="minorHAnsi" w:cstheme="minorHAnsi"/>
          <w:color w:val="2D497A"/>
          <w:sz w:val="36"/>
          <w:szCs w:val="36"/>
        </w:rPr>
      </w:pPr>
      <w:r w:rsidRPr="00E66C06">
        <w:rPr>
          <w:rFonts w:asciiTheme="minorHAnsi" w:hAnsiTheme="minorHAnsi" w:cstheme="minorHAnsi"/>
          <w:color w:val="2D497A"/>
          <w:sz w:val="36"/>
          <w:szCs w:val="36"/>
        </w:rPr>
        <w:t xml:space="preserve">Modul </w:t>
      </w:r>
      <w:r w:rsidR="00DE5C3C">
        <w:rPr>
          <w:rFonts w:asciiTheme="minorHAnsi" w:hAnsiTheme="minorHAnsi" w:cstheme="minorHAnsi"/>
          <w:color w:val="2D497A"/>
          <w:sz w:val="36"/>
          <w:szCs w:val="36"/>
        </w:rPr>
        <w:t xml:space="preserve">05: </w:t>
      </w:r>
      <w:proofErr w:type="spellStart"/>
      <w:r w:rsidR="00DE5C3C" w:rsidRPr="00DE5C3C">
        <w:rPr>
          <w:rFonts w:asciiTheme="minorHAnsi" w:hAnsiTheme="minorHAnsi" w:cstheme="minorHAnsi"/>
          <w:color w:val="2D497A"/>
          <w:sz w:val="36"/>
          <w:szCs w:val="36"/>
        </w:rPr>
        <w:t>Availability</w:t>
      </w:r>
      <w:proofErr w:type="spellEnd"/>
      <w:r w:rsidR="00DE5C3C" w:rsidRPr="00DE5C3C">
        <w:rPr>
          <w:rFonts w:asciiTheme="minorHAnsi" w:hAnsiTheme="minorHAnsi" w:cstheme="minorHAnsi"/>
          <w:color w:val="2D497A"/>
          <w:sz w:val="36"/>
          <w:szCs w:val="36"/>
        </w:rPr>
        <w:t xml:space="preserve"> Groups</w:t>
      </w:r>
    </w:p>
    <w:p w14:paraId="64AE4809" w14:textId="44B3A896" w:rsidR="00816667" w:rsidRDefault="00E66C06" w:rsidP="00E66C06">
      <w:pPr>
        <w:pStyle w:val="berschrift1"/>
        <w:numPr>
          <w:ilvl w:val="0"/>
          <w:numId w:val="0"/>
        </w:numPr>
        <w:rPr>
          <w:rFonts w:asciiTheme="minorHAnsi" w:hAnsiTheme="minorHAnsi" w:cstheme="minorHAnsi"/>
          <w:color w:val="2D497A"/>
          <w:sz w:val="36"/>
          <w:szCs w:val="36"/>
        </w:rPr>
      </w:pPr>
      <w:proofErr w:type="spellStart"/>
      <w:r w:rsidRPr="004B2448">
        <w:rPr>
          <w:rFonts w:asciiTheme="minorHAnsi" w:hAnsiTheme="minorHAnsi" w:cstheme="minorHAnsi"/>
          <w:color w:val="2D497A"/>
          <w:sz w:val="36"/>
          <w:szCs w:val="36"/>
        </w:rPr>
        <w:t>Labname</w:t>
      </w:r>
      <w:proofErr w:type="spellEnd"/>
    </w:p>
    <w:p w14:paraId="3B5761E0" w14:textId="77777777" w:rsidR="00187C6C" w:rsidRPr="00187C6C" w:rsidRDefault="00187C6C" w:rsidP="00187C6C"/>
    <w:p w14:paraId="4456CEEB" w14:textId="55673330" w:rsidR="004B2448" w:rsidRPr="004B2448" w:rsidRDefault="004B2448" w:rsidP="004B2448">
      <w:pPr>
        <w:rPr>
          <w:i/>
          <w:iCs/>
          <w:color w:val="2D497A"/>
        </w:rPr>
      </w:pPr>
      <w:r w:rsidRPr="004B2448">
        <w:rPr>
          <w:i/>
          <w:iCs/>
          <w:color w:val="2D497A"/>
        </w:rPr>
        <w:t>Ziel:</w:t>
      </w:r>
    </w:p>
    <w:p w14:paraId="732391D3" w14:textId="0A9ADBC1" w:rsidR="004B2448" w:rsidRPr="004B2448" w:rsidRDefault="004B2448" w:rsidP="004B2448">
      <w:pPr>
        <w:rPr>
          <w:i/>
          <w:iCs/>
          <w:color w:val="2D497A"/>
        </w:rPr>
      </w:pPr>
      <w:r w:rsidRPr="004B2448">
        <w:rPr>
          <w:i/>
          <w:iCs/>
          <w:color w:val="2D497A"/>
        </w:rPr>
        <w:t>Systemvoraussetzungen:</w:t>
      </w:r>
    </w:p>
    <w:p w14:paraId="18019115" w14:textId="62F6A253" w:rsidR="004B2448" w:rsidRPr="004B2448" w:rsidRDefault="004B2448" w:rsidP="004B2448">
      <w:pPr>
        <w:rPr>
          <w:i/>
          <w:iCs/>
          <w:color w:val="2D497A"/>
        </w:rPr>
      </w:pPr>
      <w:r w:rsidRPr="004B2448">
        <w:rPr>
          <w:i/>
          <w:iCs/>
          <w:color w:val="2D497A"/>
        </w:rPr>
        <w:t>Tools:</w:t>
      </w:r>
    </w:p>
    <w:p w14:paraId="2ABE31EE" w14:textId="28179E8B" w:rsidR="004B2448" w:rsidRDefault="004B2448" w:rsidP="004B2448">
      <w:pPr>
        <w:rPr>
          <w:i/>
          <w:iCs/>
          <w:color w:val="2D497A"/>
        </w:rPr>
      </w:pPr>
      <w:r w:rsidRPr="004B2448">
        <w:rPr>
          <w:i/>
          <w:iCs/>
          <w:color w:val="2D497A"/>
        </w:rPr>
        <w:t>Dauer:</w:t>
      </w:r>
    </w:p>
    <w:p w14:paraId="2D2A0487" w14:textId="46AD2773" w:rsidR="004B2448" w:rsidRDefault="004B2448" w:rsidP="004B2448">
      <w:pPr>
        <w:rPr>
          <w:i/>
          <w:iCs/>
          <w:color w:val="2D497A"/>
        </w:rPr>
      </w:pPr>
      <w:r>
        <w:rPr>
          <w:i/>
          <w:iCs/>
          <w:color w:val="2D497A"/>
        </w:rPr>
        <w:t xml:space="preserve">Autor: </w:t>
      </w:r>
      <w:r w:rsidR="00DE5C3C">
        <w:rPr>
          <w:i/>
          <w:iCs/>
          <w:color w:val="2D497A"/>
        </w:rPr>
        <w:t>Andreas Rauch</w:t>
      </w:r>
    </w:p>
    <w:p w14:paraId="2BB3E48D" w14:textId="0B9780D6" w:rsidR="004B2448" w:rsidRPr="004B2448" w:rsidRDefault="004B2448" w:rsidP="004B2448">
      <w:pPr>
        <w:rPr>
          <w:i/>
          <w:iCs/>
          <w:color w:val="2D497A"/>
        </w:rPr>
      </w:pPr>
      <w:r>
        <w:rPr>
          <w:i/>
          <w:iCs/>
          <w:color w:val="2D497A"/>
        </w:rPr>
        <w:t xml:space="preserve">Letzte Änderung: </w:t>
      </w:r>
      <w:r w:rsidR="00DE5C3C">
        <w:rPr>
          <w:i/>
          <w:iCs/>
          <w:color w:val="2D497A"/>
        </w:rPr>
        <w:t>01.09.2021</w:t>
      </w:r>
    </w:p>
    <w:p w14:paraId="0A059E17" w14:textId="029BA50D" w:rsidR="004B2448" w:rsidRPr="004B2448" w:rsidRDefault="004B2448" w:rsidP="004B2448">
      <w:pPr>
        <w:rPr>
          <w:i/>
          <w:iCs/>
          <w:color w:val="2D497A"/>
        </w:rPr>
      </w:pPr>
      <w:r w:rsidRPr="004B2448">
        <w:rPr>
          <w:i/>
          <w:iCs/>
          <w:color w:val="2D497A"/>
        </w:rPr>
        <w:t>Falls nötig notwendige Informatione</w:t>
      </w:r>
      <w:r>
        <w:rPr>
          <w:i/>
          <w:iCs/>
          <w:color w:val="2D497A"/>
        </w:rPr>
        <w:t>n:</w:t>
      </w:r>
    </w:p>
    <w:p w14:paraId="70A30D9B" w14:textId="7166D74F" w:rsidR="00DE5C3C" w:rsidRDefault="00DE5C3C" w:rsidP="00DE5C3C">
      <w:pPr>
        <w:pStyle w:val="berschrift2"/>
        <w:numPr>
          <w:ilvl w:val="0"/>
          <w:numId w:val="0"/>
        </w:numPr>
        <w:ind w:left="576"/>
      </w:pPr>
    </w:p>
    <w:p w14:paraId="115EDA74" w14:textId="77777777" w:rsidR="00DE5C3C" w:rsidRPr="00DE5C3C" w:rsidRDefault="00DE5C3C" w:rsidP="00DE5C3C"/>
    <w:p w14:paraId="6124DACB" w14:textId="77777777" w:rsidR="00DE5C3C" w:rsidRDefault="00DE5C3C" w:rsidP="00DE5C3C">
      <w:pPr>
        <w:pStyle w:val="Listenabsatz"/>
        <w:numPr>
          <w:ilvl w:val="0"/>
          <w:numId w:val="3"/>
        </w:numPr>
      </w:pPr>
      <w:r>
        <w:t xml:space="preserve">Um </w:t>
      </w:r>
      <w:proofErr w:type="spellStart"/>
      <w:r>
        <w:t>Availability</w:t>
      </w:r>
      <w:proofErr w:type="spellEnd"/>
      <w:r>
        <w:t xml:space="preserve"> Groups erstellen zu können, muss die Funktion im </w:t>
      </w:r>
      <w:proofErr w:type="gramStart"/>
      <w:r>
        <w:t>SQL Server</w:t>
      </w:r>
      <w:proofErr w:type="gramEnd"/>
      <w:r>
        <w:t xml:space="preserve"> Konfigurationsmanager (SSKM) erst aktiviert werden. </w:t>
      </w:r>
      <w:r>
        <w:br/>
        <w:t xml:space="preserve">Klicken Sie dazu im SSKM auf den SQL-Server Dienst der Standardinstanz mit der rechten Maustaste und wählen den Reiter </w:t>
      </w:r>
      <w:proofErr w:type="spellStart"/>
      <w:r w:rsidRPr="00AE0347">
        <w:rPr>
          <w:b/>
          <w:bCs/>
        </w:rPr>
        <w:t>AlwaysOn</w:t>
      </w:r>
      <w:proofErr w:type="spellEnd"/>
      <w:r w:rsidRPr="00AE0347">
        <w:rPr>
          <w:b/>
          <w:bCs/>
        </w:rPr>
        <w:t xml:space="preserve"> Verfügbarkeitsgruppen</w:t>
      </w:r>
      <w:r>
        <w:t xml:space="preserve"> aus.</w:t>
      </w:r>
    </w:p>
    <w:p w14:paraId="5DEA9628" w14:textId="77777777" w:rsidR="00DE5C3C" w:rsidRDefault="00DE5C3C" w:rsidP="00DE5C3C">
      <w:pPr>
        <w:pStyle w:val="Listenabsatz"/>
      </w:pPr>
    </w:p>
    <w:p w14:paraId="0B8F5267" w14:textId="77777777" w:rsidR="00DE5C3C" w:rsidRDefault="00DE5C3C" w:rsidP="00DE5C3C">
      <w:pPr>
        <w:pStyle w:val="Listenabsatz"/>
      </w:pPr>
      <w:r>
        <w:t xml:space="preserve">Dort setzen Sie das </w:t>
      </w:r>
      <w:proofErr w:type="spellStart"/>
      <w:r>
        <w:t>Häcken</w:t>
      </w:r>
      <w:proofErr w:type="spellEnd"/>
      <w:r>
        <w:t xml:space="preserve">. In der </w:t>
      </w:r>
      <w:proofErr w:type="spellStart"/>
      <w:r>
        <w:t>Textbox</w:t>
      </w:r>
      <w:proofErr w:type="spellEnd"/>
      <w:r>
        <w:t xml:space="preserve"> sollte der Name des Cluster bereits voreingetragen sein.</w:t>
      </w:r>
    </w:p>
    <w:p w14:paraId="1458F30A" w14:textId="77777777" w:rsidR="00DE5C3C" w:rsidRDefault="00DE5C3C" w:rsidP="00DE5C3C">
      <w:pPr>
        <w:pStyle w:val="Listenabsatz"/>
      </w:pPr>
    </w:p>
    <w:p w14:paraId="33709442" w14:textId="77777777" w:rsidR="00DE5C3C" w:rsidRDefault="00DE5C3C" w:rsidP="00DE5C3C">
      <w:pPr>
        <w:pStyle w:val="Listenabsatz"/>
      </w:pPr>
      <w:r>
        <w:rPr>
          <w:noProof/>
        </w:rPr>
        <w:drawing>
          <wp:inline distT="0" distB="0" distL="0" distR="0" wp14:anchorId="02E5ED50" wp14:editId="49CDCF88">
            <wp:extent cx="1874379" cy="1256851"/>
            <wp:effectExtent l="0" t="0" r="0" b="635"/>
            <wp:docPr id="19" name="Grafik 19"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rafik 19" descr="Ein Bild, das Text enthält.&#10;&#10;Automatisch generierte Beschreibung"/>
                    <pic:cNvPicPr/>
                  </pic:nvPicPr>
                  <pic:blipFill>
                    <a:blip r:embed="rId11"/>
                    <a:stretch>
                      <a:fillRect/>
                    </a:stretch>
                  </pic:blipFill>
                  <pic:spPr>
                    <a:xfrm>
                      <a:off x="0" y="0"/>
                      <a:ext cx="1927611" cy="1292545"/>
                    </a:xfrm>
                    <a:prstGeom prst="rect">
                      <a:avLst/>
                    </a:prstGeom>
                  </pic:spPr>
                </pic:pic>
              </a:graphicData>
            </a:graphic>
          </wp:inline>
        </w:drawing>
      </w:r>
    </w:p>
    <w:p w14:paraId="00F488B7" w14:textId="77777777" w:rsidR="00DE5C3C" w:rsidRDefault="00DE5C3C" w:rsidP="00DE5C3C">
      <w:pPr>
        <w:pStyle w:val="Listenabsatz"/>
      </w:pPr>
    </w:p>
    <w:p w14:paraId="402D74B3" w14:textId="77777777" w:rsidR="00DE5C3C" w:rsidRDefault="00DE5C3C" w:rsidP="00DE5C3C">
      <w:pPr>
        <w:pStyle w:val="Listenabsatz"/>
      </w:pPr>
      <w:r>
        <w:t xml:space="preserve">Der SQL-Dienst muss nun neu gestartet werde. </w:t>
      </w:r>
      <w:r w:rsidRPr="00AE0347">
        <w:rPr>
          <w:b/>
          <w:bCs/>
        </w:rPr>
        <w:t>Wiederholen</w:t>
      </w:r>
      <w:r>
        <w:t xml:space="preserve"> Sie diesen Schritt auf den anderen SQL-Server Instanzen der anderen Server.</w:t>
      </w:r>
    </w:p>
    <w:p w14:paraId="2AE2D4EA" w14:textId="77777777" w:rsidR="00DE5C3C" w:rsidRDefault="00DE5C3C" w:rsidP="00DE5C3C">
      <w:pPr>
        <w:pStyle w:val="Listenabsatz"/>
      </w:pPr>
    </w:p>
    <w:p w14:paraId="5B0EEACD" w14:textId="77777777" w:rsidR="00DE5C3C" w:rsidRDefault="00DE5C3C" w:rsidP="00DE5C3C">
      <w:pPr>
        <w:pStyle w:val="Listenabsatz"/>
        <w:numPr>
          <w:ilvl w:val="0"/>
          <w:numId w:val="3"/>
        </w:numPr>
      </w:pPr>
      <w:r>
        <w:t>Legen Sie 2 neue Datenbanken auf HV-SQL1 an: Name AVG1 und AVG2</w:t>
      </w:r>
    </w:p>
    <w:p w14:paraId="6652937C" w14:textId="77777777" w:rsidR="00DE5C3C" w:rsidRDefault="00DE5C3C" w:rsidP="00DE5C3C">
      <w:pPr>
        <w:pStyle w:val="Listenabsatz"/>
      </w:pPr>
    </w:p>
    <w:p w14:paraId="08F0F429" w14:textId="77777777" w:rsidR="00DE5C3C" w:rsidRDefault="00DE5C3C" w:rsidP="00DE5C3C">
      <w:pPr>
        <w:pStyle w:val="Listenabsatz"/>
        <w:numPr>
          <w:ilvl w:val="0"/>
          <w:numId w:val="3"/>
        </w:numPr>
      </w:pPr>
      <w:r>
        <w:t xml:space="preserve">Wie beim Spiegeln muss die DB initialisiert werden. Dazu stehen verschiedene Mittel zu Verfügung. Für unsere Übung verwenden wir das gute alte Hausmittel: Vollsicherung und Protokollsicherung. Ähnlich dem </w:t>
      </w:r>
      <w:proofErr w:type="spellStart"/>
      <w:r>
        <w:t>Logshipping</w:t>
      </w:r>
      <w:proofErr w:type="spellEnd"/>
      <w:r>
        <w:t xml:space="preserve">, kann der Assistent das Initialisieren nahezu autark übernehmen. Allerdings muss eine Vollsicherung vorliegen und der Backuppfad muss allen Instanzen zugänglich sein. </w:t>
      </w:r>
    </w:p>
    <w:p w14:paraId="1ED382E4" w14:textId="77777777" w:rsidR="00DE5C3C" w:rsidRDefault="00DE5C3C" w:rsidP="00DE5C3C">
      <w:pPr>
        <w:pStyle w:val="Listenabsatz"/>
      </w:pPr>
    </w:p>
    <w:p w14:paraId="33512EEF" w14:textId="77777777" w:rsidR="00DE5C3C" w:rsidRDefault="00DE5C3C" w:rsidP="00DE5C3C">
      <w:pPr>
        <w:pStyle w:val="Listenabsatz"/>
        <w:numPr>
          <w:ilvl w:val="1"/>
          <w:numId w:val="3"/>
        </w:numPr>
      </w:pPr>
      <w:r>
        <w:lastRenderedPageBreak/>
        <w:t xml:space="preserve">Für unseren Fall, die DB auf dem anderen Server via Backup zu initialisieren, muss auf dem Backup Freigabepfad  </w:t>
      </w:r>
      <w:r w:rsidRPr="00F05C0A">
        <w:rPr>
          <w:b/>
          <w:bCs/>
          <w:u w:val="single"/>
        </w:rPr>
        <w:t>\\HV-SQL1\_BACKUP</w:t>
      </w:r>
      <w:r>
        <w:t xml:space="preserve"> ein </w:t>
      </w:r>
      <w:r w:rsidRPr="00F84727">
        <w:rPr>
          <w:b/>
          <w:bCs/>
        </w:rPr>
        <w:t>Schreibrecht</w:t>
      </w:r>
      <w:r>
        <w:t xml:space="preserve"> für den (zunächst) Primäre Knoten eingerichtet sein und die weiteren Knoten benötigen </w:t>
      </w:r>
      <w:r w:rsidRPr="00F84727">
        <w:rPr>
          <w:b/>
          <w:bCs/>
        </w:rPr>
        <w:t>Leserechte</w:t>
      </w:r>
      <w:r>
        <w:t>.</w:t>
      </w:r>
    </w:p>
    <w:p w14:paraId="4C8252F3" w14:textId="77777777" w:rsidR="00DE5C3C" w:rsidRDefault="00DE5C3C" w:rsidP="00DE5C3C">
      <w:pPr>
        <w:pStyle w:val="Listenabsatz"/>
        <w:ind w:left="1440"/>
      </w:pPr>
      <w:r>
        <w:t xml:space="preserve">Geben sie daher der Freigabe des </w:t>
      </w:r>
      <w:r w:rsidRPr="00212263">
        <w:t>Backupordner</w:t>
      </w:r>
      <w:r>
        <w:t xml:space="preserve">s auf </w:t>
      </w:r>
      <w:r w:rsidRPr="00AA79FF">
        <w:rPr>
          <w:b/>
          <w:bCs/>
        </w:rPr>
        <w:t>HV-SQL 1</w:t>
      </w:r>
      <w:r>
        <w:t xml:space="preserve"> ein </w:t>
      </w:r>
      <w:proofErr w:type="spellStart"/>
      <w:r w:rsidRPr="00AA79FF">
        <w:rPr>
          <w:b/>
          <w:bCs/>
        </w:rPr>
        <w:t>Lese-und</w:t>
      </w:r>
      <w:proofErr w:type="spellEnd"/>
      <w:r w:rsidRPr="00AA79FF">
        <w:rPr>
          <w:b/>
          <w:bCs/>
        </w:rPr>
        <w:t xml:space="preserve"> Schreibrecht</w:t>
      </w:r>
      <w:r>
        <w:t xml:space="preserve"> für den </w:t>
      </w:r>
      <w:r w:rsidRPr="00AA79FF">
        <w:rPr>
          <w:b/>
          <w:bCs/>
        </w:rPr>
        <w:t>SQL-Dienst</w:t>
      </w:r>
      <w:r>
        <w:t xml:space="preserve"> der Standardinstanz und dem </w:t>
      </w:r>
      <w:r w:rsidRPr="00AA79FF">
        <w:rPr>
          <w:b/>
          <w:bCs/>
        </w:rPr>
        <w:t>SQL-Dienst</w:t>
      </w:r>
      <w:r>
        <w:t xml:space="preserve"> des </w:t>
      </w:r>
      <w:r w:rsidRPr="00AA79FF">
        <w:rPr>
          <w:b/>
          <w:bCs/>
        </w:rPr>
        <w:t>HV-SQL2 ein Leserecht</w:t>
      </w:r>
      <w:r>
        <w:t xml:space="preserve"> – lokale Zugriffsrechte und Freigabe natürlich. </w:t>
      </w:r>
    </w:p>
    <w:p w14:paraId="3EB52319" w14:textId="77777777" w:rsidR="00DE5C3C" w:rsidRDefault="00DE5C3C" w:rsidP="00DE5C3C">
      <w:pPr>
        <w:pStyle w:val="Listenabsatz"/>
        <w:ind w:left="1440"/>
      </w:pPr>
      <w:r>
        <w:br/>
      </w:r>
      <w:r w:rsidRPr="004E6F4A">
        <w:rPr>
          <w:color w:val="538135" w:themeColor="accent6" w:themeShade="BF"/>
        </w:rPr>
        <w:t>Hinweis:</w:t>
      </w:r>
      <w:r>
        <w:rPr>
          <w:color w:val="538135" w:themeColor="accent6" w:themeShade="BF"/>
        </w:rPr>
        <w:t xml:space="preserve"> </w:t>
      </w:r>
      <w:r w:rsidRPr="004E6F4A">
        <w:rPr>
          <w:color w:val="538135" w:themeColor="accent6" w:themeShade="BF"/>
        </w:rPr>
        <w:t xml:space="preserve">Seit SQL 2016 ist auch ein </w:t>
      </w:r>
      <w:proofErr w:type="spellStart"/>
      <w:r w:rsidRPr="004E6F4A">
        <w:rPr>
          <w:color w:val="538135" w:themeColor="accent6" w:themeShade="BF"/>
        </w:rPr>
        <w:t>Seeding</w:t>
      </w:r>
      <w:proofErr w:type="spellEnd"/>
      <w:r w:rsidRPr="004E6F4A">
        <w:rPr>
          <w:color w:val="538135" w:themeColor="accent6" w:themeShade="BF"/>
        </w:rPr>
        <w:t xml:space="preserve"> möglich. Dann erübrigt sich das Backup.</w:t>
      </w:r>
      <w:r>
        <w:t xml:space="preserve"> </w:t>
      </w:r>
      <w:r>
        <w:br/>
      </w:r>
    </w:p>
    <w:p w14:paraId="4610425C" w14:textId="77777777" w:rsidR="00DE5C3C" w:rsidRDefault="00DE5C3C" w:rsidP="00DE5C3C">
      <w:pPr>
        <w:pStyle w:val="Listenabsatz"/>
        <w:numPr>
          <w:ilvl w:val="1"/>
          <w:numId w:val="3"/>
        </w:numPr>
      </w:pPr>
      <w:r>
        <w:t xml:space="preserve">Um eine AVG zu erstellen müssen folgende Voraussetzungen von Ihnen erfüllt </w:t>
      </w:r>
      <w:proofErr w:type="spellStart"/>
      <w:r>
        <w:t>bzw</w:t>
      </w:r>
      <w:proofErr w:type="spellEnd"/>
      <w:r>
        <w:t xml:space="preserve"> kontrolliert werden:</w:t>
      </w:r>
    </w:p>
    <w:p w14:paraId="78CE99D0" w14:textId="77777777" w:rsidR="00DE5C3C" w:rsidRDefault="00DE5C3C" w:rsidP="00DE5C3C">
      <w:pPr>
        <w:pStyle w:val="Listenabsatz"/>
        <w:numPr>
          <w:ilvl w:val="2"/>
          <w:numId w:val="3"/>
        </w:numPr>
      </w:pPr>
      <w:r w:rsidRPr="0094051A">
        <w:rPr>
          <w:b/>
          <w:bCs/>
        </w:rPr>
        <w:t>Vollständiges Backup</w:t>
      </w:r>
      <w:r>
        <w:t xml:space="preserve"> muss vorliegen</w:t>
      </w:r>
    </w:p>
    <w:p w14:paraId="28EFAAF6" w14:textId="77777777" w:rsidR="00DE5C3C" w:rsidRDefault="00DE5C3C" w:rsidP="00DE5C3C">
      <w:pPr>
        <w:pStyle w:val="Listenabsatz"/>
        <w:numPr>
          <w:ilvl w:val="2"/>
          <w:numId w:val="3"/>
        </w:numPr>
      </w:pPr>
      <w:r w:rsidRPr="0094051A">
        <w:rPr>
          <w:b/>
          <w:bCs/>
        </w:rPr>
        <w:t>Wiederherstellungsmodel</w:t>
      </w:r>
      <w:r>
        <w:t xml:space="preserve"> „</w:t>
      </w:r>
      <w:r w:rsidRPr="0094051A">
        <w:rPr>
          <w:b/>
          <w:bCs/>
          <w:i/>
          <w:iCs/>
        </w:rPr>
        <w:t>Vollständig</w:t>
      </w:r>
      <w:r>
        <w:t>“</w:t>
      </w:r>
    </w:p>
    <w:p w14:paraId="0D7E7683" w14:textId="77777777" w:rsidR="00DE5C3C" w:rsidRDefault="00DE5C3C" w:rsidP="00DE5C3C">
      <w:pPr>
        <w:pStyle w:val="Listenabsatz"/>
        <w:numPr>
          <w:ilvl w:val="1"/>
          <w:numId w:val="3"/>
        </w:numPr>
      </w:pPr>
      <w:r>
        <w:t xml:space="preserve">Nun starten wir den </w:t>
      </w:r>
      <w:r w:rsidRPr="00FA06AA">
        <w:rPr>
          <w:b/>
          <w:bCs/>
        </w:rPr>
        <w:t>Assistenten</w:t>
      </w:r>
      <w:r>
        <w:t xml:space="preserve"> per rechter Maustaste im Bereich </w:t>
      </w:r>
      <w:r w:rsidRPr="00FA06AA">
        <w:rPr>
          <w:b/>
          <w:bCs/>
        </w:rPr>
        <w:t xml:space="preserve">Hochverfügbarkeit mit </w:t>
      </w:r>
      <w:proofErr w:type="spellStart"/>
      <w:r w:rsidRPr="00FA06AA">
        <w:rPr>
          <w:b/>
          <w:bCs/>
        </w:rPr>
        <w:t>AlwaysOn</w:t>
      </w:r>
      <w:proofErr w:type="spellEnd"/>
    </w:p>
    <w:p w14:paraId="47953C95" w14:textId="77777777" w:rsidR="00DE5C3C" w:rsidRDefault="00DE5C3C" w:rsidP="00DE5C3C">
      <w:pPr>
        <w:pStyle w:val="Listenabsatz"/>
        <w:numPr>
          <w:ilvl w:val="2"/>
          <w:numId w:val="3"/>
        </w:numPr>
      </w:pPr>
      <w:r w:rsidRPr="00FA06AA">
        <w:rPr>
          <w:b/>
          <w:bCs/>
        </w:rPr>
        <w:t>Aktivieren</w:t>
      </w:r>
      <w:r>
        <w:t xml:space="preserve"> der </w:t>
      </w:r>
      <w:r w:rsidRPr="00FA06AA">
        <w:rPr>
          <w:b/>
          <w:bCs/>
        </w:rPr>
        <w:t>Integritätserkennung</w:t>
      </w:r>
      <w:r>
        <w:t xml:space="preserve"> auf </w:t>
      </w:r>
      <w:r w:rsidRPr="00FA06AA">
        <w:rPr>
          <w:b/>
          <w:bCs/>
        </w:rPr>
        <w:t>Datenbankeben</w:t>
      </w:r>
      <w:r>
        <w:br/>
        <w:t xml:space="preserve">Auswahl des </w:t>
      </w:r>
      <w:proofErr w:type="spellStart"/>
      <w:r>
        <w:t>FailoverClusters</w:t>
      </w:r>
      <w:proofErr w:type="spellEnd"/>
      <w:r>
        <w:br/>
        <w:t>DTC Unterstützung ist in unserem Fall nicht notwendig</w:t>
      </w:r>
    </w:p>
    <w:p w14:paraId="4341F46C" w14:textId="77777777" w:rsidR="00DE5C3C" w:rsidRDefault="00DE5C3C" w:rsidP="00DE5C3C">
      <w:pPr>
        <w:pStyle w:val="Listenabsatz"/>
        <w:numPr>
          <w:ilvl w:val="2"/>
          <w:numId w:val="3"/>
        </w:numPr>
      </w:pPr>
      <w:r>
        <w:t xml:space="preserve">Auswahl </w:t>
      </w:r>
      <w:r>
        <w:br/>
        <w:t xml:space="preserve">Sie geben den </w:t>
      </w:r>
      <w:r w:rsidRPr="00171E5C">
        <w:rPr>
          <w:b/>
          <w:bCs/>
        </w:rPr>
        <w:t>HV-SQL1</w:t>
      </w:r>
      <w:r>
        <w:t xml:space="preserve"> als </w:t>
      </w:r>
      <w:r w:rsidRPr="00171E5C">
        <w:rPr>
          <w:b/>
          <w:bCs/>
          <w:i/>
          <w:iCs/>
        </w:rPr>
        <w:t>Primären</w:t>
      </w:r>
      <w:r>
        <w:t xml:space="preserve"> </w:t>
      </w:r>
      <w:r w:rsidRPr="00171E5C">
        <w:rPr>
          <w:b/>
          <w:bCs/>
          <w:i/>
          <w:iCs/>
        </w:rPr>
        <w:t>Server</w:t>
      </w:r>
      <w:r>
        <w:t xml:space="preserve"> und den </w:t>
      </w:r>
      <w:r w:rsidRPr="00171E5C">
        <w:rPr>
          <w:b/>
          <w:bCs/>
        </w:rPr>
        <w:t>HV-SQL2</w:t>
      </w:r>
      <w:r>
        <w:t xml:space="preserve"> als </w:t>
      </w:r>
      <w:r w:rsidRPr="00171E5C">
        <w:rPr>
          <w:b/>
          <w:bCs/>
          <w:i/>
          <w:iCs/>
        </w:rPr>
        <w:t>sekundären Server</w:t>
      </w:r>
      <w:r>
        <w:t xml:space="preserve"> an</w:t>
      </w:r>
    </w:p>
    <w:p w14:paraId="544ABA56" w14:textId="77777777" w:rsidR="00DE5C3C" w:rsidRDefault="00DE5C3C" w:rsidP="00DE5C3C">
      <w:pPr>
        <w:pStyle w:val="Listenabsatz"/>
        <w:numPr>
          <w:ilvl w:val="2"/>
          <w:numId w:val="3"/>
        </w:numPr>
      </w:pPr>
      <w:r>
        <w:t xml:space="preserve">Beide sollen im Falle, dass sie eine </w:t>
      </w:r>
      <w:r w:rsidRPr="00171E5C">
        <w:rPr>
          <w:b/>
          <w:bCs/>
          <w:i/>
          <w:iCs/>
        </w:rPr>
        <w:t>sekundäre</w:t>
      </w:r>
      <w:r>
        <w:t xml:space="preserve"> </w:t>
      </w:r>
      <w:r w:rsidRPr="00171E5C">
        <w:rPr>
          <w:b/>
          <w:bCs/>
          <w:i/>
          <w:iCs/>
        </w:rPr>
        <w:t>Rolle</w:t>
      </w:r>
      <w:r>
        <w:t xml:space="preserve"> einnehmen, </w:t>
      </w:r>
      <w:r w:rsidRPr="00171E5C">
        <w:rPr>
          <w:b/>
          <w:bCs/>
          <w:i/>
          <w:iCs/>
        </w:rPr>
        <w:t>synchron</w:t>
      </w:r>
      <w:r>
        <w:t xml:space="preserve"> sein und </w:t>
      </w:r>
      <w:r w:rsidRPr="00171E5C">
        <w:rPr>
          <w:b/>
          <w:bCs/>
          <w:i/>
          <w:iCs/>
        </w:rPr>
        <w:t>lesefähig</w:t>
      </w:r>
      <w:r>
        <w:t>. Außerdem sollen beide im Fall eines Fehlers die primäre Rolle übernehmen können.</w:t>
      </w:r>
    </w:p>
    <w:p w14:paraId="51DB4CAF" w14:textId="77777777" w:rsidR="00DE5C3C" w:rsidRDefault="00DE5C3C" w:rsidP="00DE5C3C">
      <w:pPr>
        <w:pStyle w:val="Listenabsatz"/>
        <w:numPr>
          <w:ilvl w:val="2"/>
          <w:numId w:val="3"/>
        </w:numPr>
      </w:pPr>
      <w:r>
        <w:t>Den Endpunkt übernehmen wir aus der Spiegelung</w:t>
      </w:r>
    </w:p>
    <w:p w14:paraId="6519AE70" w14:textId="77777777" w:rsidR="00DE5C3C" w:rsidRDefault="00DE5C3C" w:rsidP="00DE5C3C">
      <w:pPr>
        <w:pStyle w:val="Listenabsatz"/>
        <w:numPr>
          <w:ilvl w:val="2"/>
          <w:numId w:val="3"/>
        </w:numPr>
      </w:pPr>
      <w:r>
        <w:t xml:space="preserve">Die </w:t>
      </w:r>
      <w:r w:rsidRPr="000A02F3">
        <w:rPr>
          <w:b/>
          <w:bCs/>
        </w:rPr>
        <w:t>Sicherung</w:t>
      </w:r>
      <w:r>
        <w:t xml:space="preserve"> sollte </w:t>
      </w:r>
      <w:r w:rsidRPr="000A02F3">
        <w:rPr>
          <w:b/>
          <w:bCs/>
        </w:rPr>
        <w:t>bevorzugt</w:t>
      </w:r>
      <w:r>
        <w:t xml:space="preserve"> auf dem </w:t>
      </w:r>
      <w:r w:rsidRPr="000A02F3">
        <w:rPr>
          <w:b/>
          <w:bCs/>
        </w:rPr>
        <w:t>Sekundären</w:t>
      </w:r>
      <w:r>
        <w:t xml:space="preserve"> geschehen</w:t>
      </w:r>
    </w:p>
    <w:p w14:paraId="2545E8DD" w14:textId="77777777" w:rsidR="00DE5C3C" w:rsidRDefault="00DE5C3C" w:rsidP="00DE5C3C">
      <w:pPr>
        <w:pStyle w:val="Listenabsatz"/>
        <w:numPr>
          <w:ilvl w:val="2"/>
          <w:numId w:val="3"/>
        </w:numPr>
      </w:pPr>
      <w:proofErr w:type="spellStart"/>
      <w:r>
        <w:t>Listener</w:t>
      </w:r>
      <w:proofErr w:type="spellEnd"/>
      <w:r>
        <w:t xml:space="preserve"> </w:t>
      </w:r>
      <w:proofErr w:type="spellStart"/>
      <w:r>
        <w:t>bzw</w:t>
      </w:r>
      <w:proofErr w:type="spellEnd"/>
      <w:r>
        <w:t xml:space="preserve"> wie soll die Gruppe im Netz aufgerufen werden können:</w:t>
      </w:r>
      <w:r>
        <w:br/>
      </w:r>
    </w:p>
    <w:tbl>
      <w:tblPr>
        <w:tblStyle w:val="Tabellenraster"/>
        <w:tblW w:w="0" w:type="auto"/>
        <w:tblInd w:w="2880" w:type="dxa"/>
        <w:tblLook w:val="04A0" w:firstRow="1" w:lastRow="0" w:firstColumn="1" w:lastColumn="0" w:noHBand="0" w:noVBand="1"/>
      </w:tblPr>
      <w:tblGrid>
        <w:gridCol w:w="1368"/>
        <w:gridCol w:w="2693"/>
      </w:tblGrid>
      <w:tr w:rsidR="00DE5C3C" w14:paraId="3BF53A71" w14:textId="77777777" w:rsidTr="004E61DA">
        <w:tc>
          <w:tcPr>
            <w:tcW w:w="1368" w:type="dxa"/>
          </w:tcPr>
          <w:p w14:paraId="06032887" w14:textId="77777777" w:rsidR="00DE5C3C" w:rsidRDefault="00DE5C3C" w:rsidP="004E61DA">
            <w:pPr>
              <w:pStyle w:val="Listenabsatz"/>
              <w:ind w:left="0"/>
            </w:pPr>
            <w:r>
              <w:t>Name</w:t>
            </w:r>
          </w:p>
        </w:tc>
        <w:tc>
          <w:tcPr>
            <w:tcW w:w="2693" w:type="dxa"/>
          </w:tcPr>
          <w:p w14:paraId="42366609" w14:textId="77777777" w:rsidR="00DE5C3C" w:rsidRDefault="00DE5C3C" w:rsidP="004E61DA">
            <w:pPr>
              <w:pStyle w:val="Listenabsatz"/>
              <w:ind w:left="0"/>
            </w:pPr>
            <w:r>
              <w:t>AVGX</w:t>
            </w:r>
          </w:p>
        </w:tc>
      </w:tr>
      <w:tr w:rsidR="00DE5C3C" w14:paraId="71617F19" w14:textId="77777777" w:rsidTr="004E61DA">
        <w:tc>
          <w:tcPr>
            <w:tcW w:w="1368" w:type="dxa"/>
          </w:tcPr>
          <w:p w14:paraId="49CFCC5A" w14:textId="77777777" w:rsidR="00DE5C3C" w:rsidRDefault="00DE5C3C" w:rsidP="004E61DA">
            <w:r>
              <w:t>IP-Adresse</w:t>
            </w:r>
          </w:p>
        </w:tc>
        <w:tc>
          <w:tcPr>
            <w:tcW w:w="2693" w:type="dxa"/>
          </w:tcPr>
          <w:p w14:paraId="43DF8797" w14:textId="77777777" w:rsidR="00DE5C3C" w:rsidRDefault="00DE5C3C" w:rsidP="004E61DA">
            <w:pPr>
              <w:pStyle w:val="Listenabsatz"/>
              <w:ind w:left="0"/>
            </w:pPr>
            <w:r>
              <w:t>192.168.137.? (aus Tabelle)</w:t>
            </w:r>
          </w:p>
        </w:tc>
      </w:tr>
      <w:tr w:rsidR="00DE5C3C" w14:paraId="250815FA" w14:textId="77777777" w:rsidTr="004E61DA">
        <w:tc>
          <w:tcPr>
            <w:tcW w:w="1368" w:type="dxa"/>
          </w:tcPr>
          <w:p w14:paraId="4455DAB7" w14:textId="77777777" w:rsidR="00DE5C3C" w:rsidRDefault="00DE5C3C" w:rsidP="004E61DA">
            <w:pPr>
              <w:pStyle w:val="Listenabsatz"/>
              <w:ind w:left="0"/>
            </w:pPr>
            <w:r>
              <w:t>Port</w:t>
            </w:r>
          </w:p>
        </w:tc>
        <w:tc>
          <w:tcPr>
            <w:tcW w:w="2693" w:type="dxa"/>
          </w:tcPr>
          <w:p w14:paraId="2CB48968" w14:textId="77777777" w:rsidR="00DE5C3C" w:rsidRDefault="00DE5C3C" w:rsidP="004E61DA">
            <w:pPr>
              <w:pStyle w:val="Listenabsatz"/>
              <w:ind w:left="0"/>
            </w:pPr>
            <w:r>
              <w:t>1433</w:t>
            </w:r>
          </w:p>
        </w:tc>
      </w:tr>
    </w:tbl>
    <w:p w14:paraId="423FDE54" w14:textId="77777777" w:rsidR="00DE5C3C" w:rsidRDefault="00DE5C3C" w:rsidP="00DE5C3C">
      <w:pPr>
        <w:pStyle w:val="Listenabsatz"/>
        <w:ind w:left="2160"/>
      </w:pPr>
      <w:r>
        <w:t>Fertig!</w:t>
      </w:r>
    </w:p>
    <w:p w14:paraId="2741136F" w14:textId="77777777" w:rsidR="00DE5C3C" w:rsidRDefault="00DE5C3C" w:rsidP="00DE5C3C"/>
    <w:p w14:paraId="069357C7" w14:textId="77777777" w:rsidR="00DE5C3C" w:rsidRDefault="00DE5C3C" w:rsidP="00DE5C3C">
      <w:pPr>
        <w:pStyle w:val="Listenabsatz"/>
      </w:pPr>
    </w:p>
    <w:p w14:paraId="5D9B2796" w14:textId="77777777" w:rsidR="00DE5C3C" w:rsidRDefault="00DE5C3C" w:rsidP="00DE5C3C">
      <w:pPr>
        <w:pStyle w:val="Listenabsatz"/>
      </w:pPr>
    </w:p>
    <w:p w14:paraId="4EFCFFFC" w14:textId="6C638CB1" w:rsidR="00E66C06" w:rsidRPr="00E66C06" w:rsidRDefault="00E66C06" w:rsidP="00E66C06">
      <w:pPr>
        <w:pStyle w:val="berschrift1"/>
        <w:numPr>
          <w:ilvl w:val="0"/>
          <w:numId w:val="0"/>
        </w:numPr>
        <w:rPr>
          <w:rFonts w:asciiTheme="minorHAnsi" w:hAnsiTheme="minorHAnsi" w:cstheme="minorHAnsi"/>
          <w:color w:val="2D497A"/>
          <w:sz w:val="22"/>
          <w:szCs w:val="22"/>
        </w:rPr>
      </w:pPr>
    </w:p>
    <w:p w14:paraId="18C322EA" w14:textId="55D93148" w:rsidR="00E66C06" w:rsidRPr="00DE5C3C" w:rsidRDefault="00DE5C3C" w:rsidP="00E66C06">
      <w:pPr>
        <w:rPr>
          <w:rFonts w:cstheme="minorHAnsi"/>
        </w:rPr>
      </w:pPr>
      <w:r>
        <w:rPr>
          <w:rFonts w:cstheme="minorHAnsi"/>
        </w:rPr>
        <w:t>Andreas Rauch, 01.09.2021</w:t>
      </w:r>
    </w:p>
    <w:p w14:paraId="0D40ECD0" w14:textId="77777777" w:rsidR="00E66C06" w:rsidRPr="00E66C06" w:rsidRDefault="00E66C06" w:rsidP="00E66C06">
      <w:pPr>
        <w:pStyle w:val="berschrift1"/>
        <w:numPr>
          <w:ilvl w:val="0"/>
          <w:numId w:val="0"/>
        </w:numPr>
        <w:rPr>
          <w:color w:val="2D497A"/>
        </w:rPr>
      </w:pPr>
    </w:p>
    <w:p w14:paraId="68F14D6C" w14:textId="77777777" w:rsidR="00E66C06" w:rsidRPr="00E66C06" w:rsidRDefault="00E66C06" w:rsidP="00E66C06">
      <w:pPr>
        <w:pStyle w:val="berschrift1"/>
        <w:numPr>
          <w:ilvl w:val="0"/>
          <w:numId w:val="0"/>
        </w:numPr>
        <w:rPr>
          <w:color w:val="2D497A"/>
        </w:rPr>
      </w:pPr>
    </w:p>
    <w:p w14:paraId="0D0E6740" w14:textId="0EC9A5FB" w:rsidR="00816667" w:rsidRPr="00E66C06" w:rsidRDefault="00816667" w:rsidP="00E66C06">
      <w:pPr>
        <w:pStyle w:val="berschrift1"/>
        <w:numPr>
          <w:ilvl w:val="0"/>
          <w:numId w:val="0"/>
        </w:numPr>
        <w:rPr>
          <w:color w:val="2D497A"/>
        </w:rPr>
      </w:pPr>
      <w:r w:rsidRPr="00E66C06">
        <w:rPr>
          <w:color w:val="2D497A"/>
        </w:rPr>
        <w:br/>
      </w:r>
    </w:p>
    <w:p w14:paraId="06A9E184" w14:textId="77777777" w:rsidR="000E76DA" w:rsidRPr="00E66C06" w:rsidRDefault="000E76DA">
      <w:pPr>
        <w:rPr>
          <w:color w:val="2D497A"/>
        </w:rPr>
      </w:pPr>
    </w:p>
    <w:sectPr w:rsidR="000E76DA" w:rsidRPr="00E66C06" w:rsidSect="005552AA">
      <w:headerReference w:type="default" r:id="rId12"/>
      <w:footerReference w:type="default" r:id="rId13"/>
      <w:type w:val="continuous"/>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8667A9" w14:textId="77777777" w:rsidR="00B36A79" w:rsidRDefault="00B36A79" w:rsidP="00C720D3">
      <w:pPr>
        <w:spacing w:after="0" w:line="240" w:lineRule="auto"/>
      </w:pPr>
      <w:r>
        <w:separator/>
      </w:r>
    </w:p>
  </w:endnote>
  <w:endnote w:type="continuationSeparator" w:id="0">
    <w:p w14:paraId="5F7C66C4" w14:textId="77777777" w:rsidR="00B36A79" w:rsidRDefault="00B36A79" w:rsidP="00C720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8A257C" w14:textId="77777777" w:rsidR="002C18A9" w:rsidRDefault="004F01FA">
    <w:pPr>
      <w:pStyle w:val="Fuzeile"/>
    </w:pPr>
  </w:p>
  <w:p w14:paraId="62CCC702" w14:textId="16FE5B78" w:rsidR="00444D33" w:rsidRDefault="004F01FA">
    <w:pPr>
      <w:pStyle w:val="Fuzeile"/>
    </w:pPr>
    <w:r>
      <w:rPr>
        <w:noProof/>
      </w:rPr>
      <w:drawing>
        <wp:inline distT="0" distB="0" distL="0" distR="0" wp14:anchorId="7C4108D8" wp14:editId="15E6521B">
          <wp:extent cx="814705" cy="209550"/>
          <wp:effectExtent l="0" t="0" r="4445" b="0"/>
          <wp:docPr id="3" name="Grafik 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descr="Ein Bild, das Text enthält.&#10;&#10;Automatisch generierte Beschreibu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4705" cy="209550"/>
                  </a:xfrm>
                  <a:prstGeom prst="rect">
                    <a:avLst/>
                  </a:prstGeom>
                  <a:noFill/>
                  <a:ln>
                    <a:noFill/>
                  </a:ln>
                </pic:spPr>
              </pic:pic>
            </a:graphicData>
          </a:graphic>
        </wp:inline>
      </w:drawing>
    </w:r>
    <w:r>
      <w:t xml:space="preserve">                                                                                                                                                          </w:t>
    </w: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5E3115" w14:textId="77777777" w:rsidR="00B36A79" w:rsidRDefault="00B36A79" w:rsidP="00C720D3">
      <w:pPr>
        <w:spacing w:after="0" w:line="240" w:lineRule="auto"/>
      </w:pPr>
      <w:r>
        <w:separator/>
      </w:r>
    </w:p>
  </w:footnote>
  <w:footnote w:type="continuationSeparator" w:id="0">
    <w:p w14:paraId="2456A1D3" w14:textId="77777777" w:rsidR="00B36A79" w:rsidRDefault="00B36A79" w:rsidP="00C720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822FD" w14:textId="55E03106" w:rsidR="00686EC9" w:rsidRPr="00D306AB" w:rsidRDefault="00C720D3" w:rsidP="00D306AB">
    <w:pPr>
      <w:pStyle w:val="Kopfzeile"/>
      <w:jc w:val="right"/>
      <w:rPr>
        <w:color w:val="FFFFFF" w:themeColor="background1"/>
      </w:rPr>
    </w:pPr>
    <w:r w:rsidRPr="00D306AB">
      <w:rPr>
        <w:noProof/>
        <w:color w:val="FFFFFF" w:themeColor="background1"/>
      </w:rPr>
      <mc:AlternateContent>
        <mc:Choice Requires="wps">
          <w:drawing>
            <wp:anchor distT="0" distB="0" distL="114300" distR="114300" simplePos="0" relativeHeight="251659264" behindDoc="1" locked="0" layoutInCell="1" allowOverlap="1" wp14:anchorId="3FD6F2AB" wp14:editId="62A56793">
              <wp:simplePos x="0" y="0"/>
              <wp:positionH relativeFrom="column">
                <wp:posOffset>-28257</wp:posOffset>
              </wp:positionH>
              <wp:positionV relativeFrom="paragraph">
                <wp:posOffset>-32702</wp:posOffset>
              </wp:positionV>
              <wp:extent cx="6015037" cy="247650"/>
              <wp:effectExtent l="0" t="0" r="5080" b="0"/>
              <wp:wrapNone/>
              <wp:docPr id="1" name="Rechteck 1"/>
              <wp:cNvGraphicFramePr/>
              <a:graphic xmlns:a="http://schemas.openxmlformats.org/drawingml/2006/main">
                <a:graphicData uri="http://schemas.microsoft.com/office/word/2010/wordprocessingShape">
                  <wps:wsp>
                    <wps:cNvSpPr/>
                    <wps:spPr>
                      <a:xfrm>
                        <a:off x="0" y="0"/>
                        <a:ext cx="6015037" cy="247650"/>
                      </a:xfrm>
                      <a:prstGeom prst="rect">
                        <a:avLst/>
                      </a:prstGeom>
                      <a:solidFill>
                        <a:srgbClr val="F1882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D39043" id="Rechteck 1" o:spid="_x0000_s1026" style="position:absolute;margin-left:-2.2pt;margin-top:-2.55pt;width:473.6pt;height:19.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" fillcolor="#f18826" stroked="f" strokeweight="1pt"/>
          </w:pict>
        </mc:Fallback>
      </mc:AlternateContent>
    </w:r>
    <w:proofErr w:type="gramStart"/>
    <w:r w:rsidR="001D50AF" w:rsidRPr="001D50AF">
      <w:rPr>
        <w:color w:val="FFFFFF" w:themeColor="background1"/>
      </w:rPr>
      <w:t>SQL Server</w:t>
    </w:r>
    <w:proofErr w:type="gramEnd"/>
    <w:r w:rsidR="001D50AF" w:rsidRPr="001D50AF">
      <w:rPr>
        <w:color w:val="FFFFFF" w:themeColor="background1"/>
      </w:rPr>
      <w:t xml:space="preserve"> </w:t>
    </w:r>
    <w:r w:rsidR="001D50AF">
      <w:rPr>
        <w:color w:val="FFFFFF" w:themeColor="background1"/>
      </w:rPr>
      <w:t xml:space="preserve">- </w:t>
    </w:r>
    <w:r w:rsidR="001D50AF" w:rsidRPr="001D50AF">
      <w:rPr>
        <w:color w:val="FFFFFF" w:themeColor="background1"/>
      </w:rPr>
      <w:t xml:space="preserve">Hochverfügbarkeit </w:t>
    </w:r>
    <w:r w:rsidR="001D50AF">
      <w:rPr>
        <w:color w:val="FFFFFF" w:themeColor="background1"/>
      </w:rPr>
      <w:t>mit</w:t>
    </w:r>
    <w:r w:rsidR="001D50AF" w:rsidRPr="001D50AF">
      <w:rPr>
        <w:color w:val="FFFFFF" w:themeColor="background1"/>
      </w:rPr>
      <w:t xml:space="preserve"> </w:t>
    </w:r>
    <w:proofErr w:type="spellStart"/>
    <w:r w:rsidR="001D50AF" w:rsidRPr="001D50AF">
      <w:rPr>
        <w:color w:val="FFFFFF" w:themeColor="background1"/>
      </w:rPr>
      <w:t>AlwaysOn</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8179D9"/>
    <w:multiLevelType w:val="hybridMultilevel"/>
    <w:tmpl w:val="5BE00FEC"/>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5A602B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7DA443A8"/>
    <w:multiLevelType w:val="multilevel"/>
    <w:tmpl w:val="094854DA"/>
    <w:lvl w:ilvl="0">
      <w:start w:val="1"/>
      <w:numFmt w:val="decimal"/>
      <w:pStyle w:val="berschrift1"/>
      <w:lvlText w:val="%1"/>
      <w:lvlJc w:val="left"/>
      <w:pPr>
        <w:ind w:left="432" w:hanging="432"/>
      </w:pPr>
      <w:rPr>
        <w:rFonts w:asciiTheme="minorHAnsi" w:hAnsiTheme="minorHAnsi" w:cstheme="minorHAnsi" w:hint="default"/>
        <w:sz w:val="36"/>
        <w:szCs w:val="36"/>
      </w:r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667"/>
    <w:rsid w:val="000E76DA"/>
    <w:rsid w:val="00187C6C"/>
    <w:rsid w:val="001D50AF"/>
    <w:rsid w:val="002D3082"/>
    <w:rsid w:val="00382D2C"/>
    <w:rsid w:val="0040169F"/>
    <w:rsid w:val="004B2448"/>
    <w:rsid w:val="004F01FA"/>
    <w:rsid w:val="00816667"/>
    <w:rsid w:val="00B36A79"/>
    <w:rsid w:val="00C720D3"/>
    <w:rsid w:val="00D306AB"/>
    <w:rsid w:val="00DE5C3C"/>
    <w:rsid w:val="00E51198"/>
    <w:rsid w:val="00E66C06"/>
    <w:rsid w:val="00ED35D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06AE5F2"/>
  <w15:chartTrackingRefBased/>
  <w15:docId w15:val="{73E89FF2-EEF5-4C67-BB4E-5ECBD1D84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87C6C"/>
  </w:style>
  <w:style w:type="paragraph" w:styleId="berschrift1">
    <w:name w:val="heading 1"/>
    <w:basedOn w:val="Standard"/>
    <w:next w:val="Standard"/>
    <w:link w:val="berschrift1Zchn"/>
    <w:uiPriority w:val="9"/>
    <w:qFormat/>
    <w:rsid w:val="00816667"/>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816667"/>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816667"/>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816667"/>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816667"/>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816667"/>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816667"/>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81666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81666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16667"/>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816667"/>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816667"/>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semiHidden/>
    <w:rsid w:val="00816667"/>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816667"/>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816667"/>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816667"/>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816667"/>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816667"/>
    <w:rPr>
      <w:rFonts w:asciiTheme="majorHAnsi" w:eastAsiaTheme="majorEastAsia" w:hAnsiTheme="majorHAnsi" w:cstheme="majorBidi"/>
      <w:i/>
      <w:iCs/>
      <w:color w:val="272727" w:themeColor="text1" w:themeTint="D8"/>
      <w:sz w:val="21"/>
      <w:szCs w:val="21"/>
    </w:rPr>
  </w:style>
  <w:style w:type="paragraph" w:styleId="StandardWeb">
    <w:name w:val="Normal (Web)"/>
    <w:basedOn w:val="Standard"/>
    <w:uiPriority w:val="99"/>
    <w:semiHidden/>
    <w:unhideWhenUsed/>
    <w:rsid w:val="00816667"/>
    <w:pPr>
      <w:spacing w:before="15" w:after="15" w:line="240" w:lineRule="auto"/>
    </w:pPr>
    <w:rPr>
      <w:rFonts w:ascii="Times New Roman" w:eastAsia="Times New Roman" w:hAnsi="Times New Roman" w:cs="Times New Roman"/>
      <w:lang w:eastAsia="de-DE"/>
    </w:rPr>
  </w:style>
  <w:style w:type="paragraph" w:styleId="Kopfzeile">
    <w:name w:val="header"/>
    <w:basedOn w:val="Standard"/>
    <w:link w:val="KopfzeileZchn"/>
    <w:uiPriority w:val="99"/>
    <w:unhideWhenUsed/>
    <w:rsid w:val="0081666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16667"/>
  </w:style>
  <w:style w:type="paragraph" w:styleId="Fuzeile">
    <w:name w:val="footer"/>
    <w:basedOn w:val="Standard"/>
    <w:link w:val="FuzeileZchn"/>
    <w:uiPriority w:val="99"/>
    <w:unhideWhenUsed/>
    <w:rsid w:val="0081666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16667"/>
  </w:style>
  <w:style w:type="character" w:styleId="Hyperlink">
    <w:name w:val="Hyperlink"/>
    <w:basedOn w:val="Absatz-Standardschriftart"/>
    <w:uiPriority w:val="99"/>
    <w:unhideWhenUsed/>
    <w:rsid w:val="00816667"/>
    <w:rPr>
      <w:color w:val="0000FF"/>
      <w:u w:val="single"/>
    </w:rPr>
  </w:style>
  <w:style w:type="character" w:styleId="SchwacherVerweis">
    <w:name w:val="Subtle Reference"/>
    <w:basedOn w:val="Absatz-Standardschriftart"/>
    <w:uiPriority w:val="31"/>
    <w:qFormat/>
    <w:rsid w:val="00816667"/>
    <w:rPr>
      <w:smallCaps/>
      <w:color w:val="5A5A5A" w:themeColor="text1" w:themeTint="A5"/>
    </w:rPr>
  </w:style>
  <w:style w:type="paragraph" w:styleId="Listenabsatz">
    <w:name w:val="List Paragraph"/>
    <w:basedOn w:val="Standard"/>
    <w:uiPriority w:val="34"/>
    <w:qFormat/>
    <w:rsid w:val="004B2448"/>
    <w:pPr>
      <w:ind w:left="720"/>
      <w:contextualSpacing/>
    </w:pPr>
  </w:style>
  <w:style w:type="table" w:styleId="Tabellenraster">
    <w:name w:val="Table Grid"/>
    <w:basedOn w:val="NormaleTabelle"/>
    <w:uiPriority w:val="39"/>
    <w:rsid w:val="00DE5C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709331">
      <w:bodyDiv w:val="1"/>
      <w:marLeft w:val="0"/>
      <w:marRight w:val="0"/>
      <w:marTop w:val="0"/>
      <w:marBottom w:val="0"/>
      <w:divBdr>
        <w:top w:val="none" w:sz="0" w:space="0" w:color="auto"/>
        <w:left w:val="none" w:sz="0" w:space="0" w:color="auto"/>
        <w:bottom w:val="none" w:sz="0" w:space="0" w:color="auto"/>
        <w:right w:val="none" w:sz="0" w:space="0" w:color="auto"/>
      </w:divBdr>
    </w:div>
    <w:div w:id="1721400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BF391AEE31C99448A543937035626E06" ma:contentTypeVersion="16" ma:contentTypeDescription="Ein neues Dokument erstellen." ma:contentTypeScope="" ma:versionID="056af482641e7e412ce98e55d58baef4">
  <xsd:schema xmlns:xsd="http://www.w3.org/2001/XMLSchema" xmlns:xs="http://www.w3.org/2001/XMLSchema" xmlns:p="http://schemas.microsoft.com/office/2006/metadata/properties" xmlns:ns1="http://schemas.microsoft.com/sharepoint/v3" xmlns:ns2="6c0c9536-4234-4ee5-917d-0db1094ec3d5" xmlns:ns3="965790fa-1676-40e9-a1b2-ba5f45c567ff" targetNamespace="http://schemas.microsoft.com/office/2006/metadata/properties" ma:root="true" ma:fieldsID="cc8c11f7c62b477d8dbd326f9b93f965" ns1:_="" ns2:_="" ns3:_="">
    <xsd:import namespace="http://schemas.microsoft.com/sharepoint/v3"/>
    <xsd:import namespace="6c0c9536-4234-4ee5-917d-0db1094ec3d5"/>
    <xsd:import namespace="965790fa-1676-40e9-a1b2-ba5f45c567ff"/>
    <xsd:element name="properties">
      <xsd:complexType>
        <xsd:sequence>
          <xsd:element name="documentManagement">
            <xsd:complexType>
              <xsd:all>
                <xsd:element ref="ns1:PublishingStartDate" minOccurs="0"/>
                <xsd:element ref="ns1:PublishingExpirationDate" minOccurs="0"/>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Geplantes Startdatum" ma:description="Geplantes Startdatum ist eine Websitespalte, die über das Feature zum Veröffentlichen erstellt wird. Es wird zur Angabe des Datums und der Uhrzeit verwendet, wann diese Seite Besuchern zum ersten Mal angezeigt wird." ma:internalName="PublishingStartDate">
      <xsd:simpleType>
        <xsd:restriction base="dms:Unknown"/>
      </xsd:simpleType>
    </xsd:element>
    <xsd:element name="PublishingExpirationDate" ma:index="9" nillable="true" ma:displayName="Geplantes Enddatum" ma:description="Geplantes Enddatum ist eine Websitespalte, die über das Feature zum Veröffentlichen erstellt wird. Es wird zur Angabe des Datums und der Uhrzeit verwendet, wann diese Seite Besuchern nicht mehr angezeigt wird."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c0c9536-4234-4ee5-917d-0db1094ec3d5"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Bildmarkierungen" ma:readOnly="false" ma:fieldId="{5cf76f15-5ced-4ddc-b409-7134ff3c332f}" ma:taxonomyMulti="true" ma:sspId="f5bf87e0-b9a9-40f7-828e-82e0fd796cd7"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965790fa-1676-40e9-a1b2-ba5f45c567ff" elementFormDefault="qualified">
    <xsd:import namespace="http://schemas.microsoft.com/office/2006/documentManagement/types"/>
    <xsd:import namespace="http://schemas.microsoft.com/office/infopath/2007/PartnerControls"/>
    <xsd:element name="SharedWithUsers" ma:index="20"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Freigegeben für - Details" ma:internalName="SharedWithDetails" ma:readOnly="true">
      <xsd:simpleType>
        <xsd:restriction base="dms:Note">
          <xsd:maxLength value="255"/>
        </xsd:restriction>
      </xsd:simpleType>
    </xsd:element>
    <xsd:element name="TaxCatchAll" ma:index="24" nillable="true" ma:displayName="Taxonomy Catch All Column" ma:hidden="true" ma:list="{b1df5dc2-97ce-41de-9242-1a08c11d8deb}" ma:internalName="TaxCatchAll" ma:showField="CatchAllData" ma:web="965790fa-1676-40e9-a1b2-ba5f45c567f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TaxCatchAll xmlns="965790fa-1676-40e9-a1b2-ba5f45c567ff" xsi:nil="true"/>
    <lcf76f155ced4ddcb4097134ff3c332f xmlns="6c0c9536-4234-4ee5-917d-0db1094ec3d5">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6F66C75A-9276-4670-8E61-0F600764013D}">
  <ds:schemaRefs>
    <ds:schemaRef ds:uri="http://schemas.microsoft.com/sharepoint/v3/contenttype/forms"/>
  </ds:schemaRefs>
</ds:datastoreItem>
</file>

<file path=customXml/itemProps2.xml><?xml version="1.0" encoding="utf-8"?>
<ds:datastoreItem xmlns:ds="http://schemas.openxmlformats.org/officeDocument/2006/customXml" ds:itemID="{DC5F0E10-D7B6-46BC-A0A3-7DBF555DEF45}"/>
</file>

<file path=customXml/itemProps3.xml><?xml version="1.0" encoding="utf-8"?>
<ds:datastoreItem xmlns:ds="http://schemas.openxmlformats.org/officeDocument/2006/customXml" ds:itemID="{3EC1D404-0DA4-4758-9A26-C7DB171007D9}">
  <ds:schemaRefs>
    <ds:schemaRef ds:uri="http://schemas.openxmlformats.org/officeDocument/2006/bibliography"/>
  </ds:schemaRefs>
</ds:datastoreItem>
</file>

<file path=customXml/itemProps4.xml><?xml version="1.0" encoding="utf-8"?>
<ds:datastoreItem xmlns:ds="http://schemas.openxmlformats.org/officeDocument/2006/customXml" ds:itemID="{E4B430CD-46E2-47EE-9EAD-59C94F3361C2}">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362</Words>
  <Characters>2287</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ppedv Lab Spezifikation</vt:lpstr>
    </vt:vector>
  </TitlesOfParts>
  <Company/>
  <LinksUpToDate>false</LinksUpToDate>
  <CharactersWithSpaces>2644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ppedv Lab Spezifikation</dc:title>
  <dc:subject/>
  <dc:creator>Jens Zimmermann</dc:creator>
  <cp:keywords/>
  <dc:description/>
  <cp:lastModifiedBy>Jens Zimmermann</cp:lastModifiedBy>
  <cp:revision>3</cp:revision>
  <cp:lastPrinted>2021-09-01T10:34:00Z</cp:lastPrinted>
  <dcterms:created xsi:type="dcterms:W3CDTF">2021-09-01T13:05:00Z</dcterms:created>
  <dcterms:modified xsi:type="dcterms:W3CDTF">2021-09-02T10:54:00Z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0x010100BF391AEE31C99448A543937035626E06</vt:lpwstr>
  </property>
</Properties>
</file>