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" w:hAnsi="Ubuntu" w:eastAsia="Ubuntu" w:cs="Ubuntu"/>
          <w:sz w:val="60"/>
          <w:szCs w:val="60"/>
          <w:rtl w:val="0"/>
          <w:lang w:val="en"/>
        </w:rPr>
      </w:pPr>
    </w:p>
    <w:p>
      <w:pPr>
        <w:rPr>
          <w:rFonts w:hint="default" w:ascii="Ubuntu" w:hAnsi="Ubuntu" w:eastAsia="Ubuntu" w:cs="Ubuntu"/>
          <w:sz w:val="60"/>
          <w:szCs w:val="60"/>
          <w:rtl w:val="0"/>
          <w:lang w:val="en"/>
        </w:rPr>
      </w:pPr>
      <w:r>
        <w:rPr>
          <w:rFonts w:hint="default" w:ascii="Ubuntu" w:hAnsi="Ubuntu" w:eastAsia="Ubuntu" w:cs="Ubuntu"/>
          <w:sz w:val="60"/>
          <w:szCs w:val="60"/>
          <w:rtl w:val="0"/>
          <w:lang w:val="en"/>
        </w:rPr>
        <w:t>Appendix</w:t>
      </w:r>
    </w:p>
    <w:p>
      <w:pPr>
        <w:rPr>
          <w:rFonts w:hint="default" w:ascii="Ubuntu" w:hAnsi="Ubuntu" w:eastAsia="Ubuntu" w:cs="Ubuntu"/>
          <w:sz w:val="60"/>
          <w:szCs w:val="60"/>
          <w:rtl w:val="0"/>
          <w:lang w:val="en"/>
        </w:rPr>
      </w:pPr>
    </w:p>
    <w:tbl>
      <w:tblPr>
        <w:tblStyle w:val="7"/>
        <w:tblpPr w:leftFromText="180" w:rightFromText="180" w:vertAnchor="text" w:horzAnchor="page" w:tblpXSpec="center" w:tblpY="163"/>
        <w:tblOverlap w:val="never"/>
        <w:tblW w:w="852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5" w:type="dxa"/>
            <w:tcBorders>
              <w:bottom w:val="single" w:color="auto" w:sz="4" w:space="0"/>
            </w:tcBorders>
          </w:tcPr>
          <w:p>
            <w:pPr>
              <w:widowControl w:val="0"/>
              <w:spacing w:line="360" w:lineRule="auto"/>
              <w:jc w:val="center"/>
            </w:pPr>
            <w:r>
              <w:drawing>
                <wp:inline distT="0" distB="0" distL="114300" distR="114300">
                  <wp:extent cx="4023360" cy="5104765"/>
                  <wp:effectExtent l="9525" t="9525" r="11430" b="19685"/>
                  <wp:docPr id="2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5104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tbl>
      <w:tblPr>
        <w:tblStyle w:val="6"/>
        <w:tblpPr w:leftFromText="180" w:rightFromText="180" w:vertAnchor="text" w:horzAnchor="page" w:tblpX="1849" w:tblpY="114"/>
        <w:tblOverlap w:val="never"/>
        <w:tblW w:w="84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8400" w:type="dxa"/>
          </w:tcPr>
          <w:p>
            <w:pPr>
              <w:jc w:val="center"/>
            </w:pPr>
            <w:bookmarkStart w:id="0" w:name="_GoBack"/>
            <w:r>
              <w:drawing>
                <wp:inline distT="0" distB="0" distL="114300" distR="114300">
                  <wp:extent cx="7475855" cy="4239895"/>
                  <wp:effectExtent l="9525" t="9525" r="25400" b="16510"/>
                  <wp:docPr id="4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75855" cy="4239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jc w:val="both"/>
              <w:rPr>
                <w:rFonts w:hint="default"/>
                <w:vertAlign w:val="baseline"/>
                <w:rtl w:val="0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18"/>
                <w:szCs w:val="18"/>
                <w:rtl w:val="0"/>
                <w:lang w:val="en"/>
              </w:rPr>
              <w:t xml:space="preserve">Appendix 2: Regression Table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>The table is to be read as follows: predicted absorbances are in black, values in green and red correspond to cell-count estimates, Chlamydomonas and Strain respectively, from the regression in FigureX. The blue 250 diagonal represents 1:1 absorbance ratios with roughly 250 times as many bacterial cells as Chlamydomonas cells (B:C). Green and red-boxed values are fractions or multiples of this value. Note, however, that the regressions show a large gap in the ranges of 0 to 0.1; this is because absorbance measurements at these wavelengths are in the limit of detection for the Tecan.</w:t>
            </w:r>
          </w:p>
        </w:tc>
      </w:tr>
    </w:tbl>
    <w:p>
      <w:pPr>
        <w:jc w:val="center"/>
      </w:pPr>
    </w:p>
    <w:sectPr>
      <w:headerReference r:id="rId5" w:type="default"/>
      <w:footerReference r:id="rId6" w:type="default"/>
      <w:pgSz w:w="11906" w:h="16838"/>
      <w:pgMar w:top="1440" w:right="1800" w:bottom="1440" w:left="1800" w:header="864" w:footer="1296" w:gutter="0"/>
      <w:pgNumType w:fmt="decimal" w:start="6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xTiznb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jc w:val="right"/>
    </w:pPr>
    <w:r>
      <w:rPr>
        <w:rFonts w:hint="default" w:ascii="Times New Roman" w:hAnsi="Times New Roman" w:cs="Times New Roman"/>
        <w:i/>
        <w:iCs/>
        <w:lang w:val="en"/>
      </w:rPr>
      <w:t>Appendix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70E82"/>
    <w:rsid w:val="FFD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lang w:val="e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_Style 22"/>
    <w:basedOn w:val="8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528</Characters>
  <Lines>0</Lines>
  <Paragraphs>0</Paragraphs>
  <TotalTime>3</TotalTime>
  <ScaleCrop>false</ScaleCrop>
  <LinksUpToDate>false</LinksUpToDate>
  <CharactersWithSpaces>626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2019-11-28T12:07:00Z</dcterms:created>
  <dc:creator>rdmtinez</dc:creator>
  <cp:lastModifiedBy>rdmtinez</cp:lastModifiedBy>
  <dcterms:modified xsi:type="dcterms:W3CDTF">2019-11-28T12:13:28Z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