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A1A2E"/>
        </w:rPr>
        <w:t>Predicting Annual Income with the Adult Census Dataset</w:t>
      </w:r>
    </w:p>
    <w:p>
      <w:pPr>
        <w:pStyle w:val="Heading2"/>
        <w:jc w:val="left"/>
      </w:pPr>
      <w:r>
        <w:rPr>
          <w:color w:val="1A1A2E"/>
        </w:rPr>
        <w:t>MSIN0097 Predictive Analytics — Individual Coursework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1. Introduction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Class distribution — 75.9% ≤50K, 24.1% &gt;50K (imbalance ratio 3.15:1).</w:t>
      </w:r>
    </w:p>
    <w:p/>
    <w:p>
      <w:pPr>
        <w:jc w:val="both"/>
      </w:pPr>
      <w:r>
        <w:rPr>
          <w:sz w:val="22"/>
        </w:rPr>
        <w:t>This project predicts whether an individual earns `&gt;50K` per year using the Adult Census</w:t>
      </w:r>
    </w:p>
    <w:p>
      <w:pPr>
        <w:jc w:val="both"/>
      </w:pPr>
      <w:r>
        <w:rPr>
          <w:sz w:val="22"/>
        </w:rPr>
        <w:t>Income dataset. The intended stakeholder is a workforce policy or HR analytics team that</w:t>
      </w:r>
    </w:p>
    <w:p>
      <w:pPr>
        <w:jc w:val="both"/>
      </w:pPr>
      <w:r>
        <w:rPr>
          <w:sz w:val="22"/>
        </w:rPr>
        <w:t xml:space="preserve">needs </w:t>
      </w:r>
      <w:r>
        <w:rPr>
          <w:b/>
          <w:sz w:val="22"/>
        </w:rPr>
        <w:t>priority ranking</w:t>
      </w:r>
      <w:r>
        <w:rPr>
          <w:sz w:val="22"/>
        </w:rPr>
        <w:t xml:space="preserve"> rather than a perfect deterministic rule. A binary classifier is</w:t>
      </w:r>
    </w:p>
    <w:p>
      <w:pPr>
        <w:jc w:val="both"/>
      </w:pPr>
      <w:r>
        <w:rPr>
          <w:sz w:val="22"/>
        </w:rPr>
        <w:t>appropriate because the operational decision is whether an individual likely belongs in a</w:t>
      </w:r>
    </w:p>
    <w:p>
      <w:pPr>
        <w:jc w:val="both"/>
      </w:pPr>
      <w:r>
        <w:rPr>
          <w:sz w:val="22"/>
        </w:rPr>
        <w:t>higher-income segment, not exact income estimation.</w:t>
      </w:r>
    </w:p>
    <w:p>
      <w:pPr>
        <w:jc w:val="both"/>
      </w:pPr>
      <w:r>
        <w:rPr>
          <w:sz w:val="22"/>
        </w:rPr>
        <w:t>The dataset contains 32,561 records and 14 predictors (Kohavi, 1996; Dua and Graff, 2019).</w:t>
      </w:r>
    </w:p>
    <w:p>
      <w:pPr>
        <w:jc w:val="both"/>
      </w:pPr>
      <w:r>
        <w:rPr>
          <w:sz w:val="22"/>
        </w:rPr>
        <w:t>The target is imbalanced: 75.9% `&lt;=50K` and 24.1% `&gt;50K` (Figure 1), so raw accuracy is not a</w:t>
      </w:r>
    </w:p>
    <w:p>
      <w:pPr>
        <w:jc w:val="both"/>
      </w:pPr>
      <w:r>
        <w:rPr>
          <w:sz w:val="22"/>
        </w:rPr>
        <w:t>safe primary metric. Before any modelling, success criteria were fixed as:</w:t>
      </w:r>
    </w:p>
    <w:p>
      <w:pPr>
        <w:jc w:val="both"/>
      </w:pPr>
      <w:r>
        <w:rPr>
          <w:sz w:val="22"/>
        </w:rPr>
        <w:t>- weighted F1 `&gt;= 0.82`</w:t>
      </w:r>
    </w:p>
    <w:p>
      <w:pPr>
        <w:jc w:val="both"/>
      </w:pPr>
      <w:r>
        <w:rPr>
          <w:sz w:val="22"/>
        </w:rPr>
        <w:t>- positive-class recall (`&gt;50K`) `&gt;= 0.75`</w:t>
      </w:r>
    </w:p>
    <w:p>
      <w:pPr>
        <w:jc w:val="both"/>
      </w:pPr>
      <w:r>
        <w:rPr>
          <w:sz w:val="22"/>
        </w:rPr>
        <w:t>- calibration quality suitable for threshold-based policy decisions</w:t>
      </w:r>
    </w:p>
    <w:p>
      <w:pPr>
        <w:jc w:val="both"/>
      </w:pPr>
      <w:r>
        <w:rPr>
          <w:sz w:val="22"/>
        </w:rPr>
        <w:t>The final model is a tuned HistGradientBoosting classifier with operating threshold `0.36`.</w:t>
      </w:r>
    </w:p>
    <w:p>
      <w:pPr>
        <w:jc w:val="both"/>
      </w:pPr>
      <w:r>
        <w:rPr>
          <w:sz w:val="22"/>
        </w:rPr>
        <w:t>On the untouched test set, it achieves weighted F1 `0.862`, recall `0.784`, PR-AUC `0.828`,</w:t>
      </w:r>
    </w:p>
    <w:p>
      <w:pPr>
        <w:jc w:val="both"/>
      </w:pPr>
      <w:r>
        <w:rPr>
          <w:sz w:val="22"/>
        </w:rPr>
        <w:t>ROC-AUC `0.926`, and calibration error (ECE) `0.014`. Relative to the logistic baseline,</w:t>
      </w:r>
    </w:p>
    <w:p>
      <w:pPr>
        <w:jc w:val="both"/>
      </w:pPr>
      <w:r>
        <w:rPr>
          <w:sz w:val="22"/>
        </w:rPr>
        <w:t>this is a +0.041 absolute F1 gain, or approximately +5.0% relative improvement.</w:t>
      </w:r>
    </w:p>
    <w:p>
      <w:pPr>
        <w:jc w:val="both"/>
      </w:pPr>
      <w:r>
        <w:rPr>
          <w:sz w:val="22"/>
        </w:rPr>
        <w:t>This report follows the coursework six-step structure and documents both model evidence and</w:t>
      </w:r>
    </w:p>
    <w:p>
      <w:pPr>
        <w:jc w:val="both"/>
      </w:pPr>
      <w:r>
        <w:rPr>
          <w:sz w:val="22"/>
        </w:rPr>
        <w:t>agent-assisted decision verification.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2. Methodology</w:t>
      </w:r>
    </w:p>
    <w:p>
      <w:pPr>
        <w:pStyle w:val="Heading3"/>
        <w:jc w:val="left"/>
      </w:pPr>
      <w:r>
        <w:t>2.1 EDA-driven design decisions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Numeric feature distributions showing extreme right-skew in capital.gain and capital.loss.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ness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Missingness summary — occupation (5.66%), workclass (5.64%), native.country (1.79%).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ness_mechanism_classif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20. Missingness mechanism classification map with explicit MCAR/MAR/MNAR heuristic labels.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age_suspicion_numeric_co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Leakage detection — no numeric feature carries point-biserial correlation ≥ 0.9.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10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Numeric correlation heatmap — education.num and education highly correlated.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iate_boxplots_by_targ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Bivariate boxplots — marital.status and capital.gain are strongest class-separating features.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iqr_r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IQR outlier rates — hours.per.week reaches 27.7%.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isolation_scat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 Isolation Forest anomaly scatter — 3.0% of records flagged as anomalous.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376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visual_correction_examp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21. Agent visual correction evidence — raw missing counts replaced with normalized percentages.</w:t>
      </w:r>
    </w:p>
    <w:p/>
    <w:p>
      <w:pPr>
        <w:jc w:val="both"/>
      </w:pPr>
      <w:r>
        <w:rPr>
          <w:sz w:val="22"/>
        </w:rPr>
        <w:t>EDA was run to drive decisions, not just describe data.</w:t>
      </w:r>
    </w:p>
    <w:p>
      <w:pPr>
        <w:jc w:val="both"/>
      </w:pPr>
      <w:r>
        <w:rPr>
          <w:sz w:val="22"/>
        </w:rPr>
        <w:t>Numeric distributions (Figure 2) show extreme right-skew in `capital.gain` and</w:t>
      </w:r>
    </w:p>
    <w:p>
      <w:pPr>
        <w:jc w:val="both"/>
      </w:pPr>
      <w:r>
        <w:rPr>
          <w:sz w:val="22"/>
        </w:rPr>
        <w:t>`capital.loss` with dominant zero mass and long positive tails. This motivated robust,</w:t>
      </w:r>
    </w:p>
    <w:p>
      <w:pPr>
        <w:jc w:val="both"/>
      </w:pPr>
      <w:r>
        <w:rPr>
          <w:sz w:val="22"/>
        </w:rPr>
        <w:t>leak-safe preprocessing and explicit outlier diagnostics.</w:t>
      </w:r>
    </w:p>
    <w:p>
      <w:pPr>
        <w:jc w:val="both"/>
      </w:pPr>
      <w:r>
        <w:rPr>
          <w:sz w:val="22"/>
        </w:rPr>
        <w:t>Missingness is concentrated in `occupation` (5.66%), `workclass` (5.64%), and</w:t>
      </w:r>
    </w:p>
    <w:p>
      <w:pPr>
        <w:jc w:val="both"/>
      </w:pPr>
      <w:r>
        <w:rPr>
          <w:sz w:val="22"/>
        </w:rPr>
        <w:t>`native.country` (1.79%) (Figure 3). Figure 20 adds a mechanism classification map</w:t>
      </w:r>
    </w:p>
    <w:p>
      <w:pPr>
        <w:jc w:val="both"/>
      </w:pPr>
      <w:r>
        <w:rPr>
          <w:sz w:val="22"/>
        </w:rPr>
        <w:t>(MCAR/MAR/MNAR heuristic labels) and makes the caveat explicit: the labels are practical</w:t>
      </w:r>
    </w:p>
    <w:p>
      <w:pPr>
        <w:jc w:val="both"/>
      </w:pPr>
      <w:r>
        <w:rPr>
          <w:sz w:val="22"/>
        </w:rPr>
        <w:t>working assumptions, not proven causal mechanisms. The implication remains the same:</w:t>
      </w:r>
    </w:p>
    <w:p>
      <w:pPr>
        <w:jc w:val="both"/>
      </w:pPr>
      <w:r>
        <w:rPr>
          <w:sz w:val="22"/>
        </w:rPr>
        <w:t>row deletion is riskier than imputation because it removes signal and may amplify class/slice</w:t>
      </w:r>
    </w:p>
    <w:p>
      <w:pPr>
        <w:jc w:val="both"/>
      </w:pPr>
      <w:r>
        <w:rPr>
          <w:sz w:val="22"/>
        </w:rPr>
        <w:t>imbalance.</w:t>
      </w:r>
    </w:p>
    <w:p>
      <w:pPr>
        <w:jc w:val="both"/>
      </w:pPr>
      <w:r>
        <w:rPr>
          <w:sz w:val="22"/>
        </w:rPr>
        <w:t>Leakage checks were made explicit. Figure 4 shows no numeric feature with absolute</w:t>
      </w:r>
    </w:p>
    <w:p>
      <w:pPr>
        <w:jc w:val="both"/>
      </w:pPr>
      <w:r>
        <w:rPr>
          <w:sz w:val="22"/>
        </w:rPr>
        <w:t>point-biserial correlation near the 0.9 suspicion threshold. Figure 5 (correlation heatmap)</w:t>
      </w:r>
    </w:p>
    <w:p>
      <w:pPr>
        <w:jc w:val="both"/>
      </w:pPr>
      <w:r>
        <w:rPr>
          <w:sz w:val="22"/>
        </w:rPr>
        <w:t>highlights redundancy between `education` and `education.num`, later tested via ablation.</w:t>
      </w:r>
    </w:p>
    <w:p>
      <w:pPr>
        <w:jc w:val="both"/>
      </w:pPr>
      <w:r>
        <w:rPr>
          <w:sz w:val="22"/>
        </w:rPr>
        <w:t>Figure 6 confirms separation signal for features linked to household structure and capital,</w:t>
      </w:r>
    </w:p>
    <w:p>
      <w:pPr>
        <w:jc w:val="both"/>
      </w:pPr>
      <w:r>
        <w:rPr>
          <w:sz w:val="22"/>
        </w:rPr>
        <w:t>while Figures 7-8 show outlier concentration without a single dominant leakage-like feature.</w:t>
      </w:r>
    </w:p>
    <w:p>
      <w:pPr>
        <w:jc w:val="both"/>
      </w:pPr>
      <w:r>
        <w:rPr>
          <w:sz w:val="22"/>
        </w:rPr>
        <w:t>The IQR plot (Figure 7) indicates high rates for `hours.per.week`, but the Isolation Forest</w:t>
      </w:r>
    </w:p>
    <w:p>
      <w:pPr>
        <w:jc w:val="both"/>
      </w:pPr>
      <w:r>
        <w:rPr>
          <w:sz w:val="22"/>
        </w:rPr>
        <w:t>scatter (Figure 8) confirms these points are distributed rather than concentrated into a</w:t>
      </w:r>
    </w:p>
    <w:p>
      <w:pPr>
        <w:jc w:val="both"/>
      </w:pPr>
      <w:r>
        <w:rPr>
          <w:sz w:val="22"/>
        </w:rPr>
        <w:t>single pathological subgroup. That finding supported retaining outliers and handling them</w:t>
      </w:r>
    </w:p>
    <w:p>
      <w:pPr>
        <w:jc w:val="both"/>
      </w:pPr>
      <w:r>
        <w:rPr>
          <w:sz w:val="22"/>
        </w:rPr>
        <w:t>through robust preprocessing plus downstream threshold stress testing, rather than hard</w:t>
      </w:r>
    </w:p>
    <w:p>
      <w:pPr>
        <w:jc w:val="both"/>
      </w:pPr>
      <w:r>
        <w:rPr>
          <w:sz w:val="22"/>
        </w:rPr>
        <w:t>trimming rules that could disproportionately remove minority slices.</w:t>
      </w:r>
    </w:p>
    <w:p>
      <w:pPr>
        <w:jc w:val="both"/>
      </w:pPr>
      <w:r>
        <w:rPr>
          <w:sz w:val="22"/>
        </w:rPr>
        <w:t>To satisfy the visual-verification requirement, Figure 21 documents one explicit agent-plot</w:t>
      </w:r>
    </w:p>
    <w:p>
      <w:pPr>
        <w:jc w:val="both"/>
      </w:pPr>
      <w:r>
        <w:rPr>
          <w:sz w:val="22"/>
        </w:rPr>
        <w:t>correction: a raw-missing-count chart was replaced with normalized percentages because raw</w:t>
      </w:r>
    </w:p>
    <w:p>
      <w:pPr>
        <w:jc w:val="both"/>
      </w:pPr>
      <w:r>
        <w:rPr>
          <w:sz w:val="22"/>
        </w:rPr>
        <w:t>counts can mis-prioritize columns. This correction was retained as evidence of human review,</w:t>
      </w:r>
    </w:p>
    <w:p>
      <w:pPr>
        <w:jc w:val="both"/>
      </w:pPr>
      <w:r>
        <w:rPr>
          <w:sz w:val="22"/>
        </w:rPr>
        <w:t>not silently overwritten.</w:t>
      </w:r>
    </w:p>
    <w:p>
      <w:pPr>
        <w:pStyle w:val="Heading3"/>
        <w:jc w:val="left"/>
      </w:pPr>
      <w:r>
        <w:t>2.2 Data preparation and leakage discipline</w:t>
      </w:r>
    </w:p>
    <w:p>
      <w:pPr>
        <w:jc w:val="both"/>
      </w:pPr>
      <w:r>
        <w:rPr>
          <w:sz w:val="22"/>
        </w:rPr>
        <w:t xml:space="preserve">Data was split </w:t>
      </w:r>
      <w:r>
        <w:rPr>
          <w:b/>
          <w:sz w:val="22"/>
        </w:rPr>
        <w:t>before</w:t>
      </w:r>
      <w:r>
        <w:rPr>
          <w:sz w:val="22"/>
        </w:rPr>
        <w:t xml:space="preserve"> preprocessing using stratified 70/15/15 with `random_state=42`.</w:t>
      </w:r>
    </w:p>
    <w:p>
      <w:pPr>
        <w:jc w:val="both"/>
      </w:pPr>
      <w:r>
        <w:rPr>
          <w:sz w:val="22"/>
        </w:rPr>
        <w:t>All transformers were fit only on training data. The preprocessing pipeline uses:</w:t>
      </w:r>
    </w:p>
    <w:p>
      <w:pPr>
        <w:jc w:val="both"/>
      </w:pPr>
      <w:r>
        <w:rPr>
          <w:sz w:val="22"/>
        </w:rPr>
        <w:t>- numeric: median imputation + `RobustScaler`</w:t>
      </w:r>
    </w:p>
    <w:p>
      <w:pPr>
        <w:jc w:val="both"/>
      </w:pPr>
      <w:r>
        <w:rPr>
          <w:sz w:val="22"/>
        </w:rPr>
        <w:t>- categorical: most-frequent imputation + one-hot encoding (`handle_unknown='ignore'`)</w:t>
      </w:r>
    </w:p>
    <w:p>
      <w:pPr>
        <w:jc w:val="both"/>
      </w:pPr>
      <w:r>
        <w:rPr>
          <w:sz w:val="22"/>
        </w:rPr>
        <w:t>Post-transform assertions verified:</w:t>
      </w:r>
    </w:p>
    <w:p>
      <w:pPr>
        <w:jc w:val="both"/>
      </w:pPr>
      <w:r>
        <w:rPr>
          <w:sz w:val="22"/>
        </w:rPr>
        <w:t>- no NaN values in train/val/test transformed matrices</w:t>
      </w:r>
    </w:p>
    <w:p>
      <w:pPr>
        <w:jc w:val="both"/>
      </w:pPr>
      <w:r>
        <w:rPr>
          <w:sz w:val="22"/>
        </w:rPr>
        <w:t>- consistent feature dimensions across all splits</w:t>
      </w:r>
    </w:p>
    <w:p>
      <w:pPr>
        <w:jc w:val="both"/>
      </w:pPr>
      <w:r>
        <w:rPr>
          <w:sz w:val="22"/>
        </w:rPr>
        <w:t>- preserved class balance after stratification</w:t>
      </w:r>
    </w:p>
    <w:p>
      <w:pPr>
        <w:jc w:val="both"/>
      </w:pPr>
      <w:r>
        <w:rPr>
          <w:sz w:val="22"/>
        </w:rPr>
        <w:t>This split-first discipline, together with pipeline encapsulation, prevents target leakage and</w:t>
      </w:r>
    </w:p>
    <w:p>
      <w:pPr>
        <w:jc w:val="both"/>
      </w:pPr>
      <w:r>
        <w:rPr>
          <w:sz w:val="22"/>
        </w:rPr>
        <w:t>keeps CV/test estimates trustworthy.</w:t>
      </w:r>
    </w:p>
    <w:p>
      <w:pPr>
        <w:pStyle w:val="Heading3"/>
        <w:jc w:val="left"/>
      </w:pPr>
      <w:r>
        <w:t>2.3 Model shortlist, ablation, and tuning protocol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with_tu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 Model comparison with tuning — tuned HGB leads on weighted F1, AUC-PR, and ROC-AUC.</w:t>
      </w:r>
    </w:p>
    <w:p/>
    <w:p>
      <w:pPr>
        <w:jc w:val="both"/>
      </w:pPr>
      <w:r>
        <w:rPr>
          <w:sz w:val="22"/>
        </w:rPr>
        <w:t>The shortlist intentionally spans linear, tree-ensemble, and neural families:</w:t>
      </w:r>
    </w:p>
    <w:p>
      <w:pPr>
        <w:jc w:val="both"/>
      </w:pPr>
      <w:r>
        <w:rPr>
          <w:sz w:val="22"/>
        </w:rPr>
        <w:t>- Logistic Regression (interpretable linear floor)</w:t>
      </w:r>
    </w:p>
    <w:p>
      <w:pPr>
        <w:jc w:val="both"/>
      </w:pPr>
      <w:r>
        <w:rPr>
          <w:sz w:val="22"/>
        </w:rPr>
        <w:t>- Random Forest</w:t>
      </w:r>
    </w:p>
    <w:p>
      <w:pPr>
        <w:jc w:val="both"/>
      </w:pPr>
      <w:r>
        <w:rPr>
          <w:sz w:val="22"/>
        </w:rPr>
        <w:t>- HistGradientBoosting</w:t>
      </w:r>
    </w:p>
    <w:p>
      <w:pPr>
        <w:jc w:val="both"/>
      </w:pPr>
      <w:r>
        <w:rPr>
          <w:sz w:val="22"/>
        </w:rPr>
        <w:t>- MLPClassifier (64x32, early stopping)</w:t>
      </w:r>
    </w:p>
    <w:p>
      <w:pPr>
        <w:jc w:val="both"/>
      </w:pPr>
      <w:r>
        <w:rPr>
          <w:sz w:val="22"/>
        </w:rPr>
        <w:t>A majority baseline (`DummyClassifier`) establishes the minimum bar.</w:t>
      </w:r>
    </w:p>
    <w:p>
      <w:pPr>
        <w:jc w:val="both"/>
      </w:pPr>
      <w:r>
        <w:rPr>
          <w:sz w:val="22"/>
        </w:rPr>
        <w:t>All candidates were evaluated with `StratifiedKFold(n_splits=5, shuffle=True,</w:t>
      </w:r>
    </w:p>
    <w:p>
      <w:pPr>
        <w:jc w:val="both"/>
      </w:pPr>
      <w:r>
        <w:rPr>
          <w:sz w:val="22"/>
        </w:rPr>
        <w:t>random_state=42)` and consistent scoring (`f1_weighted`, PR-AUC, ROC-AUC,</w:t>
      </w:r>
    </w:p>
    <w:p>
      <w:pPr>
        <w:jc w:val="both"/>
      </w:pPr>
      <w:r>
        <w:rPr>
          <w:sz w:val="22"/>
        </w:rPr>
        <w:t>positive recall).</w:t>
      </w:r>
    </w:p>
    <w:p>
      <w:pPr>
        <w:jc w:val="both"/>
      </w:pPr>
      <w:r>
        <w:rPr>
          <w:sz w:val="22"/>
        </w:rPr>
        <w:t>Ablation design used one-change-at-a-time variants on the winning family:</w:t>
      </w:r>
    </w:p>
    <w:p>
      <w:pPr>
        <w:jc w:val="both"/>
      </w:pPr>
      <w:r>
        <w:rPr>
          <w:sz w:val="22"/>
        </w:rPr>
        <w:t>class-weight removal, scaler swap, `fnlwgt` drop, education-field redundancy checks,</w:t>
      </w:r>
    </w:p>
    <w:p>
      <w:pPr>
        <w:jc w:val="both"/>
      </w:pPr>
      <w:r>
        <w:rPr>
          <w:sz w:val="22"/>
        </w:rPr>
        <w:t>and capital-feature removal.</w:t>
      </w:r>
    </w:p>
    <w:p>
      <w:pPr>
        <w:jc w:val="both"/>
      </w:pPr>
      <w:r>
        <w:rPr>
          <w:sz w:val="22"/>
        </w:rPr>
        <w:t>Hyperparameter tuning used `RandomizedSearchCV` on HistGradientBoosting</w:t>
      </w:r>
    </w:p>
    <w:p>
      <w:pPr>
        <w:jc w:val="both"/>
      </w:pPr>
      <w:r>
        <w:rPr>
          <w:sz w:val="22"/>
        </w:rPr>
        <w:t>(20 draws, 3-fold CV), with explicit search space and persisted best parameters.</w:t>
      </w:r>
    </w:p>
    <w:p>
      <w:pPr>
        <w:jc w:val="both"/>
      </w:pPr>
      <w:r>
        <w:rPr>
          <w:sz w:val="22"/>
        </w:rPr>
        <w:t>This is not exhaustive global optimization, but it is principled and reproducible.</w:t>
      </w:r>
    </w:p>
    <w:p>
      <w:pPr>
        <w:pStyle w:val="Heading3"/>
        <w:jc w:val="left"/>
      </w:pPr>
      <w:r>
        <w:t>2.4 Fine-tuning and robustness checks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training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22. MLP training dynamics — stable convergence under early stopping.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00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eated_cv_st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23. Repeated-CV stability — selected model performance remains stable across 15 folds.</w:t>
      </w:r>
    </w:p>
    <w:p/>
    <w:p>
      <w:pPr>
        <w:jc w:val="both"/>
      </w:pPr>
      <w:r>
        <w:rPr>
          <w:sz w:val="22"/>
        </w:rPr>
        <w:t>Threshold tuning was performed on validation data only under recall constraint</w:t>
      </w:r>
    </w:p>
    <w:p>
      <w:pPr>
        <w:jc w:val="both"/>
      </w:pPr>
      <w:r>
        <w:rPr>
          <w:sz w:val="22"/>
        </w:rPr>
        <w:t>(`recall_positive &gt;= 0.75`), then frozen at `0.36`.</w:t>
      </w:r>
    </w:p>
    <w:p>
      <w:pPr>
        <w:jc w:val="both"/>
      </w:pPr>
      <w:r>
        <w:rPr>
          <w:sz w:val="22"/>
        </w:rPr>
        <w:t>Iteration 5 added two robustness upgrades:</w:t>
      </w:r>
    </w:p>
    <w:p>
      <w:pPr>
        <w:jc w:val="both"/>
      </w:pPr>
      <w:r>
        <w:rPr>
          <w:sz w:val="22"/>
        </w:rPr>
        <w:t>- Figure 22: MLP training dynamics (loss/validation trajectories) to show convergence</w:t>
      </w:r>
    </w:p>
    <w:p>
      <w:pPr>
        <w:jc w:val="both"/>
      </w:pPr>
      <w:r>
        <w:rPr>
          <w:sz w:val="22"/>
        </w:rPr>
        <w:t>behaviour for the modern baseline</w:t>
      </w:r>
    </w:p>
    <w:p>
      <w:pPr>
        <w:jc w:val="both"/>
      </w:pPr>
      <w:r>
        <w:rPr>
          <w:sz w:val="22"/>
        </w:rPr>
        <w:t>- Figure 23 + `repeated_cv_stability.csv`: repeated CV stability check using</w:t>
      </w:r>
    </w:p>
    <w:p>
      <w:pPr>
        <w:jc w:val="both"/>
      </w:pPr>
      <w:r>
        <w:rPr>
          <w:sz w:val="22"/>
        </w:rPr>
        <w:t>`RepeatedStratifiedKFold(5x3)` on the selected pipeline</w:t>
      </w:r>
    </w:p>
    <w:p>
      <w:pPr>
        <w:jc w:val="both"/>
      </w:pPr>
      <w:r>
        <w:rPr>
          <w:sz w:val="22"/>
        </w:rPr>
        <w:t>The repeated-CV mean remains close to the base CV mean, supporting that model ranking was</w:t>
      </w:r>
    </w:p>
    <w:p>
      <w:pPr>
        <w:jc w:val="both"/>
      </w:pPr>
      <w:r>
        <w:rPr>
          <w:sz w:val="22"/>
        </w:rPr>
        <w:t>not a single-split artifact.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3. Results</w:t>
      </w:r>
    </w:p>
    <w:p>
      <w:pPr>
        <w:pStyle w:val="Heading3"/>
        <w:jc w:val="left"/>
      </w:pPr>
      <w:r>
        <w:t>3.1 Cross-validated model comparison</w:t>
      </w:r>
    </w:p>
    <w:p>
      <w:pPr>
        <w:jc w:val="both"/>
      </w:pPr>
      <w:r>
        <w:rPr>
          <w:b/>
          <w:sz w:val="22"/>
        </w:rPr>
        <w:t>Table 1. Five-fold stratified CV results across shortlisted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CV F1 (mean ± std)</w:t>
            </w:r>
          </w:p>
        </w:tc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AUC-PR</w:t>
            </w:r>
          </w:p>
        </w:tc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757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Recall+</w:t>
            </w:r>
          </w:p>
        </w:tc>
      </w:tr>
      <w:tr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Majority baseline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0.655 —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0.241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0.500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0.821 ± 0.005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0.766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0.907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0.851</w:t>
            </w:r>
          </w:p>
        </w:tc>
      </w:tr>
      <w:tr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0.851 ± 0.008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0.766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0.904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0.618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MLP (64x32)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0.851 ± 0.002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0.778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0.911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0.629</w:t>
            </w:r>
          </w:p>
        </w:tc>
      </w:tr>
      <w:tr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HGB (untuned)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0.869 ± 0.003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0.827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0.927</w:t>
            </w:r>
          </w:p>
        </w:tc>
        <w:tc>
          <w:tcPr>
            <w:tcW w:type="dxa" w:w="1757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0.657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**HGB (tuned)**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**0.869 ± 0.003**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**0.830**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**0.929**</w:t>
            </w:r>
          </w:p>
        </w:tc>
        <w:tc>
          <w:tcPr>
            <w:tcW w:type="dxa" w:w="1757"/>
          </w:tcPr>
          <w:p>
            <w:pPr>
              <w:jc w:val="left"/>
            </w:pPr>
            <w:r>
              <w:rPr>
                <w:sz w:val="18"/>
              </w:rPr>
              <w:t>**0.661**</w:t>
            </w:r>
          </w:p>
        </w:tc>
      </w:tr>
    </w:tbl>
    <w:p/>
    <w:p>
      <w:pPr>
        <w:jc w:val="both"/>
      </w:pPr>
      <w:r>
        <w:rPr>
          <w:sz w:val="22"/>
        </w:rPr>
        <w:t>The tuned HGB remains first on weighted F1 and ranking metrics (Figure 9). Improvement over</w:t>
      </w:r>
    </w:p>
    <w:p>
      <w:pPr>
        <w:jc w:val="both"/>
      </w:pPr>
      <w:r>
        <w:rPr>
          <w:sz w:val="22"/>
        </w:rPr>
        <w:t xml:space="preserve">untuned HGB is intentionally reported as </w:t>
      </w:r>
      <w:r>
        <w:rPr>
          <w:b/>
          <w:sz w:val="22"/>
        </w:rPr>
        <w:t>small</w:t>
      </w:r>
      <w:r>
        <w:rPr>
          <w:sz w:val="22"/>
        </w:rPr>
        <w:t xml:space="preserve"> (about +0.0007 F1 in the saved run):</w:t>
      </w:r>
    </w:p>
    <w:p>
      <w:pPr>
        <w:jc w:val="both"/>
      </w:pPr>
      <w:r>
        <w:rPr>
          <w:sz w:val="22"/>
        </w:rPr>
        <w:t>tuning was justified as robustness and reproducibility evidence, not a dramatic uplift claim.</w:t>
      </w:r>
    </w:p>
    <w:p>
      <w:pPr>
        <w:pStyle w:val="Heading3"/>
        <w:jc w:val="left"/>
      </w:pPr>
      <w:r>
        <w:t>3.2 Ablation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8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 Ablation summary — no_capital_features collapses F1 by 3.1pp.</w:t>
      </w:r>
    </w:p>
    <w:p/>
    <w:p>
      <w:pPr>
        <w:jc w:val="both"/>
      </w:pPr>
      <w:r>
        <w:rPr>
          <w:b/>
          <w:sz w:val="22"/>
        </w:rPr>
        <w:t>Table 2. One-change-at-a-time ablations on HistGradientBoosting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CV F1 (mean ± std)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Change vs reference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drop_education_text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0.8693 ± 0.0028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+0.06pp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reference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0.8688 ± 0.0028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no_class_weight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0.8688 ± 0.0028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0.00pp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standard_scaler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0.8688 ± 0.0028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0.00pp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drop_fnlwgt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0.8681 ± 0.0031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−0.07pp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drop_education_num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0.8681 ± 0.0025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−0.07pp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**no_capital_features**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**0.8381 ± 0.0032**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**−3.08pp**</w:t>
            </w:r>
          </w:p>
        </w:tc>
      </w:tr>
    </w:tbl>
    <w:p/>
    <w:p>
      <w:pPr>
        <w:jc w:val="both"/>
      </w:pPr>
      <w:r>
        <w:rPr>
          <w:sz w:val="22"/>
        </w:rPr>
        <w:t>The largest movement is capital-feature removal (Figure 10), confirming that sparse capital</w:t>
      </w:r>
    </w:p>
    <w:p>
      <w:pPr>
        <w:jc w:val="both"/>
      </w:pPr>
      <w:r>
        <w:rPr>
          <w:sz w:val="22"/>
        </w:rPr>
        <w:t>signals are central to discrimination despite heavy skew and zero inflation.</w:t>
      </w:r>
    </w:p>
    <w:p>
      <w:pPr>
        <w:pStyle w:val="Heading3"/>
        <w:jc w:val="left"/>
      </w:pPr>
      <w:r>
        <w:t>3.3 Final test performance (single-touch)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_selected_mod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11. Learning curves — validation F1 plateaus at 0.869 by 14,586 training samples.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12. Confusion matrix at threshold 0.36 — 252 false negatives, 385 false positives.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 Precision-recall curve — AUC-PR = 0.828.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14. ROC curve — AUC = 0.926.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15. Calibration curve — ECE = 0.014, near-diagonal.</w:t>
      </w:r>
    </w:p>
    <w:p/>
    <w:p>
      <w:pPr>
        <w:jc w:val="both"/>
      </w:pPr>
      <w:r>
        <w:rPr>
          <w:sz w:val="22"/>
        </w:rPr>
        <w:t>Final evaluation was performed once on held-out test data after model and threshold freeze.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Weighted F1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0.862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&gt;= 0.82 ✅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PR-AUC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0.828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ROC-AUC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0.926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Recall (`&gt;50K`)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0.784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&gt;= 0.75 ✅</w:t>
            </w:r>
          </w:p>
        </w:tc>
      </w:tr>
      <w:tr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Precision (`&gt;50K`)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0.679</w:t>
            </w:r>
          </w:p>
        </w:tc>
        <w:tc>
          <w:tcPr>
            <w:tcW w:type="dxa" w:w="2928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Calibration (ECE)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0.014</w:t>
            </w:r>
          </w:p>
        </w:tc>
        <w:tc>
          <w:tcPr>
            <w:tcW w:type="dxa" w:w="2928"/>
          </w:tcPr>
          <w:p>
            <w:pPr>
              <w:jc w:val="left"/>
            </w:pPr>
            <w:r>
              <w:rPr>
                <w:sz w:val="18"/>
              </w:rPr>
              <w:t>Required ✅</w:t>
            </w:r>
          </w:p>
        </w:tc>
      </w:tr>
    </w:tbl>
    <w:p/>
    <w:p>
      <w:pPr>
        <w:jc w:val="both"/>
      </w:pPr>
      <w:r>
        <w:rPr>
          <w:sz w:val="22"/>
        </w:rPr>
        <w:t>Figure 11 (learning curve) shows validation F1 flattening as sample size grows, which</w:t>
      </w:r>
    </w:p>
    <w:p>
      <w:pPr>
        <w:jc w:val="both"/>
      </w:pPr>
      <w:r>
        <w:rPr>
          <w:sz w:val="22"/>
        </w:rPr>
        <w:t>suggests limited benefit from additional data under current feature set unless data quality</w:t>
      </w:r>
    </w:p>
    <w:p>
      <w:pPr>
        <w:jc w:val="both"/>
      </w:pPr>
      <w:r>
        <w:rPr>
          <w:sz w:val="22"/>
        </w:rPr>
        <w:t>changes. Figure 12 (normalized confusion matrix) makes the error trade-off explicit at the</w:t>
      </w:r>
    </w:p>
    <w:p>
      <w:pPr>
        <w:jc w:val="both"/>
      </w:pPr>
      <w:r>
        <w:rPr>
          <w:sz w:val="22"/>
        </w:rPr>
        <w:t>chosen threshold. Figure 13 (PR curve) shows strong positive-class ranking where precision</w:t>
      </w:r>
    </w:p>
    <w:p>
      <w:pPr>
        <w:jc w:val="both"/>
      </w:pPr>
      <w:r>
        <w:rPr>
          <w:sz w:val="22"/>
        </w:rPr>
        <w:t>must be controlled under intervention budgets. Figure 14 (ROC curve) confirms high global</w:t>
      </w:r>
    </w:p>
    <w:p>
      <w:pPr>
        <w:jc w:val="both"/>
      </w:pPr>
      <w:r>
        <w:rPr>
          <w:sz w:val="22"/>
        </w:rPr>
        <w:t>discrimination performance, which matters because prevalence can shift across cohorts.</w:t>
      </w:r>
    </w:p>
    <w:p>
      <w:pPr>
        <w:jc w:val="both"/>
      </w:pPr>
      <w:r>
        <w:rPr>
          <w:sz w:val="22"/>
        </w:rPr>
        <w:t>Figure 15 confirms that predicted probabilities remain close to observed frequencies, so</w:t>
      </w:r>
    </w:p>
    <w:p>
      <w:pPr>
        <w:jc w:val="both"/>
      </w:pPr>
      <w:r>
        <w:rPr>
          <w:sz w:val="22"/>
        </w:rPr>
        <w:t>score-based triage rules are more defensible than hard class labels alone.</w:t>
      </w:r>
    </w:p>
    <w:p>
      <w:pPr>
        <w:jc w:val="both"/>
      </w:pPr>
      <w:r>
        <w:rPr>
          <w:sz w:val="22"/>
        </w:rPr>
        <w:t>Taken together, Figures 11-15 justify the final operating decision: the model is not</w:t>
      </w:r>
    </w:p>
    <w:p>
      <w:pPr>
        <w:jc w:val="both"/>
      </w:pPr>
      <w:r>
        <w:rPr>
          <w:sz w:val="22"/>
        </w:rPr>
        <w:t>selected only because of F1, but because it jointly satisfies ranking quality, calibration,</w:t>
      </w:r>
    </w:p>
    <w:p>
      <w:pPr>
        <w:jc w:val="both"/>
      </w:pPr>
      <w:r>
        <w:rPr>
          <w:sz w:val="22"/>
        </w:rPr>
        <w:t>and recall constraints under a clearly stated threshold policy.</w:t>
      </w:r>
    </w:p>
    <w:p>
      <w:pPr>
        <w:pStyle w:val="Heading3"/>
        <w:jc w:val="left"/>
      </w:pPr>
      <w:r>
        <w:t>3.4 Error and failure-mode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recall_sex_ra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16. Recall by relationship and age subgroup — Own-child (0.333) and 16–25 (0.364) under-recalled.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error_age_hou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17. Error rates by subgroup — Wife (31.8%) and Husband (24.8%) highest overall error.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utation_importance_top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18. Permutation importance — marital.status (0.058) and capital.gain (0.051) top features.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tress_te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19. Threshold stress test — ±0.05 shift from 0.36 changes recall by ~4–5pp.</w:t>
      </w:r>
    </w:p>
    <w:p/>
    <w:p>
      <w:pPr>
        <w:jc w:val="both"/>
      </w:pPr>
      <w:r>
        <w:rPr>
          <w:sz w:val="22"/>
        </w:rPr>
        <w:t>Error is heterogeneous by subgroup. Figure 16 shows low recall in `Own-child` and younger</w:t>
      </w:r>
    </w:p>
    <w:p>
      <w:pPr>
        <w:jc w:val="both"/>
      </w:pPr>
      <w:r>
        <w:rPr>
          <w:sz w:val="22"/>
        </w:rPr>
        <w:t>age-band slices. Figure 17 shows elevated error rates for selected relationship groups.</w:t>
      </w:r>
    </w:p>
    <w:p>
      <w:pPr>
        <w:jc w:val="both"/>
      </w:pPr>
      <w:r>
        <w:rPr>
          <w:sz w:val="22"/>
        </w:rPr>
        <w:t>Figure 18 confirms model dependence on `marital.status` and capital features, creating a</w:t>
      </w:r>
    </w:p>
    <w:p>
      <w:pPr>
        <w:jc w:val="both"/>
      </w:pPr>
      <w:r>
        <w:rPr>
          <w:sz w:val="22"/>
        </w:rPr>
        <w:t>plausible fairness and transferability risk.</w:t>
      </w:r>
    </w:p>
    <w:p>
      <w:pPr>
        <w:jc w:val="both"/>
      </w:pPr>
      <w:r>
        <w:rPr>
          <w:sz w:val="22"/>
        </w:rPr>
        <w:t>Threshold sensitivity (Figure 19) shows that ±0.05 around `0.36` shifts recall by</w:t>
      </w:r>
    </w:p>
    <w:p>
      <w:pPr>
        <w:jc w:val="both"/>
      </w:pPr>
      <w:r>
        <w:rPr>
          <w:sz w:val="22"/>
        </w:rPr>
        <w:t>approximately 4-5 percentage points, so threshold is an operational control, not a static</w:t>
      </w:r>
    </w:p>
    <w:p>
      <w:pPr>
        <w:jc w:val="both"/>
      </w:pPr>
      <w:r>
        <w:rPr>
          <w:sz w:val="22"/>
        </w:rPr>
        <w:t>constant.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4. Discussion</w:t>
      </w:r>
    </w:p>
    <w:p>
      <w:pPr>
        <w:pStyle w:val="Heading3"/>
        <w:jc w:val="left"/>
      </w:pPr>
      <w:r>
        <w:t>4.1 What is strong</w:t>
      </w:r>
    </w:p>
    <w:p>
      <w:pPr>
        <w:jc w:val="both"/>
      </w:pPr>
      <w:r>
        <w:rPr>
          <w:sz w:val="22"/>
        </w:rPr>
        <w:t>The pipeline is statistically disciplined (split-first, no leakage, test single-touch),</w:t>
      </w:r>
    </w:p>
    <w:p>
      <w:pPr>
        <w:jc w:val="both"/>
      </w:pPr>
      <w:r>
        <w:rPr>
          <w:sz w:val="22"/>
        </w:rPr>
        <w:t>methodologically broad (baseline + multiple families + ablations), and operationally grounded</w:t>
      </w:r>
    </w:p>
    <w:p>
      <w:pPr>
        <w:jc w:val="both"/>
      </w:pPr>
      <w:r>
        <w:rPr>
          <w:sz w:val="22"/>
        </w:rPr>
        <w:t>(calibration + threshold policy + subgroup diagnostics). This combination supports decision</w:t>
      </w:r>
    </w:p>
    <w:p>
      <w:pPr>
        <w:jc w:val="both"/>
      </w:pPr>
      <w:r>
        <w:rPr>
          <w:sz w:val="22"/>
        </w:rPr>
        <w:t>support use better than leaderboard-only tuning.</w:t>
      </w:r>
    </w:p>
    <w:p>
      <w:pPr>
        <w:pStyle w:val="Heading3"/>
        <w:jc w:val="left"/>
      </w:pPr>
      <w:r>
        <w:t>4.2 Limitations</w:t>
      </w:r>
    </w:p>
    <w:p>
      <w:pPr>
        <w:jc w:val="both"/>
      </w:pPr>
      <w:r>
        <w:rPr>
          <w:sz w:val="22"/>
        </w:rPr>
        <w:t xml:space="preserve">1. </w:t>
      </w:r>
      <w:r>
        <w:rPr>
          <w:b/>
          <w:sz w:val="22"/>
        </w:rPr>
        <w:t>Dataset age and shift risk:</w:t>
      </w:r>
      <w:r>
        <w:rPr>
          <w:sz w:val="22"/>
        </w:rPr>
        <w:t xml:space="preserve"> Adult Census reflects 1994 distributions. Workforce</w:t>
      </w:r>
    </w:p>
    <w:p>
      <w:pPr>
        <w:jc w:val="both"/>
      </w:pPr>
      <w:r>
        <w:rPr>
          <w:sz w:val="22"/>
        </w:rPr>
        <w:t>composition and income structure have changed, so external validity is limited.</w:t>
      </w:r>
    </w:p>
    <w:p>
      <w:pPr>
        <w:jc w:val="both"/>
      </w:pPr>
      <w:r>
        <w:rPr>
          <w:sz w:val="22"/>
        </w:rPr>
        <w:t xml:space="preserve">2. </w:t>
      </w:r>
      <w:r>
        <w:rPr>
          <w:b/>
          <w:sz w:val="22"/>
        </w:rPr>
        <w:t>Subgroup recall disparity:</w:t>
      </w:r>
      <w:r>
        <w:rPr>
          <w:sz w:val="22"/>
        </w:rPr>
        <w:t xml:space="preserve"> some slices remain under-recalled, which is material for</w:t>
      </w:r>
    </w:p>
    <w:p>
      <w:pPr>
        <w:jc w:val="both"/>
      </w:pPr>
      <w:r>
        <w:rPr>
          <w:sz w:val="22"/>
        </w:rPr>
        <w:t>intervention or triage use cases.</w:t>
      </w:r>
    </w:p>
    <w:p>
      <w:pPr>
        <w:jc w:val="both"/>
      </w:pPr>
      <w:r>
        <w:rPr>
          <w:sz w:val="22"/>
        </w:rPr>
        <w:t xml:space="preserve">3. </w:t>
      </w:r>
      <w:r>
        <w:rPr>
          <w:b/>
          <w:sz w:val="22"/>
        </w:rPr>
        <w:t>Feature semantics risk:</w:t>
      </w:r>
      <w:r>
        <w:rPr>
          <w:sz w:val="22"/>
        </w:rPr>
        <w:t xml:space="preserve"> high-importance household-structure features may encode</w:t>
      </w:r>
    </w:p>
    <w:p>
      <w:pPr>
        <w:jc w:val="both"/>
      </w:pPr>
      <w:r>
        <w:rPr>
          <w:sz w:val="22"/>
        </w:rPr>
        <w:t>social structure effects that do not transfer safely across contexts.</w:t>
      </w:r>
    </w:p>
    <w:p>
      <w:pPr>
        <w:jc w:val="both"/>
      </w:pPr>
      <w:r>
        <w:rPr>
          <w:sz w:val="22"/>
        </w:rPr>
        <w:t xml:space="preserve">4. </w:t>
      </w:r>
      <w:r>
        <w:rPr>
          <w:b/>
          <w:sz w:val="22"/>
        </w:rPr>
        <w:t>Tuning uplift magnitude:</w:t>
      </w:r>
      <w:r>
        <w:rPr>
          <w:sz w:val="22"/>
        </w:rPr>
        <w:t xml:space="preserve"> hyperparameter tuning improved stability more than headline</w:t>
      </w:r>
    </w:p>
    <w:p>
      <w:pPr>
        <w:jc w:val="both"/>
      </w:pPr>
      <w:r>
        <w:rPr>
          <w:sz w:val="22"/>
        </w:rPr>
        <w:t>performance; this is honest but limits raw performance gains.</w:t>
      </w:r>
    </w:p>
    <w:p>
      <w:pPr>
        <w:pStyle w:val="Heading3"/>
        <w:jc w:val="left"/>
      </w:pPr>
      <w:r>
        <w:t>4.3 Verification strategies: what worked, what failed, why</w:t>
      </w:r>
    </w:p>
    <w:p>
      <w:pPr>
        <w:jc w:val="both"/>
      </w:pPr>
      <w:r>
        <w:rPr>
          <w:sz w:val="22"/>
        </w:rPr>
        <w:t>This section captures metacognitive verification rather than a task log.</w:t>
      </w:r>
    </w:p>
    <w:p>
      <w:pPr>
        <w:jc w:val="both"/>
      </w:pPr>
      <w:r>
        <w:rPr>
          <w:b/>
          <w:sz w:val="22"/>
        </w:rPr>
        <w:t>Worked well (accepted):</w:t>
      </w:r>
    </w:p>
    <w:p>
      <w:pPr>
        <w:jc w:val="both"/>
      </w:pPr>
      <w:r>
        <w:rPr>
          <w:sz w:val="22"/>
        </w:rPr>
        <w:t>- CV scaffold and fixed-seed protocol suggestions were fast to validate and low-risk.</w:t>
      </w:r>
    </w:p>
    <w:p>
      <w:pPr>
        <w:jc w:val="both"/>
      </w:pPr>
      <w:r>
        <w:rPr>
          <w:sz w:val="22"/>
        </w:rPr>
        <w:t>Re-running CV reproduced metric bands closely, so these were accepted with minimal friction.</w:t>
      </w:r>
    </w:p>
    <w:p>
      <w:pPr>
        <w:jc w:val="both"/>
      </w:pPr>
      <w:r>
        <w:rPr>
          <w:b/>
          <w:sz w:val="22"/>
        </w:rPr>
        <w:t>Worked with modification (modified):</w:t>
      </w:r>
    </w:p>
    <w:p>
      <w:pPr>
        <w:jc w:val="both"/>
      </w:pPr>
      <w:r>
        <w:rPr>
          <w:sz w:val="22"/>
        </w:rPr>
        <w:t>- Missingness handling: an agent suggestion to drop missing rows was modified after checking</w:t>
      </w:r>
    </w:p>
    <w:p>
      <w:pPr>
        <w:jc w:val="both"/>
      </w:pPr>
      <w:r>
        <w:rPr>
          <w:sz w:val="22"/>
        </w:rPr>
        <w:t>that deletion would remove ~5.6% of records and distort class balance.</w:t>
      </w:r>
    </w:p>
    <w:p>
      <w:pPr>
        <w:jc w:val="both"/>
      </w:pPr>
      <w:r>
        <w:rPr>
          <w:sz w:val="22"/>
        </w:rPr>
        <w:t>- Interpretability tooling: SHAP-first suggestion was replaced by permutation importance to</w:t>
      </w:r>
    </w:p>
    <w:p>
      <w:pPr>
        <w:jc w:val="both"/>
      </w:pPr>
      <w:r>
        <w:rPr>
          <w:sz w:val="22"/>
        </w:rPr>
        <w:t>stay within dependency constraints while preserving global feature diagnostics.</w:t>
      </w:r>
    </w:p>
    <w:p>
      <w:pPr>
        <w:jc w:val="both"/>
      </w:pPr>
      <w:r>
        <w:rPr>
          <w:b/>
          <w:sz w:val="22"/>
        </w:rPr>
        <w:t>Failed and required rejection (rejected):</w:t>
      </w:r>
    </w:p>
    <w:p>
      <w:pPr>
        <w:jc w:val="both"/>
      </w:pPr>
      <w:r>
        <w:rPr>
          <w:sz w:val="22"/>
        </w:rPr>
        <w:t>- Accuracy-first ranking on imbalanced data was rejected because it obscured positive-class</w:t>
      </w:r>
    </w:p>
    <w:p>
      <w:pPr>
        <w:jc w:val="both"/>
      </w:pPr>
      <w:r>
        <w:rPr>
          <w:sz w:val="22"/>
        </w:rPr>
        <w:t>recovery trade-offs.</w:t>
      </w:r>
    </w:p>
    <w:p>
      <w:pPr>
        <w:jc w:val="both"/>
      </w:pPr>
      <w:r>
        <w:rPr>
          <w:sz w:val="22"/>
        </w:rPr>
        <w:t>- Static-threshold recommendation without stress testing was rejected; threshold sweep evidence</w:t>
      </w:r>
    </w:p>
    <w:p>
      <w:pPr>
        <w:jc w:val="both"/>
      </w:pPr>
      <w:r>
        <w:rPr>
          <w:sz w:val="22"/>
        </w:rPr>
        <w:t>showed material policy sensitivity.</w:t>
      </w:r>
    </w:p>
    <w:p>
      <w:pPr>
        <w:jc w:val="both"/>
      </w:pPr>
      <w:r>
        <w:rPr>
          <w:sz w:val="22"/>
        </w:rPr>
        <w:t>The key pattern: agent output is efficient for scaffolding and boilerplate, but analytical</w:t>
      </w:r>
    </w:p>
    <w:p>
      <w:pPr>
        <w:jc w:val="both"/>
      </w:pPr>
      <w:r>
        <w:rPr>
          <w:sz w:val="22"/>
        </w:rPr>
        <w:t>claims require explicit empirical verification before adoption.</w:t>
      </w:r>
    </w:p>
    <w:p>
      <w:pPr>
        <w:pStyle w:val="Heading3"/>
        <w:jc w:val="left"/>
      </w:pPr>
      <w:r>
        <w:t>4.4 Next steps</w:t>
      </w:r>
    </w:p>
    <w:p>
      <w:pPr>
        <w:jc w:val="both"/>
      </w:pPr>
      <w:r>
        <w:rPr>
          <w:sz w:val="22"/>
        </w:rPr>
        <w:t>- Add subgroup-aware monitoring with hard governance floors (for example, minimum recall</w:t>
      </w:r>
    </w:p>
    <w:p>
      <w:pPr>
        <w:jc w:val="both"/>
      </w:pPr>
      <w:r>
        <w:rPr>
          <w:sz w:val="22"/>
        </w:rPr>
        <w:t>thresholds for slices above a minimum sample size).</w:t>
      </w:r>
    </w:p>
    <w:p>
      <w:pPr>
        <w:jc w:val="both"/>
      </w:pPr>
      <w:r>
        <w:rPr>
          <w:sz w:val="22"/>
        </w:rPr>
        <w:t>- Recalibrate and re-threshold on newer data snapshots to mitigate temporal shift.</w:t>
      </w:r>
    </w:p>
    <w:p>
      <w:pPr>
        <w:jc w:val="both"/>
      </w:pPr>
      <w:r>
        <w:rPr>
          <w:sz w:val="22"/>
        </w:rPr>
        <w:t>- Evaluate fairness-constrained post-processing and compare precision cost explicitly.</w:t>
      </w:r>
    </w:p>
    <w:p>
      <w:pPr>
        <w:pStyle w:val="Heading3"/>
        <w:jc w:val="left"/>
      </w:pPr>
      <w:r>
        <w:t>4.5 Operational guardrails before deployment</w:t>
      </w:r>
    </w:p>
    <w:p>
      <w:pPr>
        <w:jc w:val="both"/>
      </w:pPr>
      <w:r>
        <w:rPr>
          <w:sz w:val="22"/>
        </w:rPr>
        <w:t>If this model were transitioned beyond coursework, three guardrails would be mandatory.</w:t>
      </w:r>
    </w:p>
    <w:p>
      <w:pPr>
        <w:jc w:val="both"/>
      </w:pPr>
      <w:r>
        <w:rPr>
          <w:sz w:val="22"/>
        </w:rPr>
        <w:t>First, a monitoring dashboard should track weighted F1, recall (`&gt;50K`), and ECE at a fixed</w:t>
      </w:r>
    </w:p>
    <w:p>
      <w:pPr>
        <w:jc w:val="both"/>
      </w:pPr>
      <w:r>
        <w:rPr>
          <w:sz w:val="22"/>
        </w:rPr>
        <w:t>cadence, with explicit alert thresholds and a documented owner for intervention. Second,</w:t>
      </w:r>
    </w:p>
    <w:p>
      <w:pPr>
        <w:jc w:val="both"/>
      </w:pPr>
      <w:r>
        <w:rPr>
          <w:sz w:val="22"/>
        </w:rPr>
        <w:t>subgroup monitoring should use both minimum sample-size rules and confidence intervals to</w:t>
      </w:r>
    </w:p>
    <w:p>
      <w:pPr>
        <w:jc w:val="both"/>
      </w:pPr>
      <w:r>
        <w:rPr>
          <w:sz w:val="22"/>
        </w:rPr>
        <w:t>avoid over-reacting to noise in very small slices. Third, any threshold revision should be</w:t>
      </w:r>
    </w:p>
    <w:p>
      <w:pPr>
        <w:jc w:val="both"/>
      </w:pPr>
      <w:r>
        <w:rPr>
          <w:sz w:val="22"/>
        </w:rPr>
        <w:t>logged as a policy change with pre/post impact simulation, not performed ad hoc by</w:t>
      </w:r>
    </w:p>
    <w:p>
      <w:pPr>
        <w:jc w:val="both"/>
      </w:pPr>
      <w:r>
        <w:rPr>
          <w:sz w:val="22"/>
        </w:rPr>
        <w:t>individual analysts. These controls are simple but materially reduce the risk that a stable</w:t>
      </w:r>
    </w:p>
    <w:p>
      <w:pPr>
        <w:jc w:val="both"/>
      </w:pPr>
      <w:r>
        <w:rPr>
          <w:sz w:val="22"/>
        </w:rPr>
        <w:t>offline model drifts into unsafe behavior in live use.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5. Model Card</w:t>
      </w:r>
    </w:p>
    <w:p>
      <w:pPr>
        <w:jc w:val="both"/>
      </w:pPr>
      <w:r>
        <w:rPr>
          <w:b/>
          <w:sz w:val="22"/>
        </w:rPr>
        <w:t>Model</w:t>
      </w:r>
      <w:r>
        <w:rPr>
          <w:sz w:val="22"/>
        </w:rPr>
        <w:t>: HistGradientBoosting Classifier (tuned) + threshold policy `0.36`</w:t>
      </w:r>
    </w:p>
    <w:p>
      <w:pPr>
        <w:jc w:val="both"/>
      </w:pPr>
      <w:r>
        <w:rPr>
          <w:b/>
          <w:sz w:val="22"/>
        </w:rPr>
        <w:t>Intended use</w:t>
      </w:r>
      <w:r>
        <w:rPr>
          <w:sz w:val="22"/>
        </w:rPr>
        <w:t>: decision support for workforce/HR prioritization</w:t>
      </w:r>
    </w:p>
    <w:p>
      <w:pPr>
        <w:jc w:val="both"/>
      </w:pPr>
      <w:r>
        <w:rPr>
          <w:b/>
          <w:sz w:val="22"/>
        </w:rPr>
        <w:t>Not for</w:t>
      </w:r>
      <w:r>
        <w:rPr>
          <w:sz w:val="22"/>
        </w:rPr>
        <w:t>: fully automated high-stakes decisions (hiring, credit, benefits)</w:t>
      </w:r>
    </w:p>
    <w:p>
      <w:pPr>
        <w:jc w:val="both"/>
      </w:pPr>
      <w:r>
        <w:rPr>
          <w:b/>
          <w:sz w:val="22"/>
        </w:rPr>
        <w:t>Data provenance</w:t>
      </w:r>
      <w:r>
        <w:rPr>
          <w:sz w:val="22"/>
        </w:rPr>
        <w:t>: UCI Adult Census Income, 32,561 rows, 14 features, historical US census</w:t>
      </w:r>
    </w:p>
    <w:p>
      <w:pPr>
        <w:jc w:val="both"/>
      </w:pPr>
      <w:r>
        <w:rPr>
          <w:sz w:val="22"/>
        </w:rPr>
        <w:t>sample (Kohavi, 1996; Dua and Graff, 2019).</w:t>
      </w:r>
    </w:p>
    <w:p>
      <w:pPr>
        <w:jc w:val="both"/>
      </w:pPr>
      <w:r>
        <w:rPr>
          <w:b/>
          <w:sz w:val="22"/>
        </w:rPr>
        <w:t>Evaluation summary (test set)</w:t>
      </w:r>
      <w:r>
        <w:rPr>
          <w:sz w:val="22"/>
        </w:rPr>
        <w:t>:</w:t>
      </w:r>
    </w:p>
    <w:p>
      <w:pPr>
        <w:jc w:val="both"/>
      </w:pPr>
      <w:r>
        <w:rPr>
          <w:sz w:val="22"/>
        </w:rPr>
        <w:t>- F1 weighted: 0.862</w:t>
      </w:r>
    </w:p>
    <w:p>
      <w:pPr>
        <w:jc w:val="both"/>
      </w:pPr>
      <w:r>
        <w:rPr>
          <w:sz w:val="22"/>
        </w:rPr>
        <w:t>- PR-AUC: 0.828</w:t>
      </w:r>
    </w:p>
    <w:p>
      <w:pPr>
        <w:jc w:val="both"/>
      </w:pPr>
      <w:r>
        <w:rPr>
          <w:sz w:val="22"/>
        </w:rPr>
        <w:t>- ROC-AUC: 0.926</w:t>
      </w:r>
    </w:p>
    <w:p>
      <w:pPr>
        <w:jc w:val="both"/>
      </w:pPr>
      <w:r>
        <w:rPr>
          <w:sz w:val="22"/>
        </w:rPr>
        <w:t>- Recall (`&gt;50K`): 0.784</w:t>
      </w:r>
    </w:p>
    <w:p>
      <w:pPr>
        <w:jc w:val="both"/>
      </w:pPr>
      <w:r>
        <w:rPr>
          <w:sz w:val="22"/>
        </w:rPr>
        <w:t>- Calibration error (ECE): 0.014</w:t>
      </w:r>
    </w:p>
    <w:p>
      <w:pPr>
        <w:jc w:val="both"/>
      </w:pPr>
      <w:r>
        <w:rPr>
          <w:b/>
          <w:sz w:val="22"/>
        </w:rPr>
        <w:t>Caveats</w:t>
      </w:r>
      <w:r>
        <w:rPr>
          <w:sz w:val="22"/>
        </w:rPr>
        <w:t>:</w:t>
      </w:r>
    </w:p>
    <w:p>
      <w:pPr>
        <w:jc w:val="both"/>
      </w:pPr>
      <w:r>
        <w:rPr>
          <w:sz w:val="22"/>
        </w:rPr>
        <w:t>- Under-recall in specific age/relationship slices.</w:t>
      </w:r>
    </w:p>
    <w:p>
      <w:pPr>
        <w:jc w:val="both"/>
      </w:pPr>
      <w:r>
        <w:rPr>
          <w:sz w:val="22"/>
        </w:rPr>
        <w:t>- Threshold sensitivity around operational point.</w:t>
      </w:r>
    </w:p>
    <w:p>
      <w:pPr>
        <w:jc w:val="both"/>
      </w:pPr>
      <w:r>
        <w:rPr>
          <w:sz w:val="22"/>
        </w:rPr>
        <w:t>- Temporal transferability risk due to dataset vintage.</w:t>
      </w:r>
    </w:p>
    <w:p>
      <w:pPr>
        <w:spacing w:after="120"/>
      </w:pPr>
    </w:p>
    <w:p>
      <w:pPr>
        <w:pStyle w:val="Heading2"/>
        <w:jc w:val="left"/>
      </w:pPr>
      <w:r>
        <w:rPr>
          <w:color w:val="1A1A2E"/>
        </w:rPr>
        <w:t>6. References</w:t>
      </w:r>
    </w:p>
    <w:p>
      <w:pPr>
        <w:jc w:val="both"/>
      </w:pPr>
      <w:r>
        <w:rPr>
          <w:sz w:val="22"/>
        </w:rPr>
        <w:t>Bergstra, J. and Bengio, Y. (2012) 'Random search for hyper-parameter optimization',</w:t>
      </w:r>
    </w:p>
    <w:p>
      <w:pPr>
        <w:jc w:val="both"/>
      </w:pPr>
      <w:r>
        <w:rPr>
          <w:i/>
          <w:sz w:val="22"/>
        </w:rPr>
        <w:t>Journal of Machine Learning Research</w:t>
      </w:r>
      <w:r>
        <w:rPr>
          <w:sz w:val="22"/>
        </w:rPr>
        <w:t>, 13(10), pp. 281-305.</w:t>
      </w:r>
    </w:p>
    <w:p>
      <w:pPr>
        <w:jc w:val="both"/>
      </w:pPr>
      <w:r>
        <w:rPr>
          <w:sz w:val="22"/>
        </w:rPr>
        <w:t xml:space="preserve">Dua, D. and Graff, C. (2019) </w:t>
      </w:r>
      <w:r>
        <w:rPr>
          <w:i/>
          <w:sz w:val="22"/>
        </w:rPr>
        <w:t>UCI Machine Learning Repository</w:t>
      </w:r>
      <w:r>
        <w:rPr>
          <w:sz w:val="22"/>
        </w:rPr>
        <w:t>. Irvine, CA: University of</w:t>
      </w:r>
    </w:p>
    <w:p>
      <w:pPr>
        <w:jc w:val="both"/>
      </w:pPr>
      <w:r>
        <w:rPr>
          <w:sz w:val="22"/>
        </w:rPr>
        <w:t>California, School of Information and Computer Science. Available at:</w:t>
      </w:r>
    </w:p>
    <w:p>
      <w:pPr>
        <w:jc w:val="both"/>
      </w:pPr>
      <w:r>
        <w:rPr>
          <w:sz w:val="22"/>
        </w:rPr>
        <w:t>https://archive.ics.uci.edu (Accessed: 4 March 2026).</w:t>
      </w:r>
    </w:p>
    <w:p>
      <w:pPr>
        <w:jc w:val="both"/>
      </w:pPr>
      <w:r>
        <w:rPr>
          <w:sz w:val="22"/>
        </w:rPr>
        <w:t>Kohavi, R. (1996) 'Scaling up the accuracy of Naive-Bayes classifiers: A decision-tree</w:t>
      </w:r>
    </w:p>
    <w:p>
      <w:pPr>
        <w:jc w:val="both"/>
      </w:pPr>
      <w:r>
        <w:rPr>
          <w:sz w:val="22"/>
        </w:rPr>
        <w:t>hybrid'. In: *Proceedings of the Second International Conference on Knowledge Discovery and</w:t>
      </w:r>
    </w:p>
    <w:p>
      <w:pPr>
        <w:jc w:val="both"/>
      </w:pPr>
      <w:r>
        <w:rPr>
          <w:sz w:val="22"/>
        </w:rPr>
        <w:t>Data Mining (KDD-96)*. Portland, OR: AAAI Press, pp. 202-207.</w:t>
      </w:r>
    </w:p>
    <w:p>
      <w:pPr>
        <w:jc w:val="both"/>
      </w:pPr>
      <w:r>
        <w:rPr>
          <w:sz w:val="22"/>
        </w:rPr>
        <w:t xml:space="preserve">Pedregosa, F. </w:t>
      </w:r>
      <w:r>
        <w:rPr>
          <w:i/>
          <w:sz w:val="22"/>
        </w:rPr>
        <w:t>et al.</w:t>
      </w:r>
      <w:r>
        <w:rPr>
          <w:sz w:val="22"/>
        </w:rPr>
        <w:t xml:space="preserve"> (2011) 'Scikit-learn: Machine Learning in Python', *Journal of</w:t>
      </w:r>
    </w:p>
    <w:p>
      <w:pPr>
        <w:jc w:val="both"/>
      </w:pPr>
      <w:r>
        <w:rPr>
          <w:sz w:val="22"/>
        </w:rPr>
        <w:t>Machine Learning Research*, 12, pp. 2825-2830.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