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MSIN0097 PREDICTIVE ANALYTICS</w:t>
      </w:r>
    </w:p>
    <w:p>
      <w:pPr>
        <w:spacing w:after="60" w:before="60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Marking Report (v2 — Rechecked) — Individual Coursework 2025–26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Project: Adult Census Income Classification  |  HistGradientBoosting Classifier</w:t>
      </w:r>
    </w:p>
    <w:p>
      <w:pPr>
        <w:spacing w:after="30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Marker: pa-marker skill (simulated)  |  Date: 04 March 2026  |  Version 2 after deep recheck</w:t>
      </w:r>
    </w:p>
    <w:p>
      <w:pPr>
        <w:pBdr>
          <w:top w:val="single" w:color="D4A017" w:sz="4" w:space="2"/>
          <w:left w:val="single" w:color="D4A017" w:sz="4" w:space="2"/>
          <w:bottom w:val="single" w:color="D4A017" w:sz="4" w:space="2"/>
          <w:right w:val="single" w:color="D4A017" w:sz="4" w:space="2"/>
        </w:pBdr>
        <w:shd w:fill="FFF2CC" w:val="clear"/>
        <w:spacing w:after="160" w:before="160"/>
      </w:pPr>
      <w:r>
        <w:rPr>
          <w:rFonts w:ascii="Arial" w:cs="Arial" w:eastAsia="Arial" w:hAnsi="Arial"/>
          <w:b/>
          <w:bCs/>
          <w:color w:val="7D5800"/>
          <w:sz w:val="22"/>
          <w:szCs w:val="22"/>
        </w:rPr>
        <w:t xml:space="preserve">v2 Recheck Notice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This report supersedes the v1 marking. A deep recheck of notebook cells, figure titles, figure inventory, the report markdown, and all test results revealed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four material errors in v1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that have been corrected here. The total score changes from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86/100 (Excellent)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in v1 to </w:t>
      </w:r>
      <w:r>
        <w:rPr>
          <w:rFonts w:ascii="Arial" w:cs="Arial" w:eastAsia="Arial" w:hAnsi="Arial"/>
          <w:b/>
          <w:bCs/>
          <w:color w:val="007700"/>
          <w:sz w:val="22"/>
          <w:szCs w:val="22"/>
        </w:rPr>
        <w:t xml:space="preserve">91/100 (Outstanding)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. See the Corrections Log below for full details.</w:t>
      </w:r>
    </w:p>
    <w:p>
      <w:pPr>
        <w:pBdr>
          <w:bottom w:val="single" w:color="1F3864" w:sz="6" w:space="1"/>
        </w:pBdr>
        <w:spacing w:after="220" w:before="2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Summary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760"/>
        <w:gridCol w:w="19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C1. Visualisation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23/25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Excellent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C2. Methodology &amp;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23/25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Excellent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C3. Argument / Narrative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23/25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Excellent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C4. Code / Markup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22/25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Excellent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88%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91/100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Outstanding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91% (90–100 band)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Grade band: </w:t>
      </w:r>
      <w:r>
        <w:rPr>
          <w:rFonts w:ascii="Arial" w:cs="Arial" w:eastAsia="Arial" w:hAnsi="Arial"/>
          <w:b/>
          <w:bCs/>
          <w:color w:val="007700"/>
          <w:sz w:val="22"/>
          <w:szCs w:val="22"/>
        </w:rPr>
        <w:t xml:space="preserve">Outstanding (90–100).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This is an exceptional end-to-end ML project. The methodology is rigorous and reproducible; the visualisations are purposeful and insight-driven throughout; the narrative is analytical and evidence-anchored with a properly formatted reference list; the code is fully attributed, tested, and packaged. One actionable fix (delete the Office lock file) would bring 34/34 tests passing.</w:t>
      </w:r>
    </w:p>
    <w:p>
      <w:pPr>
        <w:pBdr>
          <w:bottom w:val="single" w:color="1F3864" w:sz="6" w:space="1"/>
        </w:pBdr>
        <w:spacing w:after="220" w:before="2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v1 → v2 Corrections Log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The following errors were made in the v1 marking and are corrected here. All affected scores have been revised upward.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 Assessment (WRONG)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v2 Corrected Finding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 Plot titles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(assumed generic/descriptive)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(confirmed insight-driven titles on every figure)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 MCAR/MAR/MNAR figure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(assumed text-only)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Present: missingness_mechanism_classification.png with annotated bars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 Agent visual correction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Textual only (assumed)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PNG proof: agent_visual_correction_example.png + Cell 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 References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(assumed)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 6. References present — 4 Harvard entries (Kohavi 1996, Pedregosa 2011, Dua 2019, Bergstra 2012)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 build_preprocessor()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Raises NotImplementedError (stub)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implemented ColumnTransformer with numeric + categorical pipelines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 Test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tests (3 files)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tests (4 files incl. test_pipeline_smoke.py end-to-end checks)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DS_Store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files flagged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files — no DS_Store in assignment_final (find confirms clean)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Score impact: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C1 20→23 (+3), C3 21→23 (+2). C4 remains 22/25 — build_preprocessor() was already implemented (the earlier read showed an older version of the file). Total: 86→91 (+5).</w:t>
      </w:r>
    </w:p>
    <w:p>
      <w:pPr>
        <w:pBdr>
          <w:bottom w:val="single" w:color="1F3864" w:sz="6" w:space="1"/>
        </w:pBdr>
        <w:spacing w:after="220" w:before="2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Criterion 1: Visualisation — 23 / 25 (Excellent, 92%)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All figure titles are insight-driven (confirmed).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Every suptitle/set_title call states an analytical insight, not a data description. Examples: “Class imbalance (3.15:1) justifies stratified split and weighted metrics”; “No numeric feature breaches leakage threshold; safe to retain numeric set”; “Marital status and capital signals dominate model behaviour”; “Threshold sensitivity confirms 0.36 as recall-feasible operating point”.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MCAR/MAR/MNAR annotated missingness figure present (confirmed).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missingness_mechanism_classification.png exists (65KB) with annotated mechanism classifications. Title: “Top Missingness Columns (Imputation Required; MCAR/MAR/MNAR Annotated)”. This directly satisfies the 90+ band requirement.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Agent visual correction with side-by-side proof.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agent_visual_correction_example.png (81KB) provides an explicit before/after comparison. Cell 9 is titled “Agent visual correction evidence” and shows raw counts vs. normalised percentages side-by-side. Three subplot titles state the correction narrative directly on the figure.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Comprehensive EDA + model evaluation + diagnostic suite.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10 EDA figures, 8 model evaluation figures (module2/), 4 failure/diagnostic figures (module3/), plus 4 iteration-5 additions (MLP training dynamics, repeated-CV stability, mechanism classification, correction example) = 26 figures total.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Iteration-5 new plots strengthen evaluation narrative.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mlp_training_curve.png shows epoch-level training dynamics; repeated_cv_stability.png confirms selection is not a single-CV-draw artifact — both directly support the robustness narrative in Section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figures are explicitly numbered (Figure 1–19) and linked to decisions in the report text. Failure-slice figures are connected to quantified fairness risks in Section 4.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Cannot independently verify plt.annotate() direct in-plot annotations (which the 25/25 band specifies as “key observations annotated directly on plots”). From the notebook code, only suptitle/set_title calls are visible; annotate() calls may or may not be present.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Consistent palette and polished design cannot be verified from code alone. The pre-submission checklist claims [PASS] on insight-led titles but does not explicitly verify colour consistency.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Marker justification: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v1 score of 20 was based on three incorrect assumptions that have been corrected: titles ARE insight-driven; the MCAR/MAR/MNAR figure IS present; the agent visual correction IS proven with a dedicated side-by-side figure. The submission now satisfies all named 90+ requirements except the in-plot annotation requirement, which cannot be confirmed or denied from code inspection alone. A score of 23/25 is awarded, reflecting work at the top of the Excellent band with one unverifiable gap to 25/25.</w:t>
      </w:r>
    </w:p>
    <w:p>
      <w:pPr>
        <w:pBdr>
          <w:bottom w:val="single" w:color="1F3864" w:sz="6" w:space="1"/>
        </w:pBdr>
        <w:spacing w:after="220" w:before="2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Criterion 2: Methodology &amp; Analysis — 23 / 25 (Excellent, 92%)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Pre-registered success criteria met.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Weighted F1 ≥ 0.82 (achieved 0.862), positive-class recall ≥ 0.75 (achieved 0.784), calibration constraint (ECE = 0.014). All fixed before modelling.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Leak-safe reproducible pipeline.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70/15/15 stratified split before preprocessing. preprocessing_validation.json confirms no NaN (all splits), 104/104/104 feature consistency, class-balance preserved. Training-only fit verified via 3 post-split assertions.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Systematic multi-model comparison.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4 families with 5-fold stratified CV, fixed seed, 4 metrics. Includes MLP (“modern approach”). 7 one-change ablations on HGB. Capital features ablation reveals −3.08pp F1, confirming dominant signal.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Comprehensive evaluation harness.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Confusion matrix, PR curve (AUC = 0.828), ROC (AUC = 0.926), calibration (ECE = 0.014), learning curves, failure slices (5 lowest-recall + 5 highest-error subgroups), permutation importance (marital.status top feature at 0.058 ± 0.004), threshold stress test (61-point sweep).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Robustness evidence (iteration-5).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Repeated-CV (3 × 5 = 15 runs) confirms model ranking is not a single-split artefact (repeated-CV mean F1 = 0.8695, Δ = 0.00002 vs base). Tuning robustness summary and MLP training dynamics (epoch-level loss) also persisted.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Agent mistake explicitly caught.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Accuracy-first ranking for imbalanced data identified and rejected (agent log entry #6). Accuracy and weighted F1 numerically similar for logistic regression but carry opposite policy implications. Caught by reading metric definitions, not just numbers.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Hyperparameter tuning uses 3-fold CV; model comparison uses 5-fold. Minor inconsistency without explicit justification in the notebook.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Missingness mechanism classification relies on domain heuristics (self-employed structural unavailability) without a formal statistical test (e.g. Little’s MCAR test).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Marker justification: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Exceptional methodology with rigorous, well-documented pipeline design. All rubric requirements met. The 2-mark deduction reflects the 3-vs-5-fold tuning inconsistency and the informal (heuristic) missingness mechanism classification. Both are minor and the overall pipeline quality is outstanding. Score 23/25.</w:t>
      </w:r>
    </w:p>
    <w:p>
      <w:pPr>
        <w:pBdr>
          <w:bottom w:val="single" w:color="1F3864" w:sz="6" w:space="1"/>
        </w:pBdr>
        <w:spacing w:after="220" w:before="2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Criterion 3: Argument / Narrative — 23 / 25 (Excellent, 92%)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Formally formatted References section.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## 6. References contains 4 Harvard-style entries: Kohavi (1996), Dua &amp; Graff (2019), Pedregosa et al. (2011), Bergstra &amp; Bengio (2012). All formatted correctly with author, year, title, journal/proceedings, volume,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Coherent evidence-led narrative.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Structure: Introduction (problem + pre-defined criteria) → Methodology (EDA decisions → preprocessing logic → model selection) → Results (quantified tables) → Discussion (limitations + deployment risks) → Model Card. Every analytical choice is anchored to a quantified outcome.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Failure mode analysis with quantified fairness risk.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Own-child recall = 0.333, 16–25 age band recall = 0.364. Governance implication stated specifically: “recall ≥ 0.60 for all subgroups with n ≥ 100 as a mandatory floor.”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Threshold sensitivity quantified.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±0.05 shift from 0.36 changes recall by 4–5pp. Threshold explicitly framed as a live operational parameter requiring review when class prevalence shifts by ≥5pp.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Critical agent reflection with a generalizable lesson.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Accepted/modified/rejected structure with extracted pattern: “agent outputs are reliable at structural and boilerplate decisions, require human verification at analytical choices, and must be rejected when they lack domain-specific policy framing.”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Deployment-aware model card.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Intended use, out-of-scope uses, training data provenance, evaluation caveats, ethical considerations, and monitoring trigger (ECE &gt; 0.03 = retrain). Model card is fully operational rather than performative.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Word count: DOCX total 2,072 words; after excluding title, TOC, references, and model card (~350 words), the UCL-counted body is approximately 1,700 words — comfortably within the 2,000-word limit.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Minor stale support document.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coursework_brief_6_steps_alignment.md (Step 5) references iteration-3 values (threshold=0.38, F1=0.8637) rather than the canonical final values (threshold=0.36, F1=0.862). This is a support document and does not affect the submitted report, but a careful examiner reviewing the repo may flag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agent reflection, while critical and specific, is somewhat formulaic in its accepted/modified/rejected structure. A deeper discussion of what made specific verification steps necessary (beyond naming them) would push into 25/25 territory.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Marker justification: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v1 score of 21 was based on an incorrect finding that the reference list was missing. The report contains a fully Harvard-formatted references section. With this correction, the narrative earns a 23/25 — concise, evidence-anchored, and analytically sound, with a genuine agent reflection and a thorough model card. The 2-mark deduction reflects the minor stale support document and the slightly formulaic structure of the reflection section.</w:t>
      </w:r>
    </w:p>
    <w:p>
      <w:pPr>
        <w:pBdr>
          <w:bottom w:val="single" w:color="1F3864" w:sz="6" w:space="1"/>
        </w:pBdr>
        <w:spacing w:after="220" w:before="2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Criterion 4: Code / Markup — 22 / 25 (Excellent, 88%)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30 code cells, all executed sequentially (1–30).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 cells with missing execution_count. No error outputs. Notebook runs cleanly with execution timestamps visible in cell metadata (e.g., 2026-03-03T19:37:42).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100% attribution coverage.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Agent-generated (3 cells), Modified-from-agent (23 cells), Scratch-written (4 cells). Every cell carries an explicit attribution comment. This is the maximum possible coverage.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34 tests across 4 test files — 33 pass.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test_preprocessing.py (8 tests), test_models.py (11 tests), test_evaluation.py (10 tests), test_pipeline_smoke.py (5 tests). Smoke tests verify artefact existence, evaluation schema correctness, robustness_checks subkey, and repo hygiene.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build_preprocessor() fully implemented.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src/preprocessing.py contains a complete ColumnTransformer with numeric pipeline (median imputer + RobustScaler) and categorical pipeline (most-frequent imputer + OHE handle_unknown=ignore). Matches exactly the preprocessing logic in the notebook.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submission infrastructure.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run_submission_checks.sh provides a 4-stage validation: notebook execution state, unit + smoke tests, artifact assertions, and a schema check that verifies the references section exists in the report markdown.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Pinned requirements and unambiguous README.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7 packages with exact versions. README provides the full nbconvert command and the full test command, making environment reproduction deterministic.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src/features.py implements two engineered features (capital.net, hours_per_age) with documented FeatureDecision dataclasses. submission_manifest.md provides full artefact inventory.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FAILING TEST: test_hygiene_no_dsstore_or_temp_docx_locks.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~$port_final.docx (162 bytes) is present in outputs/adult_census_income/. This is a Microsoft Word temporary lock file left from the session. The student’s own smoke test catches it and fails. Result: 33/34 tests pass. This is a 1-minute fix (rm ~\'$port_final.docx) that should be done before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docstrings on notebook utility functions: build_preprocessor, run_cv_experiment, _clean_adult_df, summarize_group, _recover_module2_artifacts_if_needed. The src/ functions have docstrings; notebook functions do 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features.py engineering (capital.net, hours_per_age) is not used in the canonical modelling pipeline — it’s implemented but not wired in. Minor inconsistency between src/ contract and actual notebook pipeline.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Marker justification: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code is professional, attributed, and well-structured. The smoke test infrastructure is exceptional. The single test failure — caused by a temp Word lock file that should not be in the repo — is a clean, reproducible defect that the student’s own test suite catches. It must be fixed before submission. Score 22/25 reflects one actual failing test and missing notebook function docstrings as the remaining gaps.</w:t>
      </w:r>
    </w:p>
    <w:p>
      <w:pPr>
        <w:pBdr>
          <w:bottom w:val="single" w:color="1F3864" w:sz="6" w:space="1"/>
        </w:pBdr>
        <w:spacing w:after="220" w:before="2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Prioritised Actions Before Submission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Ranked by urgency. Items 1–3 are quick fixes (&lt;15 mins each) that either fix a failing test or close the last gap to 25/25.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00"/>
        <w:gridCol w:w="700"/>
        <w:gridCol w:w="1760"/>
        <w:gridCol w:w="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~$port_final.docx lock file. Command: cd assignment_final/outputs/adult_census_income &amp;&amp; rm '~$port_final.docx'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Fixes 1 failing test. 34/34 pass.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plt.annotate() calls on 3 key figures (leakage chart, calibration curve, capital.gain distribution). Embed the insight text directly onto the plot.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last gap to C1: 25/25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one-line docstrings to 5 notebook utility functions (build_preprocessor, run_cv_experiment, _clean_adult_df, summarize_group, _recover_module2_artifacts_if_needed).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docstring deduction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— Low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Step 5 in coursework_brief_6_steps_alignment.md to reflect final threshold=0.36 and F1=0.862 values (was iteration-3 values).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marker confusion in repo 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— Advisory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the Word document word count is recorded on the submission title page as required by the UCL brief before uploading.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academic penalty 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</w:tr>
    </w:tbl>
    <w:p>
      <w:pPr>
        <w:pBdr>
          <w:bottom w:val="single" w:color="1F3864" w:sz="6" w:space="1"/>
        </w:pBdr>
        <w:spacing w:after="220" w:before="2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Artefact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Artefact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2000-word report (PDF)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report_final_iteration4.pdf (17KB). DOCX body ~1,700 counted words — within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 (assignment_final/)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Complete: notebooks/, src/, scripts/, tests/, data/, outputs/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 (pinned)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packages with exact versions incl. scikit-learn==1.8.0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with run instructions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nbconvert command + unittest command documented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of workflow (six-step)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coursework_brief_6_steps_alignment.md + notebook TOC mirrors brief exactly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Usage Log + Decision 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agent_log.md — 20 entries, 6 iterations, accepted/modified/rejected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 logs / screenshots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Textual export present; no screenshot images. agent_visual_correction_example.png qualifies as visual proof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page accepted/modified/rejected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markdown table with rationale column across all iterations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References (Harvard)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 6. References — 4 entries: Kohavi 1996, Dua &amp; Graff 2019, Pedregosa 2011, Bergstra &amp; Bengio 2012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manifest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submission_manifest.md with artifact inventory and reproducibility commands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validation 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scripts/run_submission_checks.sh verifying artifacts, tests, schema, and hygiene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~$port_final.docx Office lock 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file present; causes test_hygiene test to fail. Delete before submission</w:t>
            </w:r>
          </w:p>
        </w:tc>
      </w:tr>
    </w:tbl>
    <w:p>
      <w:pPr>
        <w:pBdr>
          <w:bottom w:val="single" w:color="1F3864" w:sz="6" w:space="1"/>
        </w:pBdr>
        <w:spacing w:after="220" w:before="2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UCL Grade Band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6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Range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90–100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Exceptional work demonstrating mastery of all criteria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80–89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quality across all criteria, minor weaknesses only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(First)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70–79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work with clear competence; some gaps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Second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60–69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Competent work meeting most requirements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Second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50–59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Adequate but with significant gaps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40–49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pass; clear deficiencies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40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meet minimum standards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submission (91/100) falls in the </w:t>
      </w:r>
      <w:r>
        <w:rPr>
          <w:rFonts w:ascii="Arial" w:cs="Arial" w:eastAsia="Arial" w:hAnsi="Arial"/>
          <w:b/>
          <w:bCs/>
          <w:color w:val="007700"/>
          <w:sz w:val="22"/>
          <w:szCs w:val="22"/>
        </w:rPr>
        <w:t xml:space="preserve">Outstanding (90–100)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band. With the Office lock file deleted (P1) and in-plot annotations added (P2), this submission would be a strong candidate for a mark in the 93–95 range.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22"/>
        <w:szCs w:val="22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22"/>
        <w:szCs w:val="22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120"/>
    </w:pPr>
    <w:r>
      <w:rPr>
        <w:rFonts w:ascii="Arial" w:cs="Arial" w:eastAsia="Arial" w:hAnsi="Arial"/>
        <w:color w:val="1F3864"/>
        <w:sz w:val="22"/>
        <w:szCs w:val="22"/>
      </w:rPr>
      <w:t xml:space="preserve">MSIN0097 Predictive Analytics  —  Marking Report (v2 — Rechecked)</w:t>
    </w:r>
    <w:r>
      <w:rPr>
        <w:rFonts w:ascii="Arial" w:cs="Arial" w:eastAsia="Arial" w:hAnsi="Arial"/>
        <w:color w:val="888888"/>
        <w:sz w:val="22"/>
        <w:szCs w:val="22"/>
      </w:rPr>
      <w:t xml:space="preserve">   |   04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2026-03-04T16:39:32.755Z</dcterms:created>
  <dcterms:modified xsi:type="dcterms:W3CDTF">2026-03-04T16:39:32.755Z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