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6AF9" w14:textId="77777777" w:rsidR="009B2B25" w:rsidRPr="00A647DF" w:rsidRDefault="009B2B25" w:rsidP="009B2B25">
      <w:r w:rsidRPr="00A647DF">
        <w:t>MANUAL FOR TARGETOME PREDICTION</w:t>
      </w:r>
    </w:p>
    <w:p w14:paraId="4A467260" w14:textId="77777777" w:rsidR="009B2B25" w:rsidRPr="00A647DF" w:rsidRDefault="009B2B25" w:rsidP="009B2B25"/>
    <w:p w14:paraId="0B9EB541" w14:textId="71A9A25A" w:rsidR="009B2B25" w:rsidRDefault="009B2B25" w:rsidP="009B2B25">
      <w:r w:rsidRPr="00A647DF">
        <w:t xml:space="preserve">This manual provides the guidelines for predicting the targetome of an input U1 antisense sequence (or a list of </w:t>
      </w:r>
      <w:r w:rsidR="00BE03E3">
        <w:t>them</w:t>
      </w:r>
      <w:r w:rsidRPr="00A647DF">
        <w:t>) across human transcripts</w:t>
      </w:r>
      <w:r w:rsidR="00BB7B68">
        <w:t>.</w:t>
      </w:r>
    </w:p>
    <w:p w14:paraId="629C3310" w14:textId="77777777" w:rsidR="009B2B25" w:rsidRPr="00A647DF" w:rsidRDefault="009B2B25" w:rsidP="009B2B25"/>
    <w:p w14:paraId="1D5FCC59" w14:textId="77777777" w:rsidR="009B2B25" w:rsidRPr="00A647DF" w:rsidRDefault="009B2B25" w:rsidP="009B2B25">
      <w:r w:rsidRPr="00A647DF">
        <w:t>###########################################################################</w:t>
      </w:r>
    </w:p>
    <w:p w14:paraId="7F2F3C82" w14:textId="2E062CFB" w:rsidR="009B2B25" w:rsidRDefault="009B2B25" w:rsidP="009B2B25"/>
    <w:p w14:paraId="3DF87220" w14:textId="3C64EF4E" w:rsidR="002945FC" w:rsidRDefault="002945FC" w:rsidP="009B2B25">
      <w:r>
        <w:t>1.Rationale</w:t>
      </w:r>
    </w:p>
    <w:p w14:paraId="222EB07C" w14:textId="77777777" w:rsidR="002945FC" w:rsidRDefault="002945FC" w:rsidP="009B2B25"/>
    <w:p w14:paraId="073D5503" w14:textId="2A29C007" w:rsidR="002945FC" w:rsidRDefault="002945FC" w:rsidP="009B2B25">
      <w:r>
        <w:t xml:space="preserve">The rationale of the prediction pipeline relies on the following </w:t>
      </w:r>
      <w:r w:rsidR="00DA449E">
        <w:t>principles</w:t>
      </w:r>
      <w:r>
        <w:t>:</w:t>
      </w:r>
    </w:p>
    <w:p w14:paraId="24C43CD8" w14:textId="77777777" w:rsidR="001F0FAB" w:rsidRDefault="001F0FAB" w:rsidP="009B2B25"/>
    <w:p w14:paraId="35883112" w14:textId="51392B1F" w:rsidR="002945FC" w:rsidRDefault="00BB7B68" w:rsidP="002945FC">
      <w:pPr>
        <w:pStyle w:val="ListParagraph"/>
        <w:numPr>
          <w:ilvl w:val="0"/>
          <w:numId w:val="5"/>
        </w:numPr>
      </w:pPr>
      <w:r>
        <w:t xml:space="preserve">targets are searched across all </w:t>
      </w:r>
      <w:r w:rsidR="008420AE">
        <w:t xml:space="preserve">genomic </w:t>
      </w:r>
      <w:r>
        <w:t>sequences</w:t>
      </w:r>
      <w:r w:rsidR="008420AE">
        <w:t xml:space="preserve"> that produce annotated transcripts</w:t>
      </w:r>
      <w:r>
        <w:t>;</w:t>
      </w:r>
    </w:p>
    <w:p w14:paraId="2E5301FF" w14:textId="7AC0014A" w:rsidR="00840640" w:rsidRDefault="00840640" w:rsidP="002945FC">
      <w:pPr>
        <w:pStyle w:val="ListParagraph"/>
        <w:numPr>
          <w:ilvl w:val="0"/>
          <w:numId w:val="5"/>
        </w:numPr>
      </w:pPr>
      <w:r>
        <w:t xml:space="preserve">targets are classified based on their location within exons or introns, </w:t>
      </w:r>
      <w:r w:rsidR="00B14181">
        <w:t>o</w:t>
      </w:r>
      <w:r>
        <w:t xml:space="preserve"> their proximity to donor</w:t>
      </w:r>
      <w:r w:rsidR="001F0FAB">
        <w:t xml:space="preserve"> (5’-SSs)</w:t>
      </w:r>
      <w:r>
        <w:t xml:space="preserve"> or acceptor splice sites</w:t>
      </w:r>
      <w:r w:rsidR="001F0FAB">
        <w:t xml:space="preserve"> (3’-SSs)</w:t>
      </w:r>
      <w:r>
        <w:t>;</w:t>
      </w:r>
    </w:p>
    <w:p w14:paraId="4871053E" w14:textId="0475DB77" w:rsidR="00840640" w:rsidRDefault="00840640" w:rsidP="002945FC">
      <w:pPr>
        <w:pStyle w:val="ListParagraph"/>
        <w:numPr>
          <w:ilvl w:val="0"/>
          <w:numId w:val="5"/>
        </w:numPr>
      </w:pPr>
      <w:r>
        <w:t>targets on different annotated transcript</w:t>
      </w:r>
      <w:r w:rsidR="00D7564B">
        <w:t>s</w:t>
      </w:r>
      <w:r>
        <w:t xml:space="preserve"> but corresponding to the same genomic sequence are counted as </w:t>
      </w:r>
      <w:r w:rsidR="0093172C">
        <w:t>distinct</w:t>
      </w:r>
      <w:r>
        <w:t>, as they might induce different effects</w:t>
      </w:r>
      <w:r w:rsidR="0093172C">
        <w:t>;</w:t>
      </w:r>
    </w:p>
    <w:p w14:paraId="3389756D" w14:textId="24476252" w:rsidR="00840640" w:rsidRDefault="00840640" w:rsidP="009B2B25">
      <w:pPr>
        <w:pStyle w:val="ListParagraph"/>
        <w:numPr>
          <w:ilvl w:val="0"/>
          <w:numId w:val="5"/>
        </w:numPr>
      </w:pPr>
      <w:r>
        <w:t>targets produced by different annealing registers but located in the same position of the same transcript (sharing the same 5’-most position) are counted as one.</w:t>
      </w:r>
    </w:p>
    <w:p w14:paraId="2EFF53E6" w14:textId="77777777" w:rsidR="002945FC" w:rsidRDefault="002945FC" w:rsidP="009B2B25"/>
    <w:p w14:paraId="79E68883" w14:textId="76EAF000" w:rsidR="002945FC" w:rsidRDefault="002945FC" w:rsidP="009B2B25">
      <w:r w:rsidRPr="00A647DF">
        <w:t>###########################################################################</w:t>
      </w:r>
    </w:p>
    <w:p w14:paraId="2ADF2A54" w14:textId="77777777" w:rsidR="002945FC" w:rsidRPr="00A647DF" w:rsidRDefault="002945FC" w:rsidP="009B2B25"/>
    <w:p w14:paraId="523140AF" w14:textId="2118533E" w:rsidR="009B2B25" w:rsidRPr="00A647DF" w:rsidRDefault="00875239" w:rsidP="009B2B25">
      <w:r>
        <w:t>2</w:t>
      </w:r>
      <w:r w:rsidR="009B2B25" w:rsidRPr="00A647DF">
        <w:t>.</w:t>
      </w:r>
      <w:r w:rsidR="00BE03E3">
        <w:t>Software r</w:t>
      </w:r>
      <w:r w:rsidR="009B2B25" w:rsidRPr="00A647DF">
        <w:t>equirements</w:t>
      </w:r>
    </w:p>
    <w:p w14:paraId="468B6459" w14:textId="77777777" w:rsidR="009B2B25" w:rsidRPr="00A647DF" w:rsidRDefault="009B2B25" w:rsidP="009B2B25"/>
    <w:p w14:paraId="6C957DF3" w14:textId="18DC3C8B" w:rsidR="009B2B25" w:rsidRDefault="009B2B25" w:rsidP="009B2B25">
      <w:r w:rsidRPr="00A647DF">
        <w:t xml:space="preserve">This </w:t>
      </w:r>
      <w:r w:rsidR="00CD25CD">
        <w:t>pipeline</w:t>
      </w:r>
      <w:r w:rsidRPr="00A647DF">
        <w:t xml:space="preserve"> requires a UNIX-like environment to be executed. The </w:t>
      </w:r>
      <w:r w:rsidR="00CD25CD">
        <w:t>pipeline</w:t>
      </w:r>
      <w:r w:rsidR="00CD25CD" w:rsidRPr="00A647DF">
        <w:t xml:space="preserve"> </w:t>
      </w:r>
      <w:r w:rsidRPr="00A647DF">
        <w:t>has been tested using an 8-core CPU and 32 GB of RAM. The following</w:t>
      </w:r>
      <w:r w:rsidR="00F36389">
        <w:t xml:space="preserve"> languages and</w:t>
      </w:r>
      <w:r w:rsidRPr="00A647DF">
        <w:t xml:space="preserve"> packages must be installed prior to run the </w:t>
      </w:r>
      <w:r w:rsidR="00CD25CD">
        <w:t>pipeline</w:t>
      </w:r>
      <w:r w:rsidRPr="00A647DF">
        <w:t>:</w:t>
      </w:r>
    </w:p>
    <w:p w14:paraId="22334E3E" w14:textId="77777777" w:rsidR="001F0FAB" w:rsidRPr="00A647DF" w:rsidRDefault="001F0FAB" w:rsidP="009B2B25"/>
    <w:p w14:paraId="246D24FD" w14:textId="29214F45" w:rsidR="00F36389" w:rsidRDefault="00F36389" w:rsidP="009B2B25">
      <w:pPr>
        <w:pStyle w:val="ListParagraph"/>
        <w:numPr>
          <w:ilvl w:val="0"/>
          <w:numId w:val="4"/>
        </w:numPr>
      </w:pPr>
      <w:r>
        <w:t>Python (executable from UNIX terminal</w:t>
      </w:r>
      <w:r w:rsidR="008856F6">
        <w:t xml:space="preserve"> with</w:t>
      </w:r>
      <w:r w:rsidR="000D458E">
        <w:t xml:space="preserve"> the</w:t>
      </w:r>
      <w:r w:rsidR="008856F6">
        <w:t xml:space="preserve"> command </w:t>
      </w:r>
      <w:r w:rsidR="00A46419">
        <w:rPr>
          <w:rFonts w:ascii="Courier New" w:eastAsia="Calibri" w:hAnsi="Courier New" w:cs="Courier New"/>
          <w:i/>
          <w:iCs/>
          <w:color w:val="000000"/>
          <w:highlight w:val="lightGray"/>
        </w:rPr>
        <w:t>% p</w:t>
      </w:r>
      <w:r w:rsidR="008856F6">
        <w:rPr>
          <w:rFonts w:ascii="Courier New" w:eastAsia="Calibri" w:hAnsi="Courier New" w:cs="Courier New"/>
          <w:i/>
          <w:iCs/>
          <w:color w:val="000000"/>
          <w:highlight w:val="lightGray"/>
        </w:rPr>
        <w:t>ython</w:t>
      </w:r>
      <w:r>
        <w:t>)</w:t>
      </w:r>
    </w:p>
    <w:p w14:paraId="3E0DC864" w14:textId="025F7DE3" w:rsidR="009B2B25" w:rsidRPr="00A647DF" w:rsidRDefault="009B2B25" w:rsidP="009B2B25">
      <w:pPr>
        <w:pStyle w:val="ListParagraph"/>
        <w:numPr>
          <w:ilvl w:val="0"/>
          <w:numId w:val="4"/>
        </w:numPr>
      </w:pPr>
      <w:r w:rsidRPr="00A647DF">
        <w:t>Python packages: “os”, “itertools”</w:t>
      </w:r>
    </w:p>
    <w:p w14:paraId="31CD7A92" w14:textId="4141300D" w:rsidR="009B2B25" w:rsidRPr="00A647DF" w:rsidRDefault="009B2B25" w:rsidP="009B2B25">
      <w:pPr>
        <w:pStyle w:val="ListParagraph"/>
        <w:numPr>
          <w:ilvl w:val="0"/>
          <w:numId w:val="4"/>
        </w:numPr>
      </w:pPr>
      <w:r w:rsidRPr="00A647DF">
        <w:t>BLASTN</w:t>
      </w:r>
      <w:r w:rsidR="00F36389">
        <w:t xml:space="preserve"> (executable from UNIX terminal</w:t>
      </w:r>
      <w:r w:rsidR="008856F6">
        <w:t xml:space="preserve"> with </w:t>
      </w:r>
      <w:r w:rsidR="000D458E">
        <w:t xml:space="preserve">the </w:t>
      </w:r>
      <w:r w:rsidR="008856F6">
        <w:t xml:space="preserve">command </w:t>
      </w:r>
      <w:r w:rsidR="00A46419">
        <w:rPr>
          <w:rFonts w:ascii="Courier New" w:eastAsia="Calibri" w:hAnsi="Courier New" w:cs="Courier New"/>
          <w:i/>
          <w:iCs/>
          <w:color w:val="000000"/>
          <w:highlight w:val="lightGray"/>
        </w:rPr>
        <w:t>% b</w:t>
      </w:r>
      <w:r w:rsidR="008856F6">
        <w:rPr>
          <w:rFonts w:ascii="Courier New" w:eastAsia="Calibri" w:hAnsi="Courier New" w:cs="Courier New"/>
          <w:i/>
          <w:iCs/>
          <w:color w:val="000000"/>
          <w:highlight w:val="lightGray"/>
        </w:rPr>
        <w:t>lastn</w:t>
      </w:r>
      <w:r w:rsidR="00F36389">
        <w:t>)</w:t>
      </w:r>
      <w:r w:rsidRPr="00A647DF">
        <w:t xml:space="preserve">: </w:t>
      </w:r>
      <w:hyperlink r:id="rId9" w:history="1">
        <w:r w:rsidRPr="00A647DF">
          <w:rPr>
            <w:rStyle w:val="Hyperlink"/>
          </w:rPr>
          <w:t>https://ftp.ncbi.nlm.nih.gov/blast/executables/LATEST/ncbi-blast-2.13.0+.dmg</w:t>
        </w:r>
      </w:hyperlink>
    </w:p>
    <w:p w14:paraId="32E40F80" w14:textId="77777777" w:rsidR="009B2B25" w:rsidRPr="00A647DF" w:rsidRDefault="009B2B25" w:rsidP="009B2B25"/>
    <w:p w14:paraId="723380E2" w14:textId="77777777" w:rsidR="009B2B25" w:rsidRPr="00A647DF" w:rsidRDefault="009B2B25" w:rsidP="009B2B25">
      <w:r w:rsidRPr="00A647DF">
        <w:t>###########################################################################</w:t>
      </w:r>
    </w:p>
    <w:p w14:paraId="3CE440B5" w14:textId="77777777" w:rsidR="009B2B25" w:rsidRPr="00A647DF" w:rsidRDefault="009B2B25" w:rsidP="009B2B25"/>
    <w:p w14:paraId="1B933B18" w14:textId="18F52AEF" w:rsidR="009B2B25" w:rsidRPr="00A647DF" w:rsidRDefault="00875239" w:rsidP="009B2B25">
      <w:r>
        <w:t>3</w:t>
      </w:r>
      <w:r w:rsidR="009B2B25" w:rsidRPr="00A647DF">
        <w:t>.Input files</w:t>
      </w:r>
    </w:p>
    <w:p w14:paraId="7A4ECB4D" w14:textId="7CDD3C1C" w:rsidR="009B2B25" w:rsidRDefault="009B2B25" w:rsidP="009B2B25"/>
    <w:p w14:paraId="0869DF44" w14:textId="426032EB" w:rsidR="000D458E" w:rsidRPr="000D458E" w:rsidRDefault="000D458E" w:rsidP="000D458E">
      <w:pPr>
        <w:rPr>
          <w:lang w:val="en-SG"/>
        </w:rPr>
      </w:pPr>
      <w:r w:rsidRPr="000D458E">
        <w:rPr>
          <w:lang w:val="en-SG"/>
        </w:rPr>
        <w:t>The pipeline takes as input a list of U1 antisense sequences in FASTA/multi-FASTA format. The list of U1s must be stored as "pipeline_targetome/input/query.fa". The pipeline has been designed and optimized for antisense sequences with a length of 11 nt, but it can be potentially applied for longer sequences (as long as the length</w:t>
      </w:r>
      <w:r>
        <w:rPr>
          <w:lang w:val="en-SG"/>
        </w:rPr>
        <w:t xml:space="preserve"> of all U1s</w:t>
      </w:r>
      <w:r w:rsidRPr="000D458E">
        <w:rPr>
          <w:lang w:val="en-SG"/>
        </w:rPr>
        <w:t xml:space="preserve"> </w:t>
      </w:r>
      <w:r>
        <w:rPr>
          <w:lang w:val="en-SG"/>
        </w:rPr>
        <w:t>is</w:t>
      </w:r>
      <w:r w:rsidRPr="000D458E">
        <w:rPr>
          <w:lang w:val="en-SG"/>
        </w:rPr>
        <w:t xml:space="preserve"> consistent in the query.fa file). It is recommended not to include any additional "&gt;" in the U1 name. The antisense sequences of the human endogenous U1 (</w:t>
      </w:r>
      <w:r>
        <w:rPr>
          <w:lang w:val="en-SG"/>
        </w:rPr>
        <w:t>“</w:t>
      </w:r>
      <w:r w:rsidRPr="000D458E">
        <w:rPr>
          <w:lang w:val="en-SG"/>
        </w:rPr>
        <w:t>&gt;U1_endogenous</w:t>
      </w:r>
      <w:r>
        <w:rPr>
          <w:lang w:val="en-SG"/>
        </w:rPr>
        <w:t>”</w:t>
      </w:r>
      <w:r w:rsidRPr="000D458E">
        <w:rPr>
          <w:lang w:val="en-SG"/>
        </w:rPr>
        <w:t>) and its reverse-complementary control ("</w:t>
      </w:r>
      <w:r>
        <w:rPr>
          <w:lang w:val="en-SG"/>
        </w:rPr>
        <w:t>&gt;</w:t>
      </w:r>
      <w:r w:rsidRPr="000D458E">
        <w:rPr>
          <w:lang w:val="en-SG"/>
        </w:rPr>
        <w:t>U1_control") are already stored in the query.fa file for testing.</w:t>
      </w:r>
    </w:p>
    <w:p w14:paraId="60A6F617" w14:textId="77777777" w:rsidR="000D458E" w:rsidRPr="000D458E" w:rsidRDefault="000D458E" w:rsidP="000D458E">
      <w:pPr>
        <w:rPr>
          <w:lang w:val="en-SG"/>
        </w:rPr>
      </w:pPr>
    </w:p>
    <w:p w14:paraId="63658161" w14:textId="256475E9" w:rsidR="001F0FAB" w:rsidRDefault="000D458E" w:rsidP="009B2B25">
      <w:pPr>
        <w:rPr>
          <w:lang w:val="en-SG"/>
        </w:rPr>
      </w:pPr>
      <w:r w:rsidRPr="000D458E">
        <w:rPr>
          <w:lang w:val="en-SG"/>
        </w:rPr>
        <w:t>The pipeline also requires the human genome annotation and assembly files as inputs. The files must be stored respectively as "pipeline_targetome/input/annotation.gtf'" and "pipeline_targetome/input/assembly.fna". The human annotation and assembly files (GRCh38) can be downloaded using the following links</w:t>
      </w:r>
      <w:r>
        <w:rPr>
          <w:lang w:val="en-SG"/>
        </w:rPr>
        <w:t>:</w:t>
      </w:r>
    </w:p>
    <w:p w14:paraId="1A0C3D3E" w14:textId="77777777" w:rsidR="000D458E" w:rsidRPr="000D458E" w:rsidRDefault="000D458E" w:rsidP="009B2B25">
      <w:pPr>
        <w:rPr>
          <w:lang w:val="en-SG"/>
        </w:rPr>
      </w:pPr>
    </w:p>
    <w:p w14:paraId="56878ABE" w14:textId="77777777" w:rsidR="009B2B25" w:rsidRPr="00A647DF" w:rsidRDefault="009B2B25" w:rsidP="009B2B25">
      <w:pPr>
        <w:pStyle w:val="ListParagraph"/>
        <w:numPr>
          <w:ilvl w:val="0"/>
          <w:numId w:val="3"/>
        </w:numPr>
      </w:pPr>
      <w:r w:rsidRPr="00A647DF">
        <w:lastRenderedPageBreak/>
        <w:t xml:space="preserve">annotation: </w:t>
      </w:r>
      <w:hyperlink r:id="rId10" w:history="1">
        <w:r w:rsidRPr="00A647DF">
          <w:rPr>
            <w:rStyle w:val="Hyperlink"/>
          </w:rPr>
          <w:t>https://ftp.ensembl.org/pub/release-108/gtf/homo_sapiens/Homo_sapiens.GRCh38.108.gtf.gz</w:t>
        </w:r>
      </w:hyperlink>
    </w:p>
    <w:p w14:paraId="28E27B62" w14:textId="77777777" w:rsidR="009B2B25" w:rsidRPr="00A647DF" w:rsidRDefault="009B2B25" w:rsidP="009B2B25">
      <w:pPr>
        <w:pStyle w:val="ListParagraph"/>
        <w:numPr>
          <w:ilvl w:val="0"/>
          <w:numId w:val="3"/>
        </w:numPr>
      </w:pPr>
      <w:r w:rsidRPr="00A647DF">
        <w:t xml:space="preserve">assembly: </w:t>
      </w:r>
      <w:hyperlink r:id="rId11" w:history="1">
        <w:r w:rsidRPr="00A647DF">
          <w:rPr>
            <w:rStyle w:val="Hyperlink"/>
          </w:rPr>
          <w:t>https://ftp.ncbi.nlm.nih.gov/refseq/H_sapiens/annotation/GRCh38_latest/refseq_identifiers/GRCh38_latest_genomic.fna.gz</w:t>
        </w:r>
      </w:hyperlink>
    </w:p>
    <w:p w14:paraId="3FA6C54C" w14:textId="77777777" w:rsidR="001F0FAB" w:rsidRDefault="001F0FAB" w:rsidP="009B2B25"/>
    <w:p w14:paraId="13A428B5" w14:textId="1FA6D70A" w:rsidR="009B2B25" w:rsidRPr="00A647DF" w:rsidRDefault="009B2B25" w:rsidP="009B2B25">
      <w:r w:rsidRPr="00A647DF">
        <w:t xml:space="preserve">Note that the annotation and assembly files must be </w:t>
      </w:r>
      <w:r w:rsidR="000D458E">
        <w:t>in</w:t>
      </w:r>
      <w:r w:rsidRPr="00A647DF">
        <w:t xml:space="preserve"> the same format as the files in the links above.</w:t>
      </w:r>
    </w:p>
    <w:p w14:paraId="1BBA73E2" w14:textId="77777777" w:rsidR="009B2B25" w:rsidRPr="00A647DF" w:rsidRDefault="009B2B25" w:rsidP="009B2B25"/>
    <w:p w14:paraId="5AFC6D8E" w14:textId="77777777" w:rsidR="009B2B25" w:rsidRPr="00A647DF" w:rsidRDefault="009B2B25" w:rsidP="009B2B25">
      <w:r w:rsidRPr="00A647DF">
        <w:t>###########################################################################</w:t>
      </w:r>
    </w:p>
    <w:p w14:paraId="2103D33A" w14:textId="77777777" w:rsidR="009B2B25" w:rsidRPr="00A647DF" w:rsidRDefault="009B2B25" w:rsidP="009B2B25"/>
    <w:p w14:paraId="2ACB2E77" w14:textId="21C6FBFF" w:rsidR="009B2B25" w:rsidRPr="00A647DF" w:rsidRDefault="00875239" w:rsidP="009B2B25">
      <w:r>
        <w:t>4</w:t>
      </w:r>
      <w:r w:rsidR="009B2B25" w:rsidRPr="00A647DF">
        <w:t xml:space="preserve">.Adjusting </w:t>
      </w:r>
      <w:r w:rsidR="00FF1979">
        <w:t>run settings</w:t>
      </w:r>
    </w:p>
    <w:p w14:paraId="4FC24F44" w14:textId="77777777" w:rsidR="009B2B25" w:rsidRPr="00A647DF" w:rsidRDefault="009B2B25" w:rsidP="009B2B25"/>
    <w:p w14:paraId="6C67BAD8" w14:textId="089CEE64" w:rsidR="009B2B25" w:rsidRDefault="009B2B25" w:rsidP="009B2B25">
      <w:r w:rsidRPr="00A647DF">
        <w:t xml:space="preserve">Before executing the prediction </w:t>
      </w:r>
      <w:r w:rsidR="00CD25CD">
        <w:t>pipeline</w:t>
      </w:r>
      <w:r w:rsidRPr="00A647DF">
        <w:t>, the settings for the run can be adjusted using the text file “</w:t>
      </w:r>
      <w:r w:rsidR="00B84BB1">
        <w:t>pipeline_targetome</w:t>
      </w:r>
      <w:r w:rsidRPr="00A647DF">
        <w:t>/input/settings.txt”</w:t>
      </w:r>
      <w:r w:rsidR="00D06DFF">
        <w:t xml:space="preserve">; the </w:t>
      </w:r>
      <w:r w:rsidR="006B4A5B">
        <w:t>default settings</w:t>
      </w:r>
      <w:r w:rsidR="00D06DFF">
        <w:t xml:space="preserve"> (</w:t>
      </w:r>
      <w:r w:rsidR="00397C3E">
        <w:t>indicated below</w:t>
      </w:r>
      <w:r w:rsidR="00D06DFF">
        <w:t>)</w:t>
      </w:r>
      <w:r w:rsidR="006B4A5B">
        <w:t xml:space="preserve"> will search </w:t>
      </w:r>
      <w:r w:rsidR="00B308B9">
        <w:t>and print all perfectly</w:t>
      </w:r>
      <w:r w:rsidR="00397C3E">
        <w:t>-</w:t>
      </w:r>
      <w:r w:rsidR="00B308B9">
        <w:t>matching</w:t>
      </w:r>
      <w:r w:rsidR="006B4A5B">
        <w:t xml:space="preserve"> targets</w:t>
      </w:r>
      <w:r w:rsidR="008A030E">
        <w:t xml:space="preserve"> </w:t>
      </w:r>
      <w:r w:rsidR="00B308B9">
        <w:t>in proximity of</w:t>
      </w:r>
      <w:r w:rsidR="006B4A5B">
        <w:t xml:space="preserve"> 5’-SSs</w:t>
      </w:r>
      <w:r w:rsidRPr="00A647DF">
        <w:t>:</w:t>
      </w:r>
    </w:p>
    <w:p w14:paraId="137D3257" w14:textId="77777777" w:rsidR="00D06DFF" w:rsidRPr="00A647DF" w:rsidRDefault="00D06DFF" w:rsidP="009B2B25"/>
    <w:p w14:paraId="6277D3D2" w14:textId="3C85D973" w:rsidR="009B2B25" w:rsidRPr="00A647DF" w:rsidRDefault="009B2B25" w:rsidP="009B2B25">
      <w:pPr>
        <w:ind w:left="720"/>
        <w:rPr>
          <w:rFonts w:ascii="Calibri" w:eastAsia="Calibri" w:hAnsi="Calibri" w:cs="Calibri"/>
          <w:i/>
          <w:iCs/>
          <w:color w:val="000000"/>
        </w:rPr>
      </w:pPr>
      <w:r w:rsidRPr="007D6E83">
        <w:rPr>
          <w:rFonts w:ascii="Courier New" w:eastAsia="Calibri" w:hAnsi="Courier New" w:cs="Courier New"/>
          <w:i/>
          <w:iCs/>
          <w:color w:val="000000"/>
          <w:highlight w:val="lightGray"/>
        </w:rPr>
        <w:t>database:</w:t>
      </w:r>
      <w:r w:rsidRPr="00A647DF">
        <w:t xml:space="preserve"> # it defines in which collection of sequences the off-targets must be searched</w:t>
      </w:r>
      <w:r w:rsidR="001F47B0">
        <w:t>;</w:t>
      </w:r>
    </w:p>
    <w:p w14:paraId="4723FFC2" w14:textId="30E2A6E5" w:rsidR="009B2B25" w:rsidRDefault="009B2B25" w:rsidP="009B2B25">
      <w:pPr>
        <w:ind w:left="1440"/>
      </w:pPr>
      <w:r w:rsidRPr="007D6E83">
        <w:rPr>
          <w:rFonts w:ascii="Courier New" w:eastAsia="Calibri" w:hAnsi="Courier New" w:cs="Courier New"/>
          <w:i/>
          <w:iCs/>
          <w:color w:val="000000"/>
          <w:highlight w:val="lightGray"/>
        </w:rPr>
        <w:t xml:space="preserve">exons: </w:t>
      </w:r>
      <w:r w:rsidR="00CC490A" w:rsidRPr="00CC490A">
        <w:rPr>
          <w:rFonts w:ascii="Courier New" w:eastAsia="Calibri" w:hAnsi="Courier New" w:cs="Courier New"/>
          <w:i/>
          <w:iCs/>
          <w:color w:val="000000"/>
          <w:highlight w:val="lightGray"/>
        </w:rPr>
        <w:t>no</w:t>
      </w:r>
      <w:r w:rsidRPr="00A647DF">
        <w:t xml:space="preserve"> # it includes all annotated exons from all annotated genes (excluding mitochondrial genes); possible options: “yes/no”</w:t>
      </w:r>
      <w:r w:rsidR="001F47B0">
        <w:t>;</w:t>
      </w:r>
    </w:p>
    <w:p w14:paraId="74EC37FD" w14:textId="460C0C13" w:rsidR="0006376C" w:rsidRDefault="0006376C" w:rsidP="009B2B25">
      <w:pPr>
        <w:ind w:left="1440"/>
      </w:pPr>
      <w:r>
        <w:rPr>
          <w:rFonts w:ascii="Courier New" w:eastAsia="Calibri" w:hAnsi="Courier New" w:cs="Courier New"/>
          <w:i/>
          <w:iCs/>
          <w:color w:val="000000"/>
          <w:highlight w:val="lightGray"/>
        </w:rPr>
        <w:t>introns</w:t>
      </w:r>
      <w:r w:rsidRPr="007D6E83">
        <w:rPr>
          <w:rFonts w:ascii="Courier New" w:eastAsia="Calibri" w:hAnsi="Courier New" w:cs="Courier New"/>
          <w:i/>
          <w:iCs/>
          <w:color w:val="000000"/>
          <w:highlight w:val="lightGray"/>
        </w:rPr>
        <w:t xml:space="preserve">: </w:t>
      </w:r>
      <w:r>
        <w:rPr>
          <w:rFonts w:ascii="Courier New" w:eastAsia="Calibri" w:hAnsi="Courier New" w:cs="Courier New"/>
          <w:i/>
          <w:iCs/>
          <w:color w:val="000000"/>
          <w:highlight w:val="lightGray"/>
        </w:rPr>
        <w:t>no</w:t>
      </w:r>
      <w:r w:rsidRPr="00A647DF">
        <w:t xml:space="preserve"> # it includes all annotated </w:t>
      </w:r>
      <w:r>
        <w:t>introns</w:t>
      </w:r>
      <w:r w:rsidRPr="00A647DF">
        <w:t xml:space="preserve"> from all annotated genes (excluding mitochondrial genes); possible options: “yes/no”</w:t>
      </w:r>
      <w:r>
        <w:t>;</w:t>
      </w:r>
      <w:r w:rsidR="0079605C">
        <w:t xml:space="preserve"> note that the “introns” databases is divided into chunks, and each chunk is searched separately;</w:t>
      </w:r>
    </w:p>
    <w:p w14:paraId="4B1784AD" w14:textId="7409CA54" w:rsidR="009B2B25" w:rsidRPr="00A647DF" w:rsidRDefault="009B2B25" w:rsidP="009B2B25">
      <w:pPr>
        <w:ind w:left="1440"/>
        <w:rPr>
          <w:rFonts w:ascii="Calibri" w:eastAsia="Calibri" w:hAnsi="Calibri" w:cs="Calibri"/>
          <w:i/>
          <w:iCs/>
          <w:color w:val="000000"/>
        </w:rPr>
      </w:pPr>
      <w:r w:rsidRPr="007D6E83">
        <w:rPr>
          <w:rFonts w:ascii="Courier New" w:eastAsia="Calibri" w:hAnsi="Courier New" w:cs="Courier New"/>
          <w:i/>
          <w:iCs/>
          <w:color w:val="000000"/>
          <w:highlight w:val="lightGray"/>
        </w:rPr>
        <w:t>5SSs: yes</w:t>
      </w:r>
      <w:r w:rsidRPr="00A647DF">
        <w:t xml:space="preserve"> # it includes the region spanning from position -</w:t>
      </w:r>
      <w:r w:rsidR="00397C3E">
        <w:t>10</w:t>
      </w:r>
      <w:r w:rsidR="007D24B3">
        <w:t>0</w:t>
      </w:r>
      <w:r w:rsidRPr="00A647DF">
        <w:t xml:space="preserve"> to +</w:t>
      </w:r>
      <w:r w:rsidR="00397C3E">
        <w:t>10</w:t>
      </w:r>
      <w:r w:rsidR="007D24B3">
        <w:t>0</w:t>
      </w:r>
      <w:r w:rsidRPr="00A647DF">
        <w:t xml:space="preserve"> around the donor splice site (5’-SS) of all annotated exons from all annotated genes (</w:t>
      </w:r>
      <w:r w:rsidR="00D06DFF" w:rsidRPr="00A647DF">
        <w:t>excluding mitochondrial genes</w:t>
      </w:r>
      <w:r w:rsidRPr="00A647DF">
        <w:t>); possible options: “yes/no”</w:t>
      </w:r>
      <w:r w:rsidR="001F47B0">
        <w:t>;</w:t>
      </w:r>
    </w:p>
    <w:p w14:paraId="6049BA76" w14:textId="1E03D318" w:rsidR="009B2B25" w:rsidRPr="00A647DF" w:rsidRDefault="009B2B25" w:rsidP="009B2B25">
      <w:pPr>
        <w:ind w:left="1440"/>
        <w:rPr>
          <w:rFonts w:ascii="Calibri" w:eastAsia="Calibri" w:hAnsi="Calibri" w:cs="Calibri"/>
          <w:i/>
          <w:iCs/>
          <w:color w:val="000000"/>
        </w:rPr>
      </w:pPr>
      <w:r w:rsidRPr="007D6E83">
        <w:rPr>
          <w:rFonts w:ascii="Courier New" w:eastAsia="Calibri" w:hAnsi="Courier New" w:cs="Courier New"/>
          <w:i/>
          <w:iCs/>
          <w:color w:val="000000"/>
          <w:highlight w:val="lightGray"/>
        </w:rPr>
        <w:t xml:space="preserve">3SSs: </w:t>
      </w:r>
      <w:r w:rsidR="00CC490A" w:rsidRPr="00CC490A">
        <w:rPr>
          <w:rFonts w:ascii="Courier New" w:eastAsia="Calibri" w:hAnsi="Courier New" w:cs="Courier New"/>
          <w:i/>
          <w:iCs/>
          <w:color w:val="000000"/>
          <w:highlight w:val="lightGray"/>
        </w:rPr>
        <w:t>no</w:t>
      </w:r>
      <w:r w:rsidRPr="00A647DF">
        <w:t xml:space="preserve"> # it includes the region spanning from position -</w:t>
      </w:r>
      <w:r w:rsidR="00D06DFF">
        <w:t>10</w:t>
      </w:r>
      <w:r w:rsidR="007D24B3">
        <w:t>0</w:t>
      </w:r>
      <w:r w:rsidRPr="00A647DF">
        <w:t xml:space="preserve"> to +</w:t>
      </w:r>
      <w:r w:rsidR="00D06DFF">
        <w:t>10</w:t>
      </w:r>
      <w:r w:rsidR="007D24B3">
        <w:t>0</w:t>
      </w:r>
      <w:r w:rsidRPr="00A647DF">
        <w:t xml:space="preserve"> around the acceptor splice site (3’-SS) </w:t>
      </w:r>
      <w:r w:rsidR="00D06DFF" w:rsidRPr="00A647DF">
        <w:t>of all annotated exons from all annotated genes (excluding mitochondrial genes); possible options: “yes/no”</w:t>
      </w:r>
      <w:r w:rsidR="00D06DFF">
        <w:t>;</w:t>
      </w:r>
    </w:p>
    <w:p w14:paraId="07832400" w14:textId="48FB4CC8" w:rsidR="009B2B25" w:rsidRPr="00A647DF" w:rsidRDefault="009B2B25" w:rsidP="009B2B25">
      <w:pPr>
        <w:ind w:left="720"/>
      </w:pP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>registers:</w:t>
      </w:r>
      <w:r w:rsidRPr="00A647DF">
        <w:t xml:space="preserve"> # it defines which annealing registers and how many mismatches</w:t>
      </w:r>
      <w:r w:rsidR="001F0FAB">
        <w:t xml:space="preserve"> (</w:t>
      </w:r>
      <w:r w:rsidR="001F0FAB" w:rsidRPr="001F0FAB">
        <w:t>up to 7, including the mismatches generated by the alternative structure)</w:t>
      </w:r>
      <w:r w:rsidRPr="00A647DF">
        <w:t xml:space="preserve"> must be tolerated between the U1 and the target sequence; the values indicate the number of base-pairs between the antisense strand and the target strand</w:t>
      </w:r>
      <w:r w:rsidR="000C3849">
        <w:t>:</w:t>
      </w:r>
    </w:p>
    <w:p w14:paraId="4D08D364" w14:textId="61D3AFD9" w:rsidR="009B2B25" w:rsidRPr="00A647DF" w:rsidRDefault="009B2B25" w:rsidP="009B2B25">
      <w:pPr>
        <w:ind w:left="1440"/>
        <w:rPr>
          <w:rFonts w:ascii="Calibri" w:eastAsia="Calibri" w:hAnsi="Calibri" w:cs="Calibri"/>
          <w:i/>
          <w:iCs/>
          <w:color w:val="000000"/>
        </w:rPr>
      </w:pP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 xml:space="preserve">full: </w:t>
      </w:r>
      <w:r w:rsidR="00397C3E">
        <w:rPr>
          <w:rFonts w:ascii="Courier New" w:eastAsia="Calibri" w:hAnsi="Courier New" w:cs="Courier New"/>
          <w:i/>
          <w:iCs/>
          <w:color w:val="000000"/>
          <w:highlight w:val="lightGray"/>
        </w:rPr>
        <w:t>11</w:t>
      </w:r>
      <w:r w:rsidRPr="00A647DF">
        <w:t xml:space="preserve"> # it indicates the annealing register without any alternative structure, except for mismatches; the value must be set as: (antisense length – 7) ≤ value ≤ (antisense length); the null option (the register is excluded from the analysis) can be set as</w:t>
      </w:r>
      <w:r w:rsidR="0077352B">
        <w:t xml:space="preserve"> “no”</w:t>
      </w:r>
      <w:r w:rsidR="001F47B0">
        <w:t>;</w:t>
      </w:r>
    </w:p>
    <w:p w14:paraId="66A2706D" w14:textId="4629BA1E" w:rsidR="009B2B25" w:rsidRPr="00A647DF" w:rsidRDefault="009B2B25" w:rsidP="009B2B25">
      <w:pPr>
        <w:ind w:left="1440"/>
        <w:rPr>
          <w:rFonts w:ascii="Calibri" w:eastAsia="Calibri" w:hAnsi="Calibri" w:cs="Calibri"/>
          <w:i/>
          <w:iCs/>
          <w:color w:val="000000"/>
        </w:rPr>
      </w:pP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 xml:space="preserve">BS1: </w:t>
      </w:r>
      <w:r w:rsidR="00397C3E">
        <w:rPr>
          <w:rFonts w:ascii="Courier New" w:eastAsia="Calibri" w:hAnsi="Courier New" w:cs="Courier New"/>
          <w:i/>
          <w:iCs/>
          <w:color w:val="000000"/>
          <w:highlight w:val="lightGray"/>
        </w:rPr>
        <w:t>no</w:t>
      </w:r>
      <w:r w:rsidRPr="00A647DF">
        <w:t xml:space="preserve"> # it indicates the annealing register carrying a single-nucleotide bulge on the target strand; the value must be set as: (antisense length – 7) ≤ value ≤ (antisense length); the null option (the register is excluded from the analysis) can be set as</w:t>
      </w:r>
      <w:r w:rsidR="0077352B">
        <w:t xml:space="preserve"> “no”</w:t>
      </w:r>
      <w:r w:rsidR="001F47B0">
        <w:t>;</w:t>
      </w:r>
    </w:p>
    <w:p w14:paraId="00C00248" w14:textId="2DDD6EDE" w:rsidR="009B2B25" w:rsidRPr="00A647DF" w:rsidRDefault="009B2B25" w:rsidP="009B2B25">
      <w:pPr>
        <w:ind w:left="1440"/>
        <w:rPr>
          <w:rFonts w:ascii="Calibri" w:eastAsia="Calibri" w:hAnsi="Calibri" w:cs="Calibri"/>
          <w:i/>
          <w:iCs/>
          <w:color w:val="000000"/>
        </w:rPr>
      </w:pP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>BS2:</w:t>
      </w:r>
      <w:r w:rsidR="00397C3E">
        <w:rPr>
          <w:rFonts w:ascii="Courier New" w:eastAsia="Calibri" w:hAnsi="Courier New" w:cs="Courier New"/>
          <w:i/>
          <w:iCs/>
          <w:color w:val="000000"/>
          <w:highlight w:val="lightGray"/>
        </w:rPr>
        <w:t xml:space="preserve"> no</w:t>
      </w:r>
      <w:r w:rsidRPr="00A647DF">
        <w:t xml:space="preserve"> # it indicates the annealing register carrying a double-nucleotide bulge on the target strand; the value must be set as: (antisense length – 7) ≤ value ≤ (antisense length); the null option (the register is excluded from the analysis) can be set as</w:t>
      </w:r>
      <w:r w:rsidR="0077352B">
        <w:t xml:space="preserve"> “no”</w:t>
      </w:r>
      <w:r w:rsidR="001F47B0">
        <w:t>;</w:t>
      </w:r>
    </w:p>
    <w:p w14:paraId="61244139" w14:textId="62D8CBE8" w:rsidR="009B2B25" w:rsidRPr="00A647DF" w:rsidRDefault="009B2B25" w:rsidP="009B2B25">
      <w:pPr>
        <w:ind w:left="1440"/>
        <w:rPr>
          <w:rFonts w:ascii="Calibri" w:eastAsia="Calibri" w:hAnsi="Calibri" w:cs="Calibri"/>
          <w:i/>
          <w:iCs/>
          <w:color w:val="000000"/>
        </w:rPr>
      </w:pP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 xml:space="preserve">BA1: </w:t>
      </w:r>
      <w:r w:rsidR="00397C3E">
        <w:rPr>
          <w:rFonts w:ascii="Courier New" w:eastAsia="Calibri" w:hAnsi="Courier New" w:cs="Courier New"/>
          <w:i/>
          <w:iCs/>
          <w:color w:val="000000"/>
          <w:highlight w:val="lightGray"/>
        </w:rPr>
        <w:t>no</w:t>
      </w:r>
      <w:r w:rsidRPr="00A647DF">
        <w:t xml:space="preserve"> # it indicates the annealing register carrying a single-nucleotide bulge on the antisense strand; the value must be set as: (antisense length – 7) ≤ </w:t>
      </w:r>
      <w:r w:rsidRPr="00A647DF">
        <w:lastRenderedPageBreak/>
        <w:t>value ≤ (antisense length – 1); the null option (the register is excluded from the analysis) can be set as</w:t>
      </w:r>
      <w:r w:rsidR="0077352B">
        <w:t xml:space="preserve"> “no”</w:t>
      </w:r>
      <w:r w:rsidR="001F47B0">
        <w:t>;</w:t>
      </w:r>
    </w:p>
    <w:p w14:paraId="46E702F9" w14:textId="2FE1D227" w:rsidR="009B2B25" w:rsidRPr="00A647DF" w:rsidRDefault="009B2B25" w:rsidP="009B2B25">
      <w:pPr>
        <w:ind w:left="1440"/>
        <w:rPr>
          <w:rFonts w:ascii="Calibri" w:eastAsia="Calibri" w:hAnsi="Calibri" w:cs="Calibri"/>
          <w:i/>
          <w:iCs/>
          <w:color w:val="000000"/>
        </w:rPr>
      </w:pP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 xml:space="preserve">BA2: </w:t>
      </w:r>
      <w:r w:rsidR="00397C3E">
        <w:rPr>
          <w:rFonts w:ascii="Courier New" w:eastAsia="Calibri" w:hAnsi="Courier New" w:cs="Courier New"/>
          <w:i/>
          <w:iCs/>
          <w:color w:val="000000"/>
          <w:highlight w:val="lightGray"/>
        </w:rPr>
        <w:t>no</w:t>
      </w:r>
      <w:r w:rsidRPr="00A647DF">
        <w:t xml:space="preserve"> # it indicates the annealing register carrying a double-nucleotide bulge on the antisense strand; the value must be set as: (antisense length – 7) ≤ value ≤ (antisense length – 2); the null option (the register is excluded from the analysis) can be set as</w:t>
      </w:r>
      <w:r w:rsidR="0077352B">
        <w:t xml:space="preserve"> “no”</w:t>
      </w:r>
      <w:r w:rsidR="001F47B0">
        <w:t>;</w:t>
      </w:r>
    </w:p>
    <w:p w14:paraId="2769D28A" w14:textId="35622CFC" w:rsidR="009B2B25" w:rsidRPr="00A647DF" w:rsidRDefault="009B2B25" w:rsidP="009B2B25">
      <w:pPr>
        <w:ind w:left="1440"/>
        <w:rPr>
          <w:rFonts w:ascii="Calibri" w:eastAsia="Calibri" w:hAnsi="Calibri" w:cs="Calibri"/>
          <w:i/>
          <w:iCs/>
          <w:color w:val="000000"/>
        </w:rPr>
      </w:pP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 xml:space="preserve">ALS: </w:t>
      </w:r>
      <w:r w:rsidR="00397C3E">
        <w:rPr>
          <w:rFonts w:ascii="Courier New" w:eastAsia="Calibri" w:hAnsi="Courier New" w:cs="Courier New"/>
          <w:i/>
          <w:iCs/>
          <w:color w:val="000000"/>
          <w:highlight w:val="lightGray"/>
        </w:rPr>
        <w:t>no</w:t>
      </w:r>
      <w:r w:rsidRPr="00A647DF">
        <w:t xml:space="preserve"> # it indicates the annealing register carrying an asymmetric loop with the long strand on the target sequence; the value must be set as: (antisense length – 7) ≤ value ≤ (antisense length – 1); the null option (the register is excluded from the analysis) can be set as</w:t>
      </w:r>
      <w:r w:rsidR="0077352B">
        <w:t xml:space="preserve"> “no”</w:t>
      </w:r>
      <w:r w:rsidR="001F47B0">
        <w:t>;</w:t>
      </w:r>
    </w:p>
    <w:p w14:paraId="21BEC7EF" w14:textId="39267396" w:rsidR="009B2B25" w:rsidRPr="001E1DD0" w:rsidRDefault="009B2B25" w:rsidP="009B2B25">
      <w:pPr>
        <w:ind w:left="1440"/>
        <w:rPr>
          <w:rFonts w:ascii="Calibri" w:eastAsia="Calibri" w:hAnsi="Calibri" w:cs="Calibri"/>
          <w:i/>
          <w:iCs/>
          <w:color w:val="000000"/>
        </w:rPr>
      </w:pP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 xml:space="preserve">ALA: </w:t>
      </w:r>
      <w:r w:rsidR="00397C3E">
        <w:rPr>
          <w:rFonts w:ascii="Courier New" w:eastAsia="Calibri" w:hAnsi="Courier New" w:cs="Courier New"/>
          <w:i/>
          <w:iCs/>
          <w:color w:val="000000"/>
          <w:highlight w:val="lightGray"/>
        </w:rPr>
        <w:t>no</w:t>
      </w:r>
      <w:r w:rsidRPr="00A647DF">
        <w:t xml:space="preserve"> # it indicates the annealing register carrying an asymmetric loop with the long strand on the antisense sequence; the value must be set as: (antisense length – 7) ≤ value ≤ (antisense length – 2); the null option (the register is </w:t>
      </w:r>
      <w:r w:rsidRPr="001E1DD0">
        <w:t>excluded from the analysis) can be set as</w:t>
      </w:r>
      <w:r w:rsidR="0077352B">
        <w:t xml:space="preserve"> “no”</w:t>
      </w:r>
      <w:r w:rsidR="001F47B0">
        <w:t>;</w:t>
      </w:r>
    </w:p>
    <w:p w14:paraId="2F08E076" w14:textId="01C98FD6" w:rsidR="009B2B25" w:rsidRPr="001E1DD0" w:rsidRDefault="009B2B25" w:rsidP="00F10D2F">
      <w:pPr>
        <w:ind w:left="720"/>
        <w:rPr>
          <w:rFonts w:ascii="Courier New" w:eastAsia="Calibri" w:hAnsi="Courier New" w:cs="Courier New"/>
          <w:i/>
          <w:iCs/>
          <w:color w:val="000000"/>
        </w:rPr>
      </w:pP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>positions:</w:t>
      </w:r>
      <w:r w:rsidRPr="001E1DD0">
        <w:t xml:space="preserve"> # it defines </w:t>
      </w:r>
      <w:r w:rsidR="001F0FAB">
        <w:t xml:space="preserve">in which positional range </w:t>
      </w:r>
      <w:r w:rsidRPr="001E1DD0">
        <w:t>the targets for 5</w:t>
      </w:r>
      <w:r w:rsidR="001F0FAB">
        <w:t>-</w:t>
      </w:r>
      <w:r w:rsidRPr="001E1DD0">
        <w:t>SSs</w:t>
      </w:r>
      <w:r w:rsidR="001F0FAB">
        <w:t xml:space="preserve"> </w:t>
      </w:r>
      <w:r w:rsidRPr="001E1DD0">
        <w:t>or 3</w:t>
      </w:r>
      <w:r w:rsidR="001F0FAB">
        <w:t>-</w:t>
      </w:r>
      <w:r w:rsidRPr="001E1DD0">
        <w:t>SSs must be searched</w:t>
      </w:r>
      <w:r w:rsidR="001F0FAB">
        <w:t xml:space="preserve">; </w:t>
      </w:r>
      <w:r w:rsidRPr="001E1DD0">
        <w:t xml:space="preserve"> possible options: </w:t>
      </w:r>
      <w:r w:rsidR="00F10D2F">
        <w:rPr>
          <w:rFonts w:ascii="Courier New" w:eastAsia="Calibri" w:hAnsi="Courier New" w:cs="Courier New"/>
          <w:i/>
          <w:iCs/>
          <w:color w:val="000000"/>
          <w:highlight w:val="lightGray"/>
        </w:rPr>
        <w:t>range</w:t>
      </w:r>
      <w:r w:rsidRPr="001E1DD0">
        <w:t xml:space="preserve">, which includes all positions within a range from -50 to +50 from the splice site; </w:t>
      </w:r>
      <w:r w:rsidR="00F10D2F">
        <w:rPr>
          <w:rFonts w:ascii="Courier New" w:eastAsia="Calibri" w:hAnsi="Courier New" w:cs="Courier New"/>
          <w:i/>
          <w:iCs/>
          <w:color w:val="000000"/>
          <w:highlight w:val="lightGray"/>
        </w:rPr>
        <w:t>cumulative</w:t>
      </w:r>
      <w:r w:rsidRPr="001E1DD0">
        <w:t>, which merges the counts for all the positions included between -10 and +25 for 5</w:t>
      </w:r>
      <w:r w:rsidR="001F0FAB">
        <w:t>-</w:t>
      </w:r>
      <w:r w:rsidRPr="001E1DD0">
        <w:t>SSs, and between -10 and + 1 for 3</w:t>
      </w:r>
      <w:r w:rsidR="001F0FAB">
        <w:t>-</w:t>
      </w:r>
      <w:r w:rsidRPr="001E1DD0">
        <w:t>SSs</w:t>
      </w:r>
      <w:r w:rsidR="00F10D2F">
        <w:t xml:space="preserve">; </w:t>
      </w:r>
      <w:r w:rsidR="00F10D2F">
        <w:rPr>
          <w:rFonts w:ascii="Courier New" w:eastAsia="Calibri" w:hAnsi="Courier New" w:cs="Courier New"/>
          <w:i/>
          <w:iCs/>
          <w:color w:val="000000"/>
          <w:highlight w:val="lightGray"/>
        </w:rPr>
        <w:t>overlapping</w:t>
      </w:r>
      <w:r w:rsidR="00F10D2F"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>:</w:t>
      </w:r>
      <w:r w:rsidR="00F10D2F">
        <w:t>, which includes any target overlapping with the splice site;</w:t>
      </w:r>
      <w:r w:rsidRPr="001E1DD0">
        <w:t xml:space="preserve"> </w:t>
      </w:r>
      <w:r w:rsidR="00F10D2F">
        <w:rPr>
          <w:rFonts w:ascii="Courier New" w:eastAsia="Calibri" w:hAnsi="Courier New" w:cs="Courier New"/>
          <w:i/>
          <w:iCs/>
          <w:color w:val="000000"/>
          <w:highlight w:val="lightGray"/>
        </w:rPr>
        <w:t>n1</w:t>
      </w:r>
      <w:r w:rsidR="0085304C">
        <w:rPr>
          <w:rFonts w:ascii="Courier New" w:eastAsia="Calibri" w:hAnsi="Courier New" w:cs="Courier New"/>
          <w:i/>
          <w:iCs/>
          <w:color w:val="000000"/>
          <w:highlight w:val="lightGray"/>
        </w:rPr>
        <w:t>,</w:t>
      </w:r>
      <w:r w:rsidR="00F10D2F">
        <w:rPr>
          <w:rFonts w:ascii="Courier New" w:eastAsia="Calibri" w:hAnsi="Courier New" w:cs="Courier New"/>
          <w:i/>
          <w:iCs/>
          <w:color w:val="000000"/>
          <w:highlight w:val="lightGray"/>
        </w:rPr>
        <w:t>n2</w:t>
      </w:r>
      <w:r w:rsidR="0085304C">
        <w:rPr>
          <w:rFonts w:ascii="Courier New" w:eastAsia="Calibri" w:hAnsi="Courier New" w:cs="Courier New"/>
          <w:i/>
          <w:iCs/>
          <w:color w:val="000000"/>
          <w:highlight w:val="lightGray"/>
        </w:rPr>
        <w:t>,</w:t>
      </w:r>
      <w:r w:rsidR="00F10D2F">
        <w:rPr>
          <w:rFonts w:ascii="Courier New" w:eastAsia="Calibri" w:hAnsi="Courier New" w:cs="Courier New"/>
          <w:i/>
          <w:iCs/>
          <w:color w:val="000000"/>
          <w:highlight w:val="lightGray"/>
        </w:rPr>
        <w:t>n3</w:t>
      </w:r>
      <w:r w:rsidR="0085304C">
        <w:rPr>
          <w:rFonts w:ascii="Courier New" w:eastAsia="Calibri" w:hAnsi="Courier New" w:cs="Courier New"/>
          <w:i/>
          <w:iCs/>
          <w:color w:val="000000"/>
          <w:highlight w:val="lightGray"/>
        </w:rPr>
        <w:t>,...</w:t>
      </w:r>
      <w:r w:rsidR="00F10D2F">
        <w:rPr>
          <w:rFonts w:ascii="Courier New" w:eastAsia="Calibri" w:hAnsi="Courier New" w:cs="Courier New"/>
          <w:i/>
          <w:iCs/>
          <w:color w:val="000000"/>
          <w:highlight w:val="lightGray"/>
        </w:rPr>
        <w:t>n</w:t>
      </w:r>
      <w:r w:rsidR="00F10D2F"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>:</w:t>
      </w:r>
      <w:r w:rsidR="001F0FAB">
        <w:t xml:space="preserve">, where “n” is </w:t>
      </w:r>
      <w:r w:rsidRPr="001E1DD0">
        <w:t xml:space="preserve">any single value included between (or equal to) -50 and +50 </w:t>
      </w:r>
      <w:r w:rsidR="00D03A7F">
        <w:t xml:space="preserve">and it indicates </w:t>
      </w:r>
      <w:r w:rsidRPr="001E1DD0">
        <w:t>the position of the 5’-most nucleotide of the target sequence</w:t>
      </w:r>
      <w:r w:rsidR="00BE49B1">
        <w:t xml:space="preserve"> (multiple values must be comma-separated with no space</w:t>
      </w:r>
      <w:r w:rsidR="0085304C">
        <w:t>)</w:t>
      </w:r>
      <w:r w:rsidR="001F47B0">
        <w:t>;</w:t>
      </w:r>
    </w:p>
    <w:p w14:paraId="24441BBD" w14:textId="31BC2CDA" w:rsidR="009B2B25" w:rsidRDefault="009B2B25" w:rsidP="009B2B25">
      <w:pPr>
        <w:rPr>
          <w:rFonts w:ascii="Courier New" w:eastAsia="Calibri" w:hAnsi="Courier New" w:cs="Courier New"/>
          <w:i/>
          <w:iCs/>
          <w:color w:val="000000"/>
        </w:rPr>
      </w:pPr>
      <w:r w:rsidRPr="001E1DD0">
        <w:rPr>
          <w:rFonts w:ascii="Courier New" w:eastAsia="Calibri" w:hAnsi="Courier New" w:cs="Courier New"/>
          <w:i/>
          <w:iCs/>
          <w:color w:val="000000"/>
        </w:rPr>
        <w:tab/>
      </w:r>
      <w:r w:rsidRPr="001E1DD0">
        <w:rPr>
          <w:rFonts w:ascii="Courier New" w:eastAsia="Calibri" w:hAnsi="Courier New" w:cs="Courier New"/>
          <w:i/>
          <w:iCs/>
          <w:color w:val="000000"/>
        </w:rPr>
        <w:tab/>
      </w: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 xml:space="preserve">5SSs: </w:t>
      </w:r>
      <w:r w:rsidR="00060D4C">
        <w:rPr>
          <w:rFonts w:ascii="Courier New" w:eastAsia="Calibri" w:hAnsi="Courier New" w:cs="Courier New"/>
          <w:i/>
          <w:iCs/>
          <w:color w:val="000000"/>
          <w:highlight w:val="lightGray"/>
        </w:rPr>
        <w:t>range</w:t>
      </w:r>
    </w:p>
    <w:p w14:paraId="0297D108" w14:textId="452E8228" w:rsidR="009B2B25" w:rsidRPr="00A647DF" w:rsidRDefault="009B2B25" w:rsidP="009B2B25">
      <w:pPr>
        <w:rPr>
          <w:rFonts w:ascii="Courier New" w:eastAsia="Calibri" w:hAnsi="Courier New" w:cs="Courier New"/>
          <w:i/>
          <w:iCs/>
          <w:color w:val="000000"/>
        </w:rPr>
      </w:pPr>
      <w:r w:rsidRPr="001E1DD0">
        <w:rPr>
          <w:rFonts w:ascii="Courier New" w:eastAsia="Calibri" w:hAnsi="Courier New" w:cs="Courier New"/>
          <w:i/>
          <w:iCs/>
          <w:color w:val="000000"/>
        </w:rPr>
        <w:tab/>
      </w:r>
      <w:r w:rsidRPr="001E1DD0">
        <w:rPr>
          <w:rFonts w:ascii="Courier New" w:eastAsia="Calibri" w:hAnsi="Courier New" w:cs="Courier New"/>
          <w:i/>
          <w:iCs/>
          <w:color w:val="000000"/>
        </w:rPr>
        <w:tab/>
      </w: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>3SSs: range</w:t>
      </w:r>
    </w:p>
    <w:p w14:paraId="153AE24C" w14:textId="70EEA7E4" w:rsidR="009B2B25" w:rsidRPr="00A647DF" w:rsidRDefault="00E5701F" w:rsidP="009B2B25">
      <w:pPr>
        <w:ind w:left="720"/>
        <w:rPr>
          <w:rFonts w:ascii="Calibri" w:eastAsia="Calibri" w:hAnsi="Calibri" w:cs="Calibri"/>
          <w:i/>
          <w:iCs/>
          <w:color w:val="000000"/>
        </w:rPr>
      </w:pPr>
      <w:r>
        <w:rPr>
          <w:rFonts w:ascii="Courier New" w:eastAsia="Calibri" w:hAnsi="Courier New" w:cs="Courier New"/>
          <w:i/>
          <w:iCs/>
          <w:color w:val="000000"/>
          <w:highlight w:val="lightGray"/>
        </w:rPr>
        <w:t>print</w:t>
      </w: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>:</w:t>
      </w:r>
      <w:r w:rsidRPr="001E1DD0">
        <w:t xml:space="preserve"> </w:t>
      </w:r>
      <w:r w:rsidR="009B2B25" w:rsidRPr="00A647DF">
        <w:t># it defines whether to print in a separate file all the targets found for a specific dataset; possible options: “yes/no”;</w:t>
      </w:r>
    </w:p>
    <w:p w14:paraId="0F082E8B" w14:textId="738237AD" w:rsidR="009B2B25" w:rsidRPr="00A647DF" w:rsidRDefault="009B2B25" w:rsidP="009B2B25">
      <w:pPr>
        <w:rPr>
          <w:rFonts w:ascii="Courier New" w:eastAsia="Calibri" w:hAnsi="Courier New" w:cs="Courier New"/>
          <w:i/>
          <w:iCs/>
          <w:color w:val="000000"/>
        </w:rPr>
      </w:pPr>
      <w:r w:rsidRPr="00A647DF">
        <w:rPr>
          <w:rFonts w:ascii="Calibri" w:eastAsia="Calibri" w:hAnsi="Calibri" w:cs="Calibri"/>
          <w:i/>
          <w:iCs/>
          <w:color w:val="000000"/>
        </w:rPr>
        <w:tab/>
      </w:r>
      <w:r w:rsidRPr="00A647DF">
        <w:rPr>
          <w:rFonts w:ascii="Calibri" w:eastAsia="Calibri" w:hAnsi="Calibri" w:cs="Calibri"/>
          <w:i/>
          <w:iCs/>
          <w:color w:val="000000"/>
        </w:rPr>
        <w:tab/>
      </w:r>
      <w:r w:rsidR="00060D4C">
        <w:rPr>
          <w:rFonts w:ascii="Courier New" w:eastAsia="Calibri" w:hAnsi="Courier New" w:cs="Courier New"/>
          <w:i/>
          <w:iCs/>
          <w:color w:val="000000"/>
          <w:highlight w:val="lightGray"/>
        </w:rPr>
        <w:t>exons</w:t>
      </w: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>: no</w:t>
      </w:r>
    </w:p>
    <w:p w14:paraId="47EE4610" w14:textId="0A04E255" w:rsidR="009B2B25" w:rsidRPr="00A647DF" w:rsidRDefault="009B2B25" w:rsidP="009B2B25">
      <w:pPr>
        <w:rPr>
          <w:rFonts w:ascii="Courier New" w:eastAsia="Calibri" w:hAnsi="Courier New" w:cs="Courier New"/>
          <w:i/>
          <w:iCs/>
          <w:color w:val="000000"/>
        </w:rPr>
      </w:pPr>
      <w:r w:rsidRPr="00A647DF">
        <w:rPr>
          <w:rFonts w:ascii="Courier New" w:eastAsia="Calibri" w:hAnsi="Courier New" w:cs="Courier New"/>
          <w:i/>
          <w:iCs/>
          <w:color w:val="000000"/>
        </w:rPr>
        <w:tab/>
      </w:r>
      <w:r w:rsidRPr="00A647DF">
        <w:rPr>
          <w:rFonts w:ascii="Courier New" w:eastAsia="Calibri" w:hAnsi="Courier New" w:cs="Courier New"/>
          <w:i/>
          <w:iCs/>
          <w:color w:val="000000"/>
        </w:rPr>
        <w:tab/>
      </w:r>
      <w:r w:rsidR="00060D4C">
        <w:rPr>
          <w:rFonts w:ascii="Courier New" w:eastAsia="Calibri" w:hAnsi="Courier New" w:cs="Courier New"/>
          <w:i/>
          <w:iCs/>
          <w:color w:val="000000"/>
          <w:highlight w:val="lightGray"/>
        </w:rPr>
        <w:t>introns</w:t>
      </w: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>: no</w:t>
      </w:r>
    </w:p>
    <w:p w14:paraId="1B02BD2A" w14:textId="77777777" w:rsidR="009B2B25" w:rsidRPr="00A647DF" w:rsidRDefault="009B2B25" w:rsidP="009B2B25">
      <w:pPr>
        <w:rPr>
          <w:rFonts w:ascii="Courier New" w:eastAsia="Calibri" w:hAnsi="Courier New" w:cs="Courier New"/>
          <w:i/>
          <w:iCs/>
          <w:color w:val="000000"/>
        </w:rPr>
      </w:pPr>
      <w:r w:rsidRPr="00A647DF">
        <w:rPr>
          <w:rFonts w:ascii="Courier New" w:eastAsia="Calibri" w:hAnsi="Courier New" w:cs="Courier New"/>
          <w:i/>
          <w:iCs/>
          <w:color w:val="000000"/>
        </w:rPr>
        <w:tab/>
      </w:r>
      <w:r w:rsidRPr="00A647DF">
        <w:rPr>
          <w:rFonts w:ascii="Courier New" w:eastAsia="Calibri" w:hAnsi="Courier New" w:cs="Courier New"/>
          <w:i/>
          <w:iCs/>
          <w:color w:val="000000"/>
        </w:rPr>
        <w:tab/>
      </w: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>5SSs: yes</w:t>
      </w:r>
    </w:p>
    <w:p w14:paraId="531FB692" w14:textId="77777777" w:rsidR="009B2B25" w:rsidRDefault="009B2B25" w:rsidP="009B2B25">
      <w:pPr>
        <w:rPr>
          <w:rFonts w:ascii="Courier New" w:eastAsia="Calibri" w:hAnsi="Courier New" w:cs="Courier New"/>
          <w:i/>
          <w:iCs/>
          <w:color w:val="000000"/>
        </w:rPr>
      </w:pPr>
      <w:r w:rsidRPr="00A647DF">
        <w:rPr>
          <w:rFonts w:ascii="Courier New" w:eastAsia="Calibri" w:hAnsi="Courier New" w:cs="Courier New"/>
          <w:i/>
          <w:iCs/>
          <w:color w:val="000000"/>
        </w:rPr>
        <w:tab/>
      </w:r>
      <w:r w:rsidRPr="00A647DF">
        <w:rPr>
          <w:rFonts w:ascii="Courier New" w:eastAsia="Calibri" w:hAnsi="Courier New" w:cs="Courier New"/>
          <w:i/>
          <w:iCs/>
          <w:color w:val="000000"/>
        </w:rPr>
        <w:tab/>
      </w: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>3SSs: no</w:t>
      </w:r>
    </w:p>
    <w:p w14:paraId="71E947E9" w14:textId="7A19FDCA" w:rsidR="00E5701F" w:rsidRPr="00A647DF" w:rsidRDefault="00E5701F" w:rsidP="00E5701F">
      <w:pPr>
        <w:ind w:left="720"/>
        <w:rPr>
          <w:rFonts w:ascii="Calibri" w:eastAsia="Calibri" w:hAnsi="Calibri" w:cs="Calibri"/>
          <w:i/>
          <w:iCs/>
          <w:color w:val="000000"/>
        </w:rPr>
      </w:pPr>
      <w:r>
        <w:rPr>
          <w:rFonts w:ascii="Courier New" w:eastAsia="Calibri" w:hAnsi="Courier New" w:cs="Courier New"/>
          <w:i/>
          <w:iCs/>
          <w:color w:val="000000"/>
          <w:highlight w:val="lightGray"/>
        </w:rPr>
        <w:t>partitions</w:t>
      </w: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>:</w:t>
      </w:r>
      <w:r w:rsidRPr="001E1DD0">
        <w:t xml:space="preserve"> </w:t>
      </w:r>
      <w:r w:rsidRPr="00A647DF">
        <w:t># it</w:t>
      </w:r>
      <w:r>
        <w:t xml:space="preserve"> defines</w:t>
      </w:r>
      <w:r w:rsidRPr="00A647DF">
        <w:t xml:space="preserve"> </w:t>
      </w:r>
      <w:r>
        <w:t>how many partitions should be generated for the databases; the default value is 1, but it can be increased (natural numbers only) to reduce the demand of processing power</w:t>
      </w:r>
      <w:r w:rsidRPr="00A647DF">
        <w:t>;</w:t>
      </w:r>
    </w:p>
    <w:p w14:paraId="45AF69E1" w14:textId="5DC4B6C8" w:rsidR="00E5701F" w:rsidRPr="00A647DF" w:rsidRDefault="00E5701F" w:rsidP="009B2B25">
      <w:pPr>
        <w:rPr>
          <w:rFonts w:ascii="Courier New" w:eastAsia="Calibri" w:hAnsi="Courier New" w:cs="Courier New"/>
          <w:i/>
          <w:iCs/>
          <w:color w:val="000000"/>
        </w:rPr>
      </w:pPr>
      <w:r w:rsidRPr="00A647DF">
        <w:rPr>
          <w:rFonts w:ascii="Calibri" w:eastAsia="Calibri" w:hAnsi="Calibri" w:cs="Calibri"/>
          <w:i/>
          <w:iCs/>
          <w:color w:val="000000"/>
        </w:rPr>
        <w:tab/>
      </w:r>
      <w:r w:rsidRPr="00A647DF">
        <w:rPr>
          <w:rFonts w:ascii="Calibri" w:eastAsia="Calibri" w:hAnsi="Calibri" w:cs="Calibri"/>
          <w:i/>
          <w:iCs/>
          <w:color w:val="000000"/>
        </w:rPr>
        <w:tab/>
      </w:r>
      <w:r>
        <w:rPr>
          <w:rFonts w:ascii="Courier New" w:eastAsia="Calibri" w:hAnsi="Courier New" w:cs="Courier New"/>
          <w:i/>
          <w:iCs/>
          <w:color w:val="000000"/>
          <w:highlight w:val="lightGray"/>
        </w:rPr>
        <w:t>number</w:t>
      </w:r>
      <w:r w:rsidRPr="009B2B25">
        <w:rPr>
          <w:rFonts w:ascii="Courier New" w:eastAsia="Calibri" w:hAnsi="Courier New" w:cs="Courier New"/>
          <w:i/>
          <w:iCs/>
          <w:color w:val="000000"/>
          <w:highlight w:val="lightGray"/>
        </w:rPr>
        <w:t xml:space="preserve">: </w:t>
      </w:r>
      <w:r>
        <w:rPr>
          <w:rFonts w:ascii="Courier New" w:eastAsia="Calibri" w:hAnsi="Courier New" w:cs="Courier New"/>
          <w:i/>
          <w:iCs/>
          <w:color w:val="000000"/>
          <w:highlight w:val="lightGray"/>
        </w:rPr>
        <w:t>1</w:t>
      </w:r>
    </w:p>
    <w:p w14:paraId="02ABCF5E" w14:textId="77777777" w:rsidR="009B2B25" w:rsidRDefault="009B2B25" w:rsidP="009B2B25"/>
    <w:p w14:paraId="356C10AE" w14:textId="26F6D733" w:rsidR="002450DF" w:rsidRDefault="000C3849" w:rsidP="009B2B25">
      <w:r>
        <w:t xml:space="preserve">It is recommended to perform the first analyses by including a low number of mismatches, as </w:t>
      </w:r>
      <w:r w:rsidR="00E26AB3">
        <w:t>multiple mismatches</w:t>
      </w:r>
      <w:r>
        <w:t xml:space="preserve"> might slow down the process considerably</w:t>
      </w:r>
      <w:r w:rsidR="00E26AB3">
        <w:t>.</w:t>
      </w:r>
    </w:p>
    <w:p w14:paraId="6970E8BD" w14:textId="77777777" w:rsidR="002450DF" w:rsidRDefault="002450DF" w:rsidP="009B2B25"/>
    <w:p w14:paraId="143EF1D6" w14:textId="77777777" w:rsidR="009B2B25" w:rsidRPr="00A647DF" w:rsidRDefault="009B2B25" w:rsidP="009B2B25">
      <w:r w:rsidRPr="00A647DF">
        <w:t>###########################################################################</w:t>
      </w:r>
    </w:p>
    <w:p w14:paraId="4DD06A6C" w14:textId="77777777" w:rsidR="009B2B25" w:rsidRPr="00A647DF" w:rsidRDefault="009B2B25" w:rsidP="009B2B25"/>
    <w:p w14:paraId="4F8F8D3F" w14:textId="3D3ADAAE" w:rsidR="009B2B25" w:rsidRPr="00A647DF" w:rsidRDefault="00875239" w:rsidP="009B2B25">
      <w:r>
        <w:t>5</w:t>
      </w:r>
      <w:r w:rsidR="009B2B25" w:rsidRPr="00A647DF">
        <w:t xml:space="preserve">.Executing the </w:t>
      </w:r>
      <w:r w:rsidR="00CD25CD">
        <w:t>pipeline</w:t>
      </w:r>
    </w:p>
    <w:p w14:paraId="512A85D3" w14:textId="77777777" w:rsidR="009B2B25" w:rsidRPr="00A647DF" w:rsidRDefault="009B2B25" w:rsidP="009B2B25"/>
    <w:p w14:paraId="675CC49E" w14:textId="39C94B3B" w:rsidR="009B2B25" w:rsidRDefault="009B2B25" w:rsidP="009B2B25">
      <w:r w:rsidRPr="00A647DF">
        <w:t xml:space="preserve">After preparing the input files and (optionally) adjusting the run settings, the </w:t>
      </w:r>
      <w:r w:rsidR="00CD25CD">
        <w:t>pipeline</w:t>
      </w:r>
      <w:r w:rsidR="00CD25CD" w:rsidRPr="00A647DF">
        <w:t xml:space="preserve"> </w:t>
      </w:r>
      <w:r w:rsidR="003032A4">
        <w:t>can</w:t>
      </w:r>
      <w:r w:rsidRPr="00A647DF">
        <w:t xml:space="preserve"> be executed </w:t>
      </w:r>
      <w:r w:rsidR="00B4585D">
        <w:t>from the UNIX terminal with the following commands</w:t>
      </w:r>
      <w:r w:rsidRPr="00A647DF">
        <w:t>:</w:t>
      </w:r>
    </w:p>
    <w:p w14:paraId="1935D572" w14:textId="77777777" w:rsidR="00030550" w:rsidRDefault="00030550" w:rsidP="009B2B25">
      <w:pPr>
        <w:rPr>
          <w:rFonts w:ascii="Courier New" w:eastAsia="Calibri" w:hAnsi="Courier New" w:cs="Courier New"/>
          <w:i/>
          <w:iCs/>
          <w:color w:val="000000"/>
          <w:highlight w:val="lightGray"/>
        </w:rPr>
      </w:pPr>
    </w:p>
    <w:p w14:paraId="119AE3D5" w14:textId="0898A37D" w:rsidR="00030550" w:rsidRDefault="00030550" w:rsidP="00030550">
      <w:r>
        <w:rPr>
          <w:rFonts w:ascii="Courier New" w:eastAsia="Calibri" w:hAnsi="Courier New" w:cs="Courier New"/>
          <w:i/>
          <w:iCs/>
          <w:color w:val="000000"/>
          <w:highlight w:val="lightGray"/>
        </w:rPr>
        <w:t xml:space="preserve">% cd /.../pipeline_targetome </w:t>
      </w:r>
      <w:r w:rsidR="00104800">
        <w:rPr>
          <w:rFonts w:ascii="Courier New" w:eastAsia="Calibri" w:hAnsi="Courier New" w:cs="Courier New"/>
          <w:i/>
          <w:iCs/>
          <w:color w:val="000000"/>
          <w:highlight w:val="lightGray"/>
        </w:rPr>
        <w:t xml:space="preserve">; </w:t>
      </w:r>
      <w:r>
        <w:rPr>
          <w:rFonts w:ascii="Courier New" w:eastAsia="Calibri" w:hAnsi="Courier New" w:cs="Courier New"/>
          <w:i/>
          <w:iCs/>
          <w:color w:val="000000"/>
          <w:highlight w:val="lightGray"/>
        </w:rPr>
        <w:t>chmod a+x</w:t>
      </w:r>
      <w:r w:rsidR="00104800">
        <w:rPr>
          <w:rFonts w:ascii="Courier New" w:eastAsia="Calibri" w:hAnsi="Courier New" w:cs="Courier New"/>
          <w:i/>
          <w:iCs/>
          <w:color w:val="000000"/>
          <w:highlight w:val="lightGray"/>
        </w:rPr>
        <w:t xml:space="preserve"> </w:t>
      </w:r>
      <w:r>
        <w:rPr>
          <w:rFonts w:ascii="Courier New" w:eastAsia="Calibri" w:hAnsi="Courier New" w:cs="Courier New"/>
          <w:i/>
          <w:iCs/>
          <w:color w:val="000000"/>
          <w:highlight w:val="lightGray"/>
        </w:rPr>
        <w:t xml:space="preserve">scripts/PIPELINE_TARGETOME.txt </w:t>
      </w:r>
      <w:r w:rsidR="00104800">
        <w:rPr>
          <w:rFonts w:ascii="Courier New" w:eastAsia="Calibri" w:hAnsi="Courier New" w:cs="Courier New"/>
          <w:i/>
          <w:iCs/>
          <w:color w:val="000000"/>
          <w:highlight w:val="lightGray"/>
        </w:rPr>
        <w:t xml:space="preserve">; </w:t>
      </w:r>
      <w:r>
        <w:rPr>
          <w:rFonts w:ascii="Courier New" w:eastAsia="Calibri" w:hAnsi="Courier New" w:cs="Courier New"/>
          <w:i/>
          <w:iCs/>
          <w:color w:val="000000"/>
          <w:highlight w:val="lightGray"/>
        </w:rPr>
        <w:t>scripts/PIPELINE_TARGETOME.txt</w:t>
      </w:r>
    </w:p>
    <w:p w14:paraId="6F716E84" w14:textId="77777777" w:rsidR="00D55B0A" w:rsidRPr="00D55B0A" w:rsidRDefault="00D55B0A" w:rsidP="009B2B25"/>
    <w:p w14:paraId="56F290AC" w14:textId="0B116551" w:rsidR="00EC70AA" w:rsidRPr="009B2B25" w:rsidRDefault="006336F5" w:rsidP="009B2B25">
      <w:r>
        <w:lastRenderedPageBreak/>
        <w:t>Replace</w:t>
      </w:r>
      <w:r w:rsidR="00104800">
        <w:t xml:space="preserve"> </w:t>
      </w:r>
      <w:r w:rsidR="00104800">
        <w:rPr>
          <w:rFonts w:ascii="Courier New" w:eastAsia="Calibri" w:hAnsi="Courier New" w:cs="Courier New"/>
          <w:i/>
          <w:iCs/>
          <w:color w:val="000000"/>
          <w:highlight w:val="lightGray"/>
        </w:rPr>
        <w:t>/.../pipeline_targetome</w:t>
      </w:r>
      <w:r w:rsidR="00104800">
        <w:t xml:space="preserve"> </w:t>
      </w:r>
      <w:r>
        <w:t>with</w:t>
      </w:r>
      <w:r w:rsidR="00104800">
        <w:t xml:space="preserve"> the directory of the </w:t>
      </w:r>
      <w:r w:rsidR="00104800" w:rsidRPr="00A647DF">
        <w:t>“</w:t>
      </w:r>
      <w:r w:rsidR="00104800">
        <w:t xml:space="preserve">pipeline_targetome” folder. </w:t>
      </w:r>
      <w:r w:rsidR="00C140E5">
        <w:t>The message ‘</w:t>
      </w:r>
      <w:r w:rsidR="00C140E5" w:rsidRPr="004C0368">
        <w:t>Warning: [blastn] Query is Empty!</w:t>
      </w:r>
      <w:r w:rsidR="00C140E5">
        <w:t xml:space="preserve">’ can be ignored. </w:t>
      </w:r>
      <w:r w:rsidR="00C140E5">
        <w:rPr>
          <w:color w:val="000000"/>
        </w:rPr>
        <w:t>T</w:t>
      </w:r>
      <w:r w:rsidR="00D55B0A" w:rsidRPr="00D55B0A">
        <w:rPr>
          <w:color w:val="000000"/>
        </w:rPr>
        <w:t>he prediction</w:t>
      </w:r>
      <w:r w:rsidR="00D55B0A" w:rsidRPr="00D55B0A">
        <w:rPr>
          <w:rStyle w:val="apple-converted-space"/>
          <w:color w:val="000000"/>
        </w:rPr>
        <w:t> </w:t>
      </w:r>
      <w:r w:rsidR="00D55B0A" w:rsidRPr="00D55B0A">
        <w:rPr>
          <w:color w:val="000000"/>
        </w:rPr>
        <w:t>results</w:t>
      </w:r>
      <w:r w:rsidR="00D55B0A" w:rsidRPr="00D55B0A">
        <w:rPr>
          <w:rStyle w:val="apple-converted-space"/>
          <w:color w:val="000000"/>
        </w:rPr>
        <w:t> </w:t>
      </w:r>
      <w:r w:rsidR="00D55B0A" w:rsidRPr="00D55B0A">
        <w:rPr>
          <w:color w:val="000000"/>
        </w:rPr>
        <w:t>can be found in the folder “workflow/results/”; results</w:t>
      </w:r>
      <w:r w:rsidR="00D55B0A" w:rsidRPr="00D55B0A">
        <w:rPr>
          <w:rStyle w:val="apple-converted-space"/>
          <w:color w:val="000000"/>
        </w:rPr>
        <w:t> </w:t>
      </w:r>
      <w:r w:rsidR="00D55B0A" w:rsidRPr="00D55B0A">
        <w:rPr>
          <w:color w:val="000000"/>
        </w:rPr>
        <w:t>are in tab format and are</w:t>
      </w:r>
      <w:r w:rsidR="00D55B0A" w:rsidRPr="00D55B0A">
        <w:rPr>
          <w:rStyle w:val="apple-converted-space"/>
          <w:color w:val="000000"/>
        </w:rPr>
        <w:t> </w:t>
      </w:r>
      <w:r w:rsidR="00D55B0A" w:rsidRPr="00D55B0A">
        <w:rPr>
          <w:color w:val="000000"/>
        </w:rPr>
        <w:t>sorted</w:t>
      </w:r>
      <w:r w:rsidR="00D55B0A" w:rsidRPr="00D55B0A">
        <w:rPr>
          <w:rStyle w:val="apple-converted-space"/>
          <w:color w:val="000000"/>
        </w:rPr>
        <w:t> </w:t>
      </w:r>
      <w:r w:rsidR="00D55B0A" w:rsidRPr="00D55B0A">
        <w:rPr>
          <w:color w:val="000000"/>
        </w:rPr>
        <w:t>in different files based on the analyzed database (“genes”, “exons”, “5SSs” or “3SSs”)</w:t>
      </w:r>
      <w:r w:rsidR="00C140E5">
        <w:t xml:space="preserve">. </w:t>
      </w:r>
      <w:r w:rsidR="009B2B25" w:rsidRPr="00A647DF">
        <w:t>Note that each execution will first delete all the files in the</w:t>
      </w:r>
      <w:r w:rsidR="00C140E5">
        <w:t xml:space="preserve"> </w:t>
      </w:r>
      <w:r w:rsidR="009B2B25" w:rsidRPr="00A647DF">
        <w:t>“</w:t>
      </w:r>
      <w:r w:rsidR="00B84BB1">
        <w:t>pipeline_targetome</w:t>
      </w:r>
      <w:r w:rsidR="009B2B25" w:rsidRPr="00A647DF">
        <w:t>/results/” folder and will then generate new files. Also note that the files in the “</w:t>
      </w:r>
      <w:r w:rsidR="00B84BB1">
        <w:t>pipeline_targetome</w:t>
      </w:r>
      <w:r w:rsidR="009B2B25" w:rsidRPr="00A647DF">
        <w:t>/temp/” folder could have a large size, especially for large lists of input sequences and/or for analyses that include many mismatches (e.g. targetome prediction for 50 U1 sequences could generate up to 100 GB of files if considering 3 mismatches for all the annealing registers).</w:t>
      </w:r>
      <w:r w:rsidR="00C341F3">
        <w:t xml:space="preserve"> If the blastn database has already been generated in a previous run, it will be used in the new run without generating a new one</w:t>
      </w:r>
      <w:r w:rsidR="00B30A14">
        <w:t>, therefore saving processing time</w:t>
      </w:r>
      <w:r w:rsidR="00C341F3">
        <w:t>.</w:t>
      </w:r>
    </w:p>
    <w:sectPr w:rsidR="00EC70AA" w:rsidRPr="009B2B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7B70E" w14:textId="77777777" w:rsidR="003D5CB6" w:rsidRDefault="003D5CB6" w:rsidP="004D046E">
      <w:r>
        <w:separator/>
      </w:r>
    </w:p>
  </w:endnote>
  <w:endnote w:type="continuationSeparator" w:id="0">
    <w:p w14:paraId="582527D7" w14:textId="77777777" w:rsidR="003D5CB6" w:rsidRDefault="003D5CB6" w:rsidP="004D0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089E" w14:textId="77777777" w:rsidR="003D5CB6" w:rsidRDefault="003D5CB6" w:rsidP="004D046E">
      <w:r>
        <w:separator/>
      </w:r>
    </w:p>
  </w:footnote>
  <w:footnote w:type="continuationSeparator" w:id="0">
    <w:p w14:paraId="58215259" w14:textId="77777777" w:rsidR="003D5CB6" w:rsidRDefault="003D5CB6" w:rsidP="004D0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528A"/>
    <w:multiLevelType w:val="multilevel"/>
    <w:tmpl w:val="85B260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5A1897"/>
    <w:multiLevelType w:val="hybridMultilevel"/>
    <w:tmpl w:val="0D18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003CE"/>
    <w:multiLevelType w:val="hybridMultilevel"/>
    <w:tmpl w:val="43CC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05980"/>
    <w:multiLevelType w:val="multilevel"/>
    <w:tmpl w:val="0936A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1D73C1"/>
    <w:multiLevelType w:val="hybridMultilevel"/>
    <w:tmpl w:val="EFFE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372401">
    <w:abstractNumId w:val="3"/>
  </w:num>
  <w:num w:numId="2" w16cid:durableId="1610700958">
    <w:abstractNumId w:val="0"/>
  </w:num>
  <w:num w:numId="3" w16cid:durableId="519320647">
    <w:abstractNumId w:val="1"/>
  </w:num>
  <w:num w:numId="4" w16cid:durableId="1449154700">
    <w:abstractNumId w:val="4"/>
  </w:num>
  <w:num w:numId="5" w16cid:durableId="275531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EAF"/>
    <w:rsid w:val="00030550"/>
    <w:rsid w:val="00041F0D"/>
    <w:rsid w:val="00060D4C"/>
    <w:rsid w:val="0006376C"/>
    <w:rsid w:val="00093325"/>
    <w:rsid w:val="000955CF"/>
    <w:rsid w:val="000A7D47"/>
    <w:rsid w:val="000B3A97"/>
    <w:rsid w:val="000C3849"/>
    <w:rsid w:val="000D458E"/>
    <w:rsid w:val="000D4ED7"/>
    <w:rsid w:val="00104800"/>
    <w:rsid w:val="0012195F"/>
    <w:rsid w:val="00135713"/>
    <w:rsid w:val="00152A08"/>
    <w:rsid w:val="00156D55"/>
    <w:rsid w:val="00165C82"/>
    <w:rsid w:val="001969B8"/>
    <w:rsid w:val="001E6887"/>
    <w:rsid w:val="001F0FAB"/>
    <w:rsid w:val="001F47B0"/>
    <w:rsid w:val="00207D73"/>
    <w:rsid w:val="00207EAF"/>
    <w:rsid w:val="00214F57"/>
    <w:rsid w:val="002220E1"/>
    <w:rsid w:val="002249CE"/>
    <w:rsid w:val="002450DF"/>
    <w:rsid w:val="00260866"/>
    <w:rsid w:val="00272D31"/>
    <w:rsid w:val="00277B17"/>
    <w:rsid w:val="00286284"/>
    <w:rsid w:val="002945FC"/>
    <w:rsid w:val="003032A4"/>
    <w:rsid w:val="003137C2"/>
    <w:rsid w:val="00350DE3"/>
    <w:rsid w:val="0038062B"/>
    <w:rsid w:val="00395216"/>
    <w:rsid w:val="00397C3E"/>
    <w:rsid w:val="003A5460"/>
    <w:rsid w:val="003D5CB6"/>
    <w:rsid w:val="00414C04"/>
    <w:rsid w:val="00415AC2"/>
    <w:rsid w:val="00451638"/>
    <w:rsid w:val="004C0368"/>
    <w:rsid w:val="004D046E"/>
    <w:rsid w:val="004E358E"/>
    <w:rsid w:val="0050350D"/>
    <w:rsid w:val="00506351"/>
    <w:rsid w:val="0052032D"/>
    <w:rsid w:val="00523878"/>
    <w:rsid w:val="0056730E"/>
    <w:rsid w:val="005D55B1"/>
    <w:rsid w:val="005D7751"/>
    <w:rsid w:val="005F3344"/>
    <w:rsid w:val="006336F5"/>
    <w:rsid w:val="006410F1"/>
    <w:rsid w:val="00657C49"/>
    <w:rsid w:val="00661DB7"/>
    <w:rsid w:val="0066530C"/>
    <w:rsid w:val="00670BD0"/>
    <w:rsid w:val="00676316"/>
    <w:rsid w:val="00677B94"/>
    <w:rsid w:val="006A659D"/>
    <w:rsid w:val="006B1DF9"/>
    <w:rsid w:val="006B4A5B"/>
    <w:rsid w:val="006E5FEF"/>
    <w:rsid w:val="006F4C9F"/>
    <w:rsid w:val="007037FB"/>
    <w:rsid w:val="0070719E"/>
    <w:rsid w:val="00722EBC"/>
    <w:rsid w:val="00732307"/>
    <w:rsid w:val="0077352B"/>
    <w:rsid w:val="00776F87"/>
    <w:rsid w:val="007868A4"/>
    <w:rsid w:val="0079605C"/>
    <w:rsid w:val="007B052B"/>
    <w:rsid w:val="007D24B3"/>
    <w:rsid w:val="007D6E83"/>
    <w:rsid w:val="00820F68"/>
    <w:rsid w:val="00840640"/>
    <w:rsid w:val="008420AE"/>
    <w:rsid w:val="0085304C"/>
    <w:rsid w:val="008601D2"/>
    <w:rsid w:val="00875239"/>
    <w:rsid w:val="008856F6"/>
    <w:rsid w:val="008A030E"/>
    <w:rsid w:val="008A456C"/>
    <w:rsid w:val="008C1558"/>
    <w:rsid w:val="008F3DE4"/>
    <w:rsid w:val="0093172C"/>
    <w:rsid w:val="00952DAF"/>
    <w:rsid w:val="00971833"/>
    <w:rsid w:val="00984785"/>
    <w:rsid w:val="009B13DF"/>
    <w:rsid w:val="009B2B25"/>
    <w:rsid w:val="009E59BB"/>
    <w:rsid w:val="00A177C2"/>
    <w:rsid w:val="00A20238"/>
    <w:rsid w:val="00A2274A"/>
    <w:rsid w:val="00A27AF9"/>
    <w:rsid w:val="00A42212"/>
    <w:rsid w:val="00A46419"/>
    <w:rsid w:val="00A647DF"/>
    <w:rsid w:val="00AA67A9"/>
    <w:rsid w:val="00AC4F33"/>
    <w:rsid w:val="00AE711B"/>
    <w:rsid w:val="00B14181"/>
    <w:rsid w:val="00B27B8E"/>
    <w:rsid w:val="00B308B9"/>
    <w:rsid w:val="00B30A14"/>
    <w:rsid w:val="00B4585D"/>
    <w:rsid w:val="00B74AB0"/>
    <w:rsid w:val="00B839B4"/>
    <w:rsid w:val="00B84BB1"/>
    <w:rsid w:val="00BA28A8"/>
    <w:rsid w:val="00BB0EAC"/>
    <w:rsid w:val="00BB7B68"/>
    <w:rsid w:val="00BC1AEA"/>
    <w:rsid w:val="00BE03E3"/>
    <w:rsid w:val="00BE12B5"/>
    <w:rsid w:val="00BE49B1"/>
    <w:rsid w:val="00C140E5"/>
    <w:rsid w:val="00C20D04"/>
    <w:rsid w:val="00C304AB"/>
    <w:rsid w:val="00C341F3"/>
    <w:rsid w:val="00C47C5F"/>
    <w:rsid w:val="00C90367"/>
    <w:rsid w:val="00CC490A"/>
    <w:rsid w:val="00CC4C9E"/>
    <w:rsid w:val="00CD25CD"/>
    <w:rsid w:val="00CF1697"/>
    <w:rsid w:val="00D03A7F"/>
    <w:rsid w:val="00D06DFF"/>
    <w:rsid w:val="00D224E8"/>
    <w:rsid w:val="00D55B0A"/>
    <w:rsid w:val="00D7564B"/>
    <w:rsid w:val="00DA449E"/>
    <w:rsid w:val="00DA4C16"/>
    <w:rsid w:val="00DE23D1"/>
    <w:rsid w:val="00DE4640"/>
    <w:rsid w:val="00DE4D75"/>
    <w:rsid w:val="00E26AB3"/>
    <w:rsid w:val="00E41E08"/>
    <w:rsid w:val="00E5701F"/>
    <w:rsid w:val="00E60303"/>
    <w:rsid w:val="00E610F2"/>
    <w:rsid w:val="00E70BFA"/>
    <w:rsid w:val="00E92B33"/>
    <w:rsid w:val="00EA567E"/>
    <w:rsid w:val="00EB5162"/>
    <w:rsid w:val="00EC1467"/>
    <w:rsid w:val="00EC70AA"/>
    <w:rsid w:val="00ED4F11"/>
    <w:rsid w:val="00EE4A7C"/>
    <w:rsid w:val="00F10D2F"/>
    <w:rsid w:val="00F178C9"/>
    <w:rsid w:val="00F36389"/>
    <w:rsid w:val="00F65960"/>
    <w:rsid w:val="00F83403"/>
    <w:rsid w:val="00FA3F73"/>
    <w:rsid w:val="00FB0C4F"/>
    <w:rsid w:val="00F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7BACE"/>
  <w15:docId w15:val="{1E53DEE6-4E83-CF40-AF26-B38EFC7E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71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E72EF6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72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2EF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il">
    <w:name w:val="il"/>
    <w:basedOn w:val="DefaultParagraphFont"/>
    <w:rsid w:val="00E72EF6"/>
  </w:style>
  <w:style w:type="character" w:customStyle="1" w:styleId="gi">
    <w:name w:val="gi"/>
    <w:basedOn w:val="DefaultParagraphFont"/>
    <w:rsid w:val="00E72EF6"/>
  </w:style>
  <w:style w:type="paragraph" w:styleId="Revision">
    <w:name w:val="Revision"/>
    <w:hidden/>
    <w:uiPriority w:val="99"/>
    <w:semiHidden/>
    <w:rsid w:val="00E72EF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6BC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6BC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6BC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A6BC1"/>
    <w:rPr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E771B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E3C85"/>
  </w:style>
  <w:style w:type="character" w:styleId="UnresolvedMention">
    <w:name w:val="Unresolved Mention"/>
    <w:basedOn w:val="DefaultParagraphFont"/>
    <w:uiPriority w:val="99"/>
    <w:semiHidden/>
    <w:unhideWhenUsed/>
    <w:rsid w:val="004539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379B"/>
    <w:pPr>
      <w:spacing w:before="100" w:beforeAutospacing="1" w:after="100" w:afterAutospacing="1"/>
    </w:pPr>
    <w:rPr>
      <w:lang w:val="en-SG"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E92B3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55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tp.ncbi.nlm.nih.gov/refseq/H_sapiens/annotation/GRCh38_latest/refseq_identifiers/GRCh38_latest_genomic.fna.gz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ftp.ensembl.org/pub/release-108/gtf/homo_sapiens/Homo_sapiens.GRCh38.108.gtf.gz" TargetMode="External"/><Relationship Id="rId4" Type="http://schemas.openxmlformats.org/officeDocument/2006/relationships/styles" Target="styles.xml"/><Relationship Id="rId9" Type="http://schemas.openxmlformats.org/officeDocument/2006/relationships/hyperlink" Target="https://ftp.ncbi.nlm.nih.gov/blast/executables/LATEST/ncbi-blast-2.13.0+.d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X+tEXl3MvmcqKBVFoQdvv9i2cA==">AMUW2mVb+fzWQVrS0o0t+3qg4s/bZ1DIHCjGecm6BVyitwzUGt5FH5ixoku3tXw2uNbHsw4OkFz3Y/btwmrdefWq0tYI+6ymZdyY/QuJ/5FvIcRZ5JimYY0=</go:docsCustomData>
</go:gDocsCustomXmlDataStorage>
</file>

<file path=customXml/itemProps1.xml><?xml version="1.0" encoding="utf-8"?>
<ds:datastoreItem xmlns:ds="http://schemas.openxmlformats.org/officeDocument/2006/customXml" ds:itemID="{499CCBB6-1E87-1C41-8C50-C88045299D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Pigini</dc:creator>
  <cp:lastModifiedBy>Paolo Pigini</cp:lastModifiedBy>
  <cp:revision>49</cp:revision>
  <cp:lastPrinted>2023-02-08T01:04:00Z</cp:lastPrinted>
  <dcterms:created xsi:type="dcterms:W3CDTF">2023-02-08T01:04:00Z</dcterms:created>
  <dcterms:modified xsi:type="dcterms:W3CDTF">2023-04-05T08:54:00Z</dcterms:modified>
</cp:coreProperties>
</file>