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rFonts w:eastAsia="Calibri"/>
          <w:sz w:val="28"/>
          <w:szCs w:val="28"/>
        </w:rPr>
      </w:pPr>
      <w:r>
        <w:drawing>
          <wp:anchor distT="0" distB="0" distL="0" distR="0" simplePos="0" relativeHeight="2" behindDoc="0" locked="0" layoutInCell="1" allowOverlap="1">
            <wp:simplePos x="0" y="0"/>
            <wp:positionH relativeFrom="column">
              <wp:posOffset>-981075</wp:posOffset>
            </wp:positionH>
            <wp:positionV relativeFrom="paragraph">
              <wp:posOffset>-660400</wp:posOffset>
            </wp:positionV>
            <wp:extent cx="7529830" cy="10692130"/>
            <wp:effectExtent l="0" t="0" r="0" b="0"/>
            <wp:wrapNone/>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tretch>
                      <a:fillRect/>
                    </a:stretch>
                  </pic:blipFill>
                  <pic:spPr bwMode="auto">
                    <a:xfrm>
                      <a:off x="0" y="0"/>
                      <a:ext cx="7529830" cy="10692130"/>
                    </a:xfrm>
                    <a:prstGeom prst="rect">
                      <a:avLst/>
                    </a:prstGeom>
                    <a:noFill/>
                  </pic:spPr>
                </pic:pic>
              </a:graphicData>
            </a:graphic>
          </wp:anchor>
        </w:drawing>
      </w:r>
      <w:r>
        <w:rPr>
          <w:rFonts w:eastAsia="Calibri"/>
          <w:sz w:val="28"/>
          <w:szCs w:val="28"/>
        </w:rPr>
        <w:t>Министерство науки и высшего образования РФ</w:t>
      </w:r>
    </w:p>
    <w:p>
      <w:pPr>
        <w:pStyle w:val="Normal"/>
        <w:widowControl/>
        <w:jc w:val="center"/>
        <w:rPr>
          <w:rFonts w:eastAsia="Calibri"/>
          <w:sz w:val="28"/>
          <w:szCs w:val="28"/>
        </w:rPr>
      </w:pPr>
      <w:r>
        <w:rPr>
          <w:rFonts w:eastAsia="Calibri"/>
          <w:sz w:val="28"/>
          <w:szCs w:val="28"/>
        </w:rPr>
        <w:t xml:space="preserve">Федеральное государственное автономное образовательное учреждение </w:t>
        <w:br/>
        <w:t>высшего образования</w:t>
      </w:r>
    </w:p>
    <w:p>
      <w:pPr>
        <w:pStyle w:val="Normal"/>
        <w:widowControl/>
        <w:jc w:val="center"/>
        <w:rPr>
          <w:rFonts w:eastAsia="Calibri"/>
          <w:sz w:val="28"/>
          <w:szCs w:val="28"/>
        </w:rPr>
      </w:pPr>
      <w:r>
        <w:rPr>
          <w:rFonts w:eastAsia="Calibri"/>
          <w:sz w:val="28"/>
          <w:szCs w:val="28"/>
        </w:rPr>
        <w:t xml:space="preserve">«ОМСКИЙ ГОСУДАРСТВЕННЫЙ ТЕХНИЧЕСКИЙ УНИВЕРСИТЕТ» </w:t>
      </w:r>
    </w:p>
    <w:p>
      <w:pPr>
        <w:pStyle w:val="Normal"/>
        <w:widowControl/>
        <w:jc w:val="center"/>
        <w:rPr>
          <w:rFonts w:eastAsia="Calibri"/>
          <w:sz w:val="28"/>
          <w:szCs w:val="28"/>
        </w:rPr>
      </w:pPr>
      <w:r>
        <w:rPr>
          <w:rFonts w:eastAsia="Calibri"/>
          <w:sz w:val="28"/>
          <w:szCs w:val="28"/>
        </w:rPr>
        <w:t>Кафедра «История, философия и социальные коммуникации»</w:t>
      </w:r>
    </w:p>
    <w:p>
      <w:pPr>
        <w:pStyle w:val="Normal"/>
        <w:widowControl/>
        <w:spacing w:lineRule="auto" w:line="276" w:before="0" w:after="200"/>
        <w:jc w:val="center"/>
        <w:rPr>
          <w:rFonts w:eastAsia="Calibri"/>
          <w:sz w:val="28"/>
          <w:szCs w:val="28"/>
        </w:rPr>
      </w:pPr>
      <w:r>
        <w:rPr>
          <w:rFonts w:eastAsia="Calibri"/>
          <w:sz w:val="28"/>
          <w:szCs w:val="28"/>
        </w:rPr>
      </w:r>
    </w:p>
    <w:p>
      <w:pPr>
        <w:pStyle w:val="Normal"/>
        <w:widowControl/>
        <w:spacing w:lineRule="auto" w:line="276" w:before="0" w:after="200"/>
        <w:jc w:val="center"/>
        <w:rPr>
          <w:rFonts w:eastAsia="Calibri"/>
          <w:sz w:val="28"/>
          <w:szCs w:val="28"/>
        </w:rPr>
      </w:pPr>
      <w:r>
        <w:rPr>
          <w:rFonts w:eastAsia="Calibri"/>
          <w:sz w:val="28"/>
          <w:szCs w:val="28"/>
        </w:rPr>
      </w:r>
    </w:p>
    <w:p>
      <w:pPr>
        <w:pStyle w:val="Normal"/>
        <w:widowControl/>
        <w:spacing w:lineRule="auto" w:line="276" w:before="0" w:after="200"/>
        <w:jc w:val="center"/>
        <w:rPr>
          <w:rFonts w:eastAsia="Calibri"/>
          <w:sz w:val="28"/>
          <w:szCs w:val="28"/>
        </w:rPr>
      </w:pPr>
      <w:r>
        <w:rPr>
          <w:rFonts w:eastAsia="Calibri"/>
          <w:sz w:val="28"/>
          <w:szCs w:val="28"/>
        </w:rPr>
      </w:r>
    </w:p>
    <w:p>
      <w:pPr>
        <w:pStyle w:val="Normal"/>
        <w:widowControl/>
        <w:spacing w:lineRule="auto" w:line="276" w:before="0" w:after="200"/>
        <w:jc w:val="center"/>
        <w:rPr>
          <w:rFonts w:eastAsia="Calibri"/>
          <w:sz w:val="28"/>
          <w:szCs w:val="28"/>
        </w:rPr>
      </w:pPr>
      <w:r>
        <w:rPr>
          <w:rFonts w:eastAsia="Calibri"/>
          <w:sz w:val="28"/>
          <w:szCs w:val="28"/>
        </w:rPr>
      </w:r>
    </w:p>
    <w:p>
      <w:pPr>
        <w:pStyle w:val="Normal"/>
        <w:widowControl/>
        <w:rPr>
          <w:b/>
          <w:sz w:val="28"/>
          <w:szCs w:val="28"/>
          <w:lang w:eastAsia="ru-RU"/>
        </w:rPr>
      </w:pPr>
      <w:r>
        <w:rPr>
          <w:b/>
          <w:sz w:val="28"/>
          <w:szCs w:val="28"/>
          <w:lang w:eastAsia="ru-RU"/>
        </w:rPr>
      </w:r>
    </w:p>
    <w:p>
      <w:pPr>
        <w:pStyle w:val="Normal"/>
        <w:widowControl/>
        <w:jc w:val="center"/>
        <w:rPr>
          <w:b/>
          <w:sz w:val="28"/>
          <w:szCs w:val="28"/>
          <w:lang w:eastAsia="ru-RU"/>
        </w:rPr>
      </w:pPr>
      <w:r>
        <w:rPr>
          <w:b/>
          <w:sz w:val="28"/>
          <w:szCs w:val="28"/>
          <w:lang w:eastAsia="ru-RU"/>
        </w:rPr>
        <w:t>ДОМАШНЕЕ ЗАДАНИЕ</w:t>
      </w:r>
    </w:p>
    <w:p>
      <w:pPr>
        <w:pStyle w:val="Normal"/>
        <w:widowControl/>
        <w:jc w:val="center"/>
        <w:rPr>
          <w:sz w:val="28"/>
          <w:szCs w:val="28"/>
          <w:lang w:eastAsia="ru-RU"/>
        </w:rPr>
      </w:pPr>
      <w:r>
        <w:rPr>
          <w:sz w:val="28"/>
          <w:szCs w:val="28"/>
          <w:lang w:eastAsia="ru-RU"/>
        </w:rPr>
        <w:t>по дисциплине</w:t>
      </w:r>
    </w:p>
    <w:p>
      <w:pPr>
        <w:pStyle w:val="Normal"/>
        <w:widowControl/>
        <w:jc w:val="center"/>
        <w:rPr>
          <w:sz w:val="28"/>
          <w:szCs w:val="28"/>
          <w:lang w:eastAsia="ru-RU"/>
        </w:rPr>
      </w:pPr>
      <w:r>
        <w:rPr>
          <w:sz w:val="28"/>
          <w:szCs w:val="28"/>
          <w:lang w:eastAsia="ru-RU"/>
        </w:rPr>
      </w:r>
    </w:p>
    <w:p>
      <w:pPr>
        <w:pStyle w:val="Normal"/>
        <w:widowControl/>
        <w:jc w:val="center"/>
        <w:rPr>
          <w:sz w:val="28"/>
          <w:szCs w:val="28"/>
          <w:lang w:eastAsia="ru-RU"/>
        </w:rPr>
      </w:pPr>
      <w:r>
        <w:rPr>
          <w:sz w:val="28"/>
          <w:szCs w:val="28"/>
          <w:lang w:eastAsia="ru-RU"/>
        </w:rPr>
        <w:t>«ИСТОРИЯ РОССИИ»</w:t>
      </w:r>
    </w:p>
    <w:p>
      <w:pPr>
        <w:pStyle w:val="Normal"/>
        <w:widowControl/>
        <w:jc w:val="center"/>
        <w:rPr>
          <w:sz w:val="28"/>
          <w:szCs w:val="28"/>
          <w:lang w:eastAsia="ru-RU"/>
        </w:rPr>
      </w:pPr>
      <w:r>
        <w:rPr>
          <w:sz w:val="28"/>
          <w:szCs w:val="28"/>
          <w:lang w:eastAsia="ru-RU"/>
        </w:rPr>
      </w:r>
    </w:p>
    <w:p>
      <w:pPr>
        <w:pStyle w:val="Normal"/>
        <w:widowControl/>
        <w:rPr>
          <w:sz w:val="28"/>
          <w:szCs w:val="28"/>
          <w:lang w:eastAsia="ru-RU"/>
        </w:rPr>
      </w:pPr>
      <w:r>
        <w:rPr>
          <w:sz w:val="28"/>
          <w:szCs w:val="28"/>
          <w:lang w:eastAsia="ru-RU"/>
        </w:rPr>
      </w:r>
    </w:p>
    <w:p>
      <w:pPr>
        <w:pStyle w:val="Normal"/>
        <w:widowControl/>
        <w:rPr>
          <w:sz w:val="28"/>
          <w:szCs w:val="28"/>
          <w:lang w:eastAsia="ru-RU"/>
        </w:rPr>
      </w:pPr>
      <w:r>
        <w:rPr>
          <w:sz w:val="28"/>
          <w:szCs w:val="28"/>
          <w:lang w:eastAsia="ru-RU"/>
        </w:rPr>
      </w:r>
    </w:p>
    <w:p>
      <w:pPr>
        <w:pStyle w:val="Normal"/>
        <w:widowControl/>
        <w:spacing w:lineRule="auto" w:line="360"/>
        <w:rPr>
          <w:sz w:val="28"/>
          <w:szCs w:val="28"/>
          <w:lang w:eastAsia="ru-RU"/>
        </w:rPr>
      </w:pPr>
      <w:r>
        <w:rPr>
          <w:sz w:val="28"/>
          <w:szCs w:val="28"/>
          <w:lang w:eastAsia="ru-RU"/>
        </w:rPr>
        <w:t>Студента Шмидт Антона Владиславовича</w:t>
      </w:r>
    </w:p>
    <w:p>
      <w:pPr>
        <w:pStyle w:val="Normal"/>
        <w:widowControl/>
        <w:spacing w:lineRule="auto" w:line="360"/>
        <w:rPr>
          <w:sz w:val="28"/>
          <w:szCs w:val="28"/>
          <w:lang w:eastAsia="ru-RU"/>
        </w:rPr>
      </w:pPr>
      <w:r>
        <w:rPr>
          <w:sz w:val="28"/>
          <w:szCs w:val="28"/>
          <w:lang w:eastAsia="ru-RU"/>
        </w:rPr>
        <w:t>Группы ИВТ-244</w:t>
      </w:r>
    </w:p>
    <w:p>
      <w:pPr>
        <w:pStyle w:val="Normal"/>
        <w:widowControl/>
        <w:spacing w:lineRule="auto" w:line="360"/>
        <w:rPr>
          <w:sz w:val="28"/>
          <w:szCs w:val="28"/>
          <w:lang w:eastAsia="ru-RU"/>
        </w:rPr>
      </w:pPr>
      <w:r>
        <w:rPr>
          <w:sz w:val="28"/>
          <w:szCs w:val="28"/>
          <w:lang w:eastAsia="ru-RU"/>
        </w:rPr>
        <w:t>Факультета информационных технологий и компьютерных систем</w:t>
      </w:r>
    </w:p>
    <w:p>
      <w:pPr>
        <w:pStyle w:val="Normal"/>
        <w:widowControl/>
        <w:spacing w:lineRule="auto" w:line="360"/>
        <w:jc w:val="both"/>
        <w:rPr>
          <w:bCs/>
          <w:sz w:val="28"/>
          <w:szCs w:val="28"/>
          <w:lang w:eastAsia="ru-RU"/>
        </w:rPr>
      </w:pPr>
      <w:r>
        <w:rPr>
          <w:sz w:val="28"/>
          <w:szCs w:val="28"/>
          <w:lang w:eastAsia="ru-RU"/>
        </w:rPr>
        <w:t xml:space="preserve">Направление подготовки бакалавров: </w:t>
      </w:r>
      <w:r>
        <w:rPr>
          <w:bCs/>
          <w:sz w:val="28"/>
          <w:szCs w:val="28"/>
          <w:lang w:eastAsia="ru-RU"/>
        </w:rPr>
        <w:t>09.03.01 «Информатика и вычислительная техника»</w:t>
      </w:r>
    </w:p>
    <w:p>
      <w:pPr>
        <w:pStyle w:val="Normal"/>
        <w:widowControl/>
        <w:spacing w:lineRule="auto" w:line="360"/>
        <w:rPr>
          <w:sz w:val="28"/>
          <w:szCs w:val="28"/>
          <w:lang w:eastAsia="ru-RU"/>
        </w:rPr>
      </w:pPr>
      <w:r>
        <w:rPr>
          <w:sz w:val="28"/>
          <w:szCs w:val="28"/>
          <w:lang w:eastAsia="ru-RU"/>
        </w:rPr>
      </w:r>
    </w:p>
    <w:p>
      <w:pPr>
        <w:pStyle w:val="Normal"/>
        <w:widowControl/>
        <w:spacing w:lineRule="auto" w:line="360"/>
        <w:ind w:firstLine="708" w:start="3540"/>
        <w:jc w:val="both"/>
        <w:rPr>
          <w:rFonts w:eastAsia="Calibri"/>
          <w:sz w:val="28"/>
          <w:szCs w:val="28"/>
        </w:rPr>
      </w:pPr>
      <w:r>
        <w:rPr>
          <w:rFonts w:eastAsia="Calibri"/>
          <w:sz w:val="28"/>
          <w:szCs w:val="28"/>
        </w:rPr>
      </w:r>
    </w:p>
    <w:p>
      <w:pPr>
        <w:pStyle w:val="Normal"/>
        <w:widowControl/>
        <w:spacing w:lineRule="auto" w:line="360"/>
        <w:ind w:firstLine="708" w:start="3540"/>
        <w:jc w:val="both"/>
        <w:rPr>
          <w:rFonts w:eastAsia="Calibri"/>
          <w:sz w:val="28"/>
          <w:szCs w:val="28"/>
        </w:rPr>
      </w:pPr>
      <w:r>
        <w:rPr>
          <w:rFonts w:eastAsia="Calibri"/>
          <w:sz w:val="28"/>
          <w:szCs w:val="28"/>
        </w:rPr>
      </w:r>
    </w:p>
    <w:p>
      <w:pPr>
        <w:pStyle w:val="Normal"/>
        <w:widowControl/>
        <w:spacing w:lineRule="auto" w:line="360"/>
        <w:ind w:hanging="5" w:start="5954"/>
        <w:jc w:val="both"/>
        <w:rPr>
          <w:rFonts w:eastAsia="Calibri"/>
          <w:sz w:val="28"/>
          <w:szCs w:val="28"/>
        </w:rPr>
      </w:pPr>
      <w:r>
        <w:rPr>
          <w:rFonts w:eastAsia="Calibri"/>
          <w:sz w:val="28"/>
          <w:szCs w:val="28"/>
        </w:rPr>
        <w:t xml:space="preserve">Работу проверила: </w:t>
      </w:r>
    </w:p>
    <w:p>
      <w:pPr>
        <w:pStyle w:val="Normal"/>
        <w:widowControl/>
        <w:spacing w:lineRule="auto" w:line="360"/>
        <w:ind w:hanging="5" w:start="5954"/>
        <w:jc w:val="both"/>
        <w:rPr>
          <w:rFonts w:eastAsia="Calibri"/>
          <w:sz w:val="28"/>
          <w:szCs w:val="28"/>
        </w:rPr>
      </w:pPr>
      <w:r>
        <w:rPr>
          <w:rFonts w:eastAsia="Calibri"/>
          <w:sz w:val="28"/>
          <w:szCs w:val="28"/>
        </w:rPr>
        <w:t>Носова М.С.</w:t>
      </w:r>
    </w:p>
    <w:p>
      <w:pPr>
        <w:pStyle w:val="Normal"/>
        <w:widowControl/>
        <w:spacing w:lineRule="auto" w:line="360"/>
        <w:ind w:hanging="5" w:start="5954"/>
        <w:jc w:val="both"/>
        <w:rPr>
          <w:rFonts w:eastAsia="Calibri"/>
          <w:sz w:val="28"/>
          <w:szCs w:val="28"/>
        </w:rPr>
      </w:pPr>
      <w:r>
        <w:rPr>
          <w:rFonts w:eastAsia="Calibri"/>
          <w:sz w:val="28"/>
          <w:szCs w:val="28"/>
        </w:rPr>
        <w:t>канд. ист. наук</w:t>
      </w:r>
    </w:p>
    <w:p>
      <w:pPr>
        <w:pStyle w:val="Normal"/>
        <w:widowControl/>
        <w:spacing w:lineRule="auto" w:line="360" w:before="0" w:after="200"/>
        <w:jc w:val="both"/>
        <w:rPr>
          <w:rFonts w:eastAsia="Calibri"/>
          <w:sz w:val="28"/>
          <w:szCs w:val="28"/>
        </w:rPr>
      </w:pPr>
      <w:r>
        <w:rPr>
          <w:rFonts w:eastAsia="Calibri"/>
          <w:sz w:val="28"/>
          <w:szCs w:val="28"/>
        </w:rPr>
        <w:t xml:space="preserve">                                                        </w:t>
      </w:r>
    </w:p>
    <w:p>
      <w:pPr>
        <w:pStyle w:val="Normal"/>
        <w:widowControl/>
        <w:spacing w:lineRule="auto" w:line="276" w:before="0" w:after="200"/>
        <w:rPr>
          <w:rFonts w:eastAsia="Calibri"/>
          <w:sz w:val="28"/>
          <w:szCs w:val="28"/>
        </w:rPr>
      </w:pPr>
      <w:r>
        <w:rPr>
          <w:rFonts w:eastAsia="Calibri"/>
          <w:sz w:val="28"/>
          <w:szCs w:val="28"/>
        </w:rPr>
      </w:r>
    </w:p>
    <w:p>
      <w:pPr>
        <w:pStyle w:val="Normal"/>
        <w:widowControl/>
        <w:spacing w:lineRule="auto" w:line="276" w:before="0" w:after="200"/>
        <w:rPr>
          <w:rFonts w:eastAsia="Calibri"/>
          <w:sz w:val="28"/>
          <w:szCs w:val="28"/>
        </w:rPr>
      </w:pPr>
      <w:r>
        <w:rPr>
          <w:rFonts w:eastAsia="Calibri"/>
          <w:sz w:val="28"/>
          <w:szCs w:val="28"/>
        </w:rPr>
      </w:r>
    </w:p>
    <w:p>
      <w:pPr>
        <w:pStyle w:val="Normal"/>
        <w:widowControl/>
        <w:spacing w:lineRule="auto" w:line="276" w:before="0" w:after="200"/>
        <w:jc w:val="center"/>
        <w:rPr>
          <w:rFonts w:eastAsia="Calibri"/>
          <w:sz w:val="28"/>
          <w:szCs w:val="28"/>
        </w:rPr>
      </w:pPr>
      <w:r>
        <w:rPr>
          <w:rFonts w:eastAsia="Calibri"/>
          <w:sz w:val="28"/>
          <w:szCs w:val="28"/>
        </w:rPr>
        <w:t>Омск 2026</w:t>
      </w:r>
      <w:r>
        <w:br w:type="page"/>
      </w:r>
    </w:p>
    <w:p>
      <w:pPr>
        <w:pStyle w:val="BodyText"/>
        <w:widowControl w:val="false"/>
        <w:bidi w:val="0"/>
        <w:spacing w:lineRule="auto" w:line="360" w:before="0" w:after="0"/>
        <w:ind w:hanging="0" w:start="170" w:end="0"/>
        <w:jc w:val="center"/>
        <w:rPr>
          <w:b/>
        </w:rPr>
      </w:pPr>
      <w:r>
        <w:rPr>
          <w:b/>
        </w:rPr>
        <w:t>Доклад</w:t>
      </w:r>
    </w:p>
    <w:p>
      <w:pPr>
        <w:pStyle w:val="BodyText"/>
        <w:widowControl w:val="false"/>
        <w:bidi w:val="0"/>
        <w:spacing w:lineRule="auto" w:line="360" w:before="0" w:after="0"/>
        <w:ind w:hanging="0" w:start="170" w:end="0"/>
        <w:jc w:val="center"/>
        <w:rPr>
          <w:b/>
        </w:rPr>
      </w:pPr>
      <w:r>
        <w:rPr>
          <w:b/>
        </w:rPr>
        <w:t>на тему «Потери СССР в годы Великой Отечественной войны: современные оценки»</w:t>
      </w:r>
    </w:p>
    <w:p>
      <w:pPr>
        <w:pStyle w:val="Heading1"/>
        <w:widowControl w:val="false"/>
        <w:bidi w:val="0"/>
        <w:spacing w:before="72" w:after="0"/>
        <w:ind w:hanging="0" w:start="170" w:end="0"/>
        <w:jc w:val="center"/>
        <w:rPr/>
      </w:pPr>
      <w:bookmarkStart w:id="0" w:name="__RefHeading___Toc13305_531594522"/>
      <w:bookmarkStart w:id="1" w:name="_Toc216990937"/>
      <w:bookmarkEnd w:id="0"/>
      <w:r>
        <w:rPr/>
        <w:t>Введение</w:t>
      </w:r>
      <w:bookmarkEnd w:id="1"/>
    </w:p>
    <w:p>
      <w:pPr>
        <w:pStyle w:val="BodyText"/>
        <w:spacing w:lineRule="auto" w:line="360"/>
        <w:ind w:firstLine="580" w:start="140"/>
        <w:jc w:val="both"/>
        <w:rPr/>
      </w:pPr>
      <w:r>
        <w:rPr/>
        <w:t>Великая Отечественная война 1941–1945 годов стала величайшим испытанием в истории нашей страны, оставив глубокий след в судьбе практически каждой семьи. Вопрос о цене Победы и масштабах человеческих жертв на протяжении десятилетий находился в центре внимания не только профессиональных историков и демографов, но и широкой общественности. Долгое время точные цифры оставались предметом идеологических дискуссий, а официальные данные неоднократно пересматривались.</w:t>
      </w:r>
    </w:p>
    <w:p>
      <w:pPr>
        <w:pStyle w:val="BodyText"/>
        <w:spacing w:lineRule="auto" w:line="360"/>
        <w:ind w:firstLine="580" w:start="140"/>
        <w:jc w:val="both"/>
        <w:rPr/>
      </w:pPr>
      <w:r>
        <w:rPr/>
        <w:t>Актуальность данной темы обусловлена необходимостью сохранения исторической памяти и противодействия попыткам фальсификации истории. В современном научном дискурсе акцент сместился с простых арифметических подсчетов на комплексный анализ демографических процессов, что позволяет более полно оценить масштаб трагедии, постигшей народы СССР.</w:t>
      </w:r>
    </w:p>
    <w:p>
      <w:pPr>
        <w:pStyle w:val="Heading1"/>
        <w:widowControl w:val="false"/>
        <w:bidi w:val="0"/>
        <w:spacing w:before="72" w:after="0"/>
        <w:ind w:hanging="0" w:start="170" w:end="0"/>
        <w:jc w:val="center"/>
        <w:rPr/>
      </w:pPr>
      <w:bookmarkStart w:id="2" w:name="__RefHeading___Toc13307_531594522"/>
      <w:bookmarkStart w:id="3" w:name="_Toc216990938"/>
      <w:bookmarkEnd w:id="2"/>
      <w:r>
        <w:rPr/>
        <w:t>Цель работы</w:t>
      </w:r>
      <w:bookmarkEnd w:id="3"/>
    </w:p>
    <w:p>
      <w:pPr>
        <w:pStyle w:val="BodyText"/>
        <w:spacing w:lineRule="auto" w:line="360"/>
        <w:ind w:firstLine="580" w:start="140"/>
        <w:jc w:val="both"/>
        <w:rPr/>
      </w:pPr>
      <w:r>
        <w:rPr/>
        <w:t>Цель данной работы — представить системный анализ современных оценок людских потерь СССР в годы Великой Отечественной войны, рассмотреть эволюцию официальных данных и выделить ключевые категории потерь (военных и гражданских), опираясь на актуальные исследования и документы Министерства обороны РФ и Российской академии наук.</w:t>
      </w:r>
    </w:p>
    <w:p>
      <w:pPr>
        <w:pStyle w:val="Normal"/>
        <w:rPr>
          <w:b/>
          <w:sz w:val="28"/>
          <w:szCs w:val="28"/>
        </w:rPr>
      </w:pPr>
      <w:r>
        <w:rPr>
          <w:b/>
          <w:sz w:val="28"/>
          <w:szCs w:val="28"/>
        </w:rPr>
      </w:r>
    </w:p>
    <w:sdt>
      <w:sdtPr>
        <w:docPartObj>
          <w:docPartGallery w:val="Table of Contents"/>
          <w:docPartUnique w:val="true"/>
        </w:docPartObj>
      </w:sdtPr>
      <w:sdtContent>
        <w:p>
          <w:pPr>
            <w:pStyle w:val="TOCHeading"/>
            <w:jc w:val="center"/>
            <w:rPr>
              <w:rFonts w:ascii="Times New Roman" w:hAnsi="Times New Roman"/>
              <w:b/>
              <w:bCs/>
              <w:color w:val="000000"/>
              <w:sz w:val="28"/>
              <w:szCs w:val="28"/>
            </w:rPr>
          </w:pPr>
          <w:r>
            <w:br w:type="page"/>
          </w:r>
          <w:r>
            <w:rPr>
              <w:rFonts w:ascii="Times New Roman" w:hAnsi="Times New Roman"/>
              <w:b/>
              <w:bCs/>
              <w:color w:val="000000"/>
              <w:sz w:val="28"/>
              <w:szCs w:val="28"/>
            </w:rPr>
            <w:t>Содержание</w:t>
          </w:r>
        </w:p>
        <w:p>
          <w:pPr>
            <w:pStyle w:val="TOC1"/>
            <w:tabs>
              <w:tab w:val="clear" w:pos="720"/>
              <w:tab w:val="right" w:pos="9638" w:leader="dot"/>
            </w:tabs>
            <w:rPr/>
          </w:pPr>
          <w:r>
            <w:fldChar w:fldCharType="begin"/>
          </w:r>
          <w:r>
            <w:rPr>
              <w:rStyle w:val="user"/>
              <w:color w:val="000000"/>
              <w:sz w:val="28"/>
              <w:szCs w:val="28"/>
            </w:rPr>
            <w:instrText xml:space="preserve"> TOC \o "1-3" \h</w:instrText>
          </w:r>
          <w:r>
            <w:rPr>
              <w:rStyle w:val="user"/>
              <w:color w:val="000000"/>
              <w:sz w:val="28"/>
              <w:szCs w:val="28"/>
            </w:rPr>
            <w:fldChar w:fldCharType="separate"/>
          </w:r>
          <w:r>
            <w:rPr>
              <w:rStyle w:val="user"/>
              <w:color w:val="000000"/>
              <w:sz w:val="28"/>
              <w:szCs w:val="28"/>
            </w:rPr>
            <w:t>Введение</w:t>
          </w:r>
          <w:r>
            <w:rPr>
              <w:color w:val="000000"/>
              <w:sz w:val="28"/>
              <w:szCs w:val="28"/>
            </w:rPr>
            <w:tab/>
            <w:t>2</w:t>
          </w:r>
        </w:p>
        <w:p>
          <w:pPr>
            <w:pStyle w:val="TOC1"/>
            <w:tabs>
              <w:tab w:val="clear" w:pos="720"/>
              <w:tab w:val="right" w:pos="9638" w:leader="dot"/>
            </w:tabs>
            <w:rPr/>
          </w:pPr>
          <w:r>
            <w:rPr>
              <w:color w:val="000000"/>
              <w:sz w:val="28"/>
              <w:szCs w:val="28"/>
            </w:rPr>
            <w:t>Цель работы</w:t>
            <w:tab/>
            <w:t>2</w:t>
          </w:r>
        </w:p>
        <w:p>
          <w:pPr>
            <w:pStyle w:val="TOC1"/>
            <w:tabs>
              <w:tab w:val="clear" w:pos="720"/>
              <w:tab w:val="right" w:pos="9638" w:leader="dot"/>
            </w:tabs>
            <w:rPr/>
          </w:pPr>
          <w:r>
            <w:rPr>
              <w:color w:val="000000"/>
              <w:sz w:val="28"/>
              <w:szCs w:val="28"/>
            </w:rPr>
            <w:t>Глава 1. Эволюция официальных данных о потерях: от Сталина до современности</w:t>
            <w:tab/>
            <w:t>4</w:t>
          </w:r>
        </w:p>
        <w:p>
          <w:pPr>
            <w:pStyle w:val="TOC1"/>
            <w:tabs>
              <w:tab w:val="clear" w:pos="720"/>
              <w:tab w:val="right" w:pos="9638" w:leader="dot"/>
            </w:tabs>
            <w:rPr/>
          </w:pPr>
          <w:r>
            <w:rPr>
              <w:color w:val="000000"/>
              <w:sz w:val="28"/>
              <w:szCs w:val="28"/>
            </w:rPr>
            <w:t>Глава 2. Методология подсчета: балансовый метод и поименные списки</w:t>
            <w:tab/>
            <w:t>5</w:t>
          </w:r>
        </w:p>
        <w:p>
          <w:pPr>
            <w:pStyle w:val="TOC1"/>
            <w:tabs>
              <w:tab w:val="clear" w:pos="720"/>
              <w:tab w:val="right" w:pos="9638" w:leader="dot"/>
            </w:tabs>
            <w:rPr/>
          </w:pPr>
          <w:r>
            <w:rPr>
              <w:color w:val="000000"/>
              <w:sz w:val="28"/>
              <w:szCs w:val="28"/>
            </w:rPr>
            <w:t>Глава 3. Безвозвратные потери Вооруженных Сил СССР</w:t>
            <w:tab/>
            <w:t>6</w:t>
          </w:r>
        </w:p>
        <w:p>
          <w:pPr>
            <w:pStyle w:val="TOC1"/>
            <w:tabs>
              <w:tab w:val="clear" w:pos="720"/>
              <w:tab w:val="right" w:pos="9638" w:leader="dot"/>
            </w:tabs>
            <w:rPr/>
          </w:pPr>
          <w:r>
            <w:rPr>
              <w:color w:val="000000"/>
              <w:sz w:val="28"/>
              <w:szCs w:val="28"/>
            </w:rPr>
            <w:t>Глава 4. Трагедия гражданского населения: категории и причины жертв</w:t>
            <w:tab/>
            <w:t>7</w:t>
          </w:r>
        </w:p>
        <w:p>
          <w:pPr>
            <w:pStyle w:val="TOC1"/>
            <w:tabs>
              <w:tab w:val="clear" w:pos="720"/>
              <w:tab w:val="right" w:pos="9638" w:leader="dot"/>
            </w:tabs>
            <w:rPr/>
          </w:pPr>
          <w:r>
            <w:rPr>
              <w:color w:val="000000"/>
              <w:sz w:val="28"/>
              <w:szCs w:val="28"/>
            </w:rPr>
            <w:t>Глава 5. Проблема советских военнопленных в современной историографии</w:t>
            <w:tab/>
            <w:t>8</w:t>
          </w:r>
        </w:p>
        <w:p>
          <w:pPr>
            <w:pStyle w:val="TOC1"/>
            <w:tabs>
              <w:tab w:val="clear" w:pos="720"/>
              <w:tab w:val="right" w:pos="9638" w:leader="dot"/>
            </w:tabs>
            <w:rPr/>
          </w:pPr>
          <w:r>
            <w:rPr>
              <w:color w:val="000000"/>
              <w:sz w:val="28"/>
              <w:szCs w:val="28"/>
            </w:rPr>
            <w:t>Глава 6. Демографическое эхо войны: долгосрочные последствия для страны</w:t>
            <w:tab/>
            <w:t>9</w:t>
          </w:r>
        </w:p>
        <w:p>
          <w:pPr>
            <w:pStyle w:val="TOC1"/>
            <w:tabs>
              <w:tab w:val="clear" w:pos="720"/>
              <w:tab w:val="right" w:pos="9638" w:leader="dot"/>
            </w:tabs>
            <w:rPr/>
          </w:pPr>
          <w:r>
            <w:rPr>
              <w:color w:val="000000"/>
              <w:sz w:val="28"/>
              <w:szCs w:val="28"/>
            </w:rPr>
            <w:t>Заключение</w:t>
            <w:tab/>
            <w:t>11</w:t>
          </w:r>
        </w:p>
        <w:p>
          <w:pPr>
            <w:pStyle w:val="TOC1"/>
            <w:tabs>
              <w:tab w:val="clear" w:pos="720"/>
              <w:tab w:val="right" w:pos="9638" w:leader="dot"/>
            </w:tabs>
            <w:rPr/>
          </w:pPr>
          <w:r>
            <w:rPr>
              <w:color w:val="000000"/>
              <w:sz w:val="28"/>
              <w:szCs w:val="28"/>
            </w:rPr>
            <w:t>Библиографический список</w:t>
            <w:tab/>
            <w:t>12</w:t>
          </w:r>
          <w:r>
            <w:rPr>
              <w:color w:val="000000"/>
              <w:sz w:val="28"/>
              <w:szCs w:val="28"/>
            </w:rPr>
            <w:fldChar w:fldCharType="end"/>
          </w:r>
        </w:p>
      </w:sdtContent>
    </w:sdt>
    <w:p>
      <w:pPr>
        <w:pStyle w:val="Normal"/>
        <w:rPr>
          <w:b/>
          <w:color w:val="000000"/>
          <w:spacing w:val="-2"/>
          <w:sz w:val="28"/>
          <w:szCs w:val="28"/>
        </w:rPr>
      </w:pPr>
      <w:r>
        <w:rPr>
          <w:b/>
          <w:color w:val="000000"/>
          <w:spacing w:val="-2"/>
          <w:sz w:val="28"/>
          <w:szCs w:val="28"/>
        </w:rPr>
      </w:r>
      <w:r>
        <w:br w:type="page"/>
      </w:r>
    </w:p>
    <w:p>
      <w:pPr>
        <w:pStyle w:val="Heading1"/>
        <w:widowControl w:val="false"/>
        <w:bidi w:val="0"/>
        <w:spacing w:before="0" w:after="0"/>
        <w:ind w:hanging="0" w:start="113" w:end="0"/>
        <w:jc w:val="center"/>
        <w:rPr/>
      </w:pPr>
      <w:bookmarkStart w:id="4" w:name="__RefHeading___Toc13309_531594522"/>
      <w:bookmarkStart w:id="5" w:name="_Toc216990939"/>
      <w:bookmarkEnd w:id="4"/>
      <w:r>
        <w:rPr/>
        <w:t xml:space="preserve">Глава 1. </w:t>
      </w:r>
      <w:bookmarkEnd w:id="5"/>
      <w:r>
        <w:rPr/>
        <w:t>Эволюция официальных данных о потерях: от Сталина до современности</w:t>
      </w:r>
    </w:p>
    <w:p>
      <w:pPr>
        <w:pStyle w:val="BodyText"/>
        <w:spacing w:lineRule="auto" w:line="360" w:before="95" w:after="0"/>
        <w:ind w:firstLine="710" w:start="140" w:end="144"/>
        <w:jc w:val="both"/>
        <w:rPr/>
      </w:pPr>
      <w:r>
        <w:rPr/>
        <w:t>Вопрос о численности людских потерь СССР в годы Великой Отечественной войны прошел сложный путь от намеренного занижения в угоду политической конъюнктуре до глубокого научного анализа. В отечественной истории выделяют три ключевых этапа трансформации этой цифры.</w:t>
      </w:r>
    </w:p>
    <w:p>
      <w:pPr>
        <w:pStyle w:val="BodyText"/>
        <w:spacing w:lineRule="auto" w:line="360" w:before="95" w:after="0"/>
        <w:ind w:firstLine="710" w:start="140" w:end="144"/>
        <w:jc w:val="both"/>
        <w:rPr/>
      </w:pPr>
      <w:r>
        <w:rPr/>
        <w:t>Первый этап связан с периодом правления И. В. Сталина. В марте 1946 года в интервью газете «Правда» лидер страны впервые официально озвучил цифру — 7 миллионов человек. По мнению современных историков, эта оценка была политически мотивирована: сталинское руководство стремилось скрыть истинный масштаб трагедии, чтобы не демонстрировать слабость государства перед началом Холодной войны и избежать социального шока внутри страны. Цифра «7 миллионов» примерно соответствовала потерям Германии, что создавало иллюзию сопоставимости издержек сторон.</w:t>
      </w:r>
    </w:p>
    <w:p>
      <w:pPr>
        <w:pStyle w:val="BodyText"/>
        <w:spacing w:lineRule="auto" w:line="360" w:before="95" w:after="0"/>
        <w:ind w:firstLine="710" w:start="140" w:end="144"/>
        <w:jc w:val="both"/>
        <w:rPr/>
      </w:pPr>
      <w:r>
        <w:rPr/>
        <w:t>Второй этап начался в годы хрущевской «оттепели». В 1961 году в письме премьер-министру Швеции Т. Эрландеру Н. С. Хрущев указал, что война унесла «более двух десятков миллионов жизней». Позже, при Л. И. Брежневе, цифра 20 миллионов стала официальным каноном, зафиксированным в учебниках и энциклопедиях. Пересмотр данных был частью политики десталинизации: новое руководство признало колоссальную цену Победы, однако детальных статистических выкладок и разделения на военные и гражданские потери в тот период не публиковалось.</w:t>
      </w:r>
    </w:p>
    <w:p>
      <w:pPr>
        <w:pStyle w:val="BodyText"/>
        <w:spacing w:lineRule="auto" w:line="360" w:before="95" w:after="0"/>
        <w:ind w:firstLine="710" w:start="140" w:end="144"/>
        <w:jc w:val="both"/>
        <w:rPr/>
      </w:pPr>
      <w:r>
        <w:rPr/>
        <w:t>Третий этап — современный — начался в годы Перестройки. В 1988 году по поручению ЦК КПСС была создана комплексная комиссия под руководством генерала М. А. Моисеева (позже работу продолжила группа Г. Ф. Кривошеева). Исследователи впервые получили доступ к закрытым архивам Генштаба и применили метод демографического баланса. В 1990 году на торжественном заседании, посвященном 45-летию Победы, была объявлена цифра 26,6 миллиона человек.</w:t>
      </w:r>
    </w:p>
    <w:p>
      <w:pPr>
        <w:pStyle w:val="BodyText"/>
        <w:spacing w:lineRule="auto" w:line="360" w:before="95" w:after="0"/>
        <w:ind w:firstLine="710" w:start="140" w:end="144"/>
        <w:jc w:val="both"/>
        <w:rPr/>
      </w:pPr>
      <w:r>
        <w:rPr/>
        <w:t>Данный показатель включает не только погибших на поле боя, но и мирных жителей, истребленных на оккупированных территориях, погибших в блокадах, угнанных в Германию, а также сверхсмертность от болезней и голода. На сегодняшний день цифра 26,6 млн остается наиболее обоснованной в научной среде. Несмотря на появляющиеся в последние годы в публицистике оценки в 41–42 млн, серьезное историческое сообщество придерживается данных комиссии Кривошеева, считая их результатом наиболее фундаментального и математически выверенного исследования.</w:t>
      </w:r>
    </w:p>
    <w:p>
      <w:pPr>
        <w:pStyle w:val="Heading1"/>
        <w:widowControl w:val="false"/>
        <w:bidi w:val="0"/>
        <w:spacing w:before="72" w:after="0"/>
        <w:ind w:hanging="0" w:start="113" w:end="0"/>
        <w:jc w:val="center"/>
        <w:rPr/>
      </w:pPr>
      <w:bookmarkStart w:id="6" w:name="__RefHeading___Toc13311_531594522"/>
      <w:bookmarkStart w:id="7" w:name="_Toc216990940"/>
      <w:bookmarkEnd w:id="6"/>
      <w:r>
        <w:rPr/>
        <w:t xml:space="preserve">Глава 2. </w:t>
      </w:r>
      <w:bookmarkEnd w:id="7"/>
      <w:r>
        <w:rPr/>
        <w:t>Методология подсчета: балансовый метод и поименные списки</w:t>
      </w:r>
    </w:p>
    <w:p>
      <w:pPr>
        <w:pStyle w:val="BodyText"/>
        <w:spacing w:lineRule="auto" w:line="360" w:before="95" w:after="0"/>
        <w:ind w:firstLine="710" w:start="140" w:end="144"/>
        <w:jc w:val="both"/>
        <w:rPr/>
      </w:pPr>
      <w:r>
        <w:rPr/>
        <w:t>Установление окончательной цифры людских потерь СССР — 26,6 миллиона человек — стало возможным благодаря применению метода демографического баланса. В современной исторической науке этот метод считается наиболее точным, так как он позволяет учесть не только прямые жертвы боевых действий, но и скрытые потери среди гражданского населения.</w:t>
      </w:r>
    </w:p>
    <w:p>
      <w:pPr>
        <w:pStyle w:val="BodyText"/>
        <w:spacing w:lineRule="auto" w:line="360" w:before="95" w:after="0"/>
        <w:ind w:firstLine="710" w:start="140" w:end="144"/>
        <w:jc w:val="both"/>
        <w:rPr/>
      </w:pPr>
      <w:r>
        <w:rPr/>
        <w:t>Суть балансового метода заключается в сопоставлении численности населения страны на два временных отрезка: 22 июня 1941 года и 31 декабря 1945 года. Расчет строится по следующей формуле: к численности населения на начало войны прибавляется количество родившихся за военные годы и вычитается количество умерших за этот же период от естественных причин (исходя из довоенных показателей смертности). Полученная «теоретическая» цифра сравнивается с фактическим числом жителей на конец 1945 года. Разница между ними и составляет общую величину демографических потерь.</w:t>
      </w:r>
    </w:p>
    <w:p>
      <w:pPr>
        <w:pStyle w:val="BodyText"/>
        <w:spacing w:lineRule="auto" w:line="360" w:before="95" w:after="0"/>
        <w:ind w:firstLine="710" w:start="140" w:end="144"/>
        <w:jc w:val="both"/>
        <w:rPr/>
      </w:pPr>
      <w:r>
        <w:rPr/>
        <w:t>Для применения этого метода комиссия Г. Ф. Кривошеева использовала данные переписи 1939 года, скорректированные на темпы прироста к 1941 году, и результаты послевоенного учета. Важно понимать, что в итоговую цифру 26,6 млн входят:</w:t>
      </w:r>
    </w:p>
    <w:p>
      <w:pPr>
        <w:pStyle w:val="BodyText"/>
        <w:numPr>
          <w:ilvl w:val="0"/>
          <w:numId w:val="3"/>
        </w:numPr>
        <w:spacing w:lineRule="auto" w:line="360" w:before="95" w:after="0"/>
        <w:jc w:val="both"/>
        <w:rPr/>
      </w:pPr>
      <w:r>
        <w:rPr/>
        <w:t>военнослужащие, погибшие в бою или умершие в плену;</w:t>
      </w:r>
    </w:p>
    <w:p>
      <w:pPr>
        <w:pStyle w:val="BodyText"/>
        <w:numPr>
          <w:ilvl w:val="0"/>
          <w:numId w:val="3"/>
        </w:numPr>
        <w:spacing w:lineRule="auto" w:line="360" w:before="95" w:after="0"/>
        <w:jc w:val="both"/>
        <w:rPr/>
      </w:pPr>
      <w:r>
        <w:rPr/>
        <w:t>мирные жители, ставшие жертвами бомбардировок, карательных акций и голода;</w:t>
      </w:r>
    </w:p>
    <w:p>
      <w:pPr>
        <w:pStyle w:val="BodyText"/>
        <w:numPr>
          <w:ilvl w:val="0"/>
          <w:numId w:val="3"/>
        </w:numPr>
        <w:spacing w:lineRule="auto" w:line="360" w:before="95" w:after="0"/>
        <w:jc w:val="both"/>
        <w:rPr/>
      </w:pPr>
      <w:r>
        <w:rPr/>
        <w:t>граждане, не вернувшиеся из принудительной депортации («остарбайтеры»).</w:t>
      </w:r>
    </w:p>
    <w:p>
      <w:pPr>
        <w:pStyle w:val="BodyText"/>
        <w:spacing w:lineRule="auto" w:line="360" w:before="95" w:after="0"/>
        <w:ind w:firstLine="710" w:start="140" w:end="144"/>
        <w:jc w:val="both"/>
        <w:rPr/>
      </w:pPr>
      <w:r>
        <w:rPr/>
        <w:t>Параллельно с балансовым методом историки используют метод прямого учета (поименные списки). Этот подход опирается на архивные документы: донесения воинских частей о безвозвратных потерях, ведомости госпиталей, книги учета захоронений и материалы Чрезвычайной государственной комиссии (ЧГК) по расследованию злодеяний оккупантов. Однако метод прямого учета часто дает заниженные результаты, так как многие документы (особенно за 1941–1942 гг.) были утрачены в ходе отступлений или окружений.</w:t>
      </w:r>
    </w:p>
    <w:p>
      <w:pPr>
        <w:pStyle w:val="BodyText"/>
        <w:spacing w:lineRule="auto" w:line="360" w:before="95" w:after="0"/>
        <w:ind w:firstLine="710" w:start="140" w:end="144"/>
        <w:jc w:val="both"/>
        <w:rPr/>
      </w:pPr>
      <w:r>
        <w:rPr/>
        <w:t>Таким образом, современные оценки базируются на сочетании обоих подходов. Если балансовый метод дает общую рамку трагедии, то работа с поименными списками и «Книгами Памяти» позволяет максимально персонифицировать историю войны, возвращая имена павших героев из небытия.</w:t>
      </w:r>
    </w:p>
    <w:p>
      <w:pPr>
        <w:pStyle w:val="Heading1"/>
        <w:widowControl w:val="false"/>
        <w:bidi w:val="0"/>
        <w:spacing w:before="72" w:after="0"/>
        <w:ind w:hanging="0" w:start="170" w:end="0"/>
        <w:jc w:val="center"/>
        <w:rPr/>
      </w:pPr>
      <w:bookmarkStart w:id="8" w:name="__RefHeading___Toc13313_531594522"/>
      <w:bookmarkStart w:id="9" w:name="_Toc216990941"/>
      <w:bookmarkEnd w:id="8"/>
      <w:r>
        <w:rPr/>
        <w:t xml:space="preserve">Глава 3. </w:t>
      </w:r>
      <w:bookmarkEnd w:id="9"/>
      <w:r>
        <w:rPr/>
        <w:t>Безвозвратные потери Вооруженных Сил СССР</w:t>
      </w:r>
    </w:p>
    <w:p>
      <w:pPr>
        <w:pStyle w:val="BodyText"/>
        <w:spacing w:lineRule="auto" w:line="360" w:before="95" w:after="0"/>
        <w:ind w:firstLine="710" w:start="140" w:end="144"/>
        <w:jc w:val="both"/>
        <w:rPr/>
      </w:pPr>
      <w:r>
        <w:rPr/>
        <w:t>Наиболее авторитетным и детальным исследованием в области военных потерь на сегодняшний день считается труд коллектива военных историков под руководством генерал-полковника Г. Ф. Кривошеева. Согласно официальным данным Министерства обороны РФ, базирующимся на этой методике, общие безвозвратные потери личного состава Вооруженных Сил СССР (включая пограничные и внутренние войска) за годы войны составили 8 миллионов 668 тысяч 400 человек.</w:t>
      </w:r>
    </w:p>
    <w:p>
      <w:pPr>
        <w:pStyle w:val="BodyText"/>
        <w:spacing w:lineRule="auto" w:line="360" w:before="95" w:after="0"/>
        <w:ind w:firstLine="710" w:start="140" w:end="144"/>
        <w:jc w:val="both"/>
        <w:rPr/>
      </w:pPr>
      <w:r>
        <w:rPr/>
        <w:t>Современная методология разделяет эту внушительную цифру на несколько ключевых категорий, что позволяет проследить структуру гибели армии:</w:t>
      </w:r>
    </w:p>
    <w:p>
      <w:pPr>
        <w:pStyle w:val="BodyText"/>
        <w:numPr>
          <w:ilvl w:val="0"/>
          <w:numId w:val="4"/>
        </w:numPr>
        <w:spacing w:lineRule="auto" w:line="360" w:before="95" w:after="0"/>
        <w:jc w:val="both"/>
        <w:rPr/>
      </w:pPr>
      <w:r>
        <w:rPr/>
        <w:t>Боевые потери: убитые на поле боя, умершие от ран на этапах санитарной эвакуации и в госпиталях, а также погибшие от болезней, несчастных случаев и приговоров трибуналов. Эта категория составляет основную часть — около 6,8 миллиона человек.</w:t>
      </w:r>
    </w:p>
    <w:p>
      <w:pPr>
        <w:pStyle w:val="BodyText"/>
        <w:numPr>
          <w:ilvl w:val="0"/>
          <w:numId w:val="4"/>
        </w:numPr>
        <w:spacing w:lineRule="auto" w:line="360" w:before="95" w:after="0"/>
        <w:jc w:val="both"/>
        <w:rPr/>
      </w:pPr>
      <w:r>
        <w:rPr/>
        <w:t>Пропавшие без вести и попавшие в плен: это самая сложная для подсчета категория. Всего за годы войны пропало без вести или попало в плен около 4,5 миллиона военнослужащих. Однако комиссия Кривошеева проводит важное разграничение: после окончания войны из плена вернулось около 1,8 миллиона человек, а еще часть была повторно призвана в армию на освобожденных территориях.</w:t>
      </w:r>
    </w:p>
    <w:p>
      <w:pPr>
        <w:pStyle w:val="BodyText"/>
        <w:numPr>
          <w:ilvl w:val="0"/>
          <w:numId w:val="4"/>
        </w:numPr>
        <w:spacing w:lineRule="auto" w:line="360" w:before="95" w:after="0"/>
        <w:jc w:val="both"/>
        <w:rPr/>
      </w:pPr>
      <w:r>
        <w:rPr/>
        <w:t>Не вернувшиеся из плена: в безвозвратные потери включены те, кто погиб в нацистских лагерях или не был репатриирован после войны. По оценкам историков, это число составляет более 2,5 миллиона человек, что свидетельствует о крайне жестоком режиме содержания советских пленных в сравнении с военнослужащими других стран.</w:t>
      </w:r>
    </w:p>
    <w:p>
      <w:pPr>
        <w:pStyle w:val="BodyText"/>
        <w:spacing w:lineRule="auto" w:line="360" w:before="95" w:after="0"/>
        <w:ind w:firstLine="710" w:start="140" w:end="144"/>
        <w:jc w:val="both"/>
        <w:rPr/>
      </w:pPr>
      <w:r>
        <w:rPr/>
        <w:t>Важно подчеркнуть, что данные группы Кривошеева опираются на строго документальный учет (донесения из частей, ведомости потерь). Это делает их наиболее надежным фундаментом для исторического анализа, хотя дискуссии о полноте учета в первые месяцы 1941 года продолжаются в научной среде и сегодня.</w:t>
      </w:r>
    </w:p>
    <w:p>
      <w:pPr>
        <w:pStyle w:val="Heading1"/>
        <w:widowControl w:val="false"/>
        <w:bidi w:val="0"/>
        <w:spacing w:before="72" w:after="0"/>
        <w:ind w:hanging="0" w:start="170" w:end="0"/>
        <w:jc w:val="center"/>
        <w:rPr/>
      </w:pPr>
      <w:bookmarkStart w:id="10" w:name="__RefHeading___Toc13315_531594522"/>
      <w:bookmarkStart w:id="11" w:name="_Toc216990942"/>
      <w:bookmarkEnd w:id="10"/>
      <w:r>
        <w:rPr/>
        <w:t xml:space="preserve">Глава 4. </w:t>
      </w:r>
      <w:bookmarkEnd w:id="11"/>
      <w:r>
        <w:rPr/>
        <w:t>Трагедия гражданского населения: категории и причины жертв</w:t>
      </w:r>
    </w:p>
    <w:p>
      <w:pPr>
        <w:pStyle w:val="BodyText"/>
        <w:spacing w:lineRule="auto" w:line="360" w:before="95" w:after="0"/>
        <w:ind w:firstLine="711" w:start="140" w:end="144"/>
        <w:jc w:val="both"/>
        <w:rPr/>
      </w:pPr>
      <w:r>
        <w:rPr/>
        <w:t>Из общего числа людских потерь Советского Союза (26,6 млн человек) на долю мирного населения приходится более половины всех жертв. В отличие от Первой мировой войны, где гражданское население страдало опосредованно, Великая Отечественная война на территории СССР велась нацистской Германией как война на истребление. Современные исследователи классифицируют эти жертвы по нескольким ключевым категориям.</w:t>
      </w:r>
    </w:p>
    <w:p>
      <w:pPr>
        <w:pStyle w:val="BodyText"/>
        <w:spacing w:lineRule="auto" w:line="360" w:before="95" w:after="0"/>
        <w:ind w:firstLine="711" w:start="140" w:end="144"/>
        <w:jc w:val="both"/>
        <w:rPr/>
      </w:pPr>
      <w:r>
        <w:rPr/>
        <w:t>Первая и самая масштабная категория — преднамеренное истребление мирных граждан на оккупированных территориях (около 7,4 млн человек). В рамках реализации расовых доктрин и генерального плана «Ост» нацисты проводили массовые казни, карательные операции в «партизанских зонах» и планомерное уничтожение групп населения. Эти действия сегодня официально квалифицируются как геноцид народов СССР.</w:t>
      </w:r>
    </w:p>
    <w:p>
      <w:pPr>
        <w:pStyle w:val="BodyText"/>
        <w:spacing w:lineRule="auto" w:line="360" w:before="95" w:after="0"/>
        <w:ind w:firstLine="711" w:start="140" w:end="144"/>
        <w:jc w:val="both"/>
        <w:rPr/>
      </w:pPr>
      <w:r>
        <w:rPr/>
        <w:t>Вторая категория включает жертв, погибших от невыносимых условий оккупационного режима: голода, холода и отсутствия элементарной медицинской помощи (более 4 млн человек). Сюда же относятся жертвы блокад, среди которых самой трагичной стала блокада Ленинграда. Голод и холод в осажденном городе были использованы как инструменты массового убийства, унесшие жизни, по разным оценкам, от 640 тысяч до 1 миллиона человек.</w:t>
      </w:r>
    </w:p>
    <w:p>
      <w:pPr>
        <w:pStyle w:val="BodyText"/>
        <w:spacing w:lineRule="auto" w:line="360" w:before="95" w:after="0"/>
        <w:ind w:firstLine="711" w:start="140" w:end="144"/>
        <w:jc w:val="both"/>
        <w:rPr/>
      </w:pPr>
      <w:r>
        <w:rPr/>
        <w:t>Третьим фактором стал принудительный угон на работы в Третий рейх. Из 5,2 млн советских граждан («остарбайтеров»), вывезенных на рабский труд, более 2,1 млн человек погибли в неволе от истощения, болезней и жестокого обращения.</w:t>
      </w:r>
    </w:p>
    <w:p>
      <w:pPr>
        <w:pStyle w:val="BodyText"/>
        <w:spacing w:lineRule="auto" w:line="360" w:before="95" w:after="0"/>
        <w:ind w:firstLine="711" w:start="140" w:end="144"/>
        <w:jc w:val="both"/>
        <w:rPr/>
      </w:pPr>
      <w:r>
        <w:rPr/>
        <w:t>Наконец, значительную долю составляют потери в советском тылу, вызванные резким падением уровня жизни и колоссальным перенапряжением сил. Повышенная смертность в тыловых районах была обусловлена дефицитом продовольствия, медикаментов и сверхтяжелыми условиями труда на оборонных заводах. Таким образом, масштаб гражданских жертв свидетельствует о том, что целью агрессора было не только военное поражение СССР, но и физическое уничтожение его населения.</w:t>
      </w:r>
    </w:p>
    <w:p>
      <w:pPr>
        <w:pStyle w:val="Heading1"/>
        <w:widowControl w:val="false"/>
        <w:bidi w:val="0"/>
        <w:spacing w:before="72" w:after="0"/>
        <w:ind w:hanging="0" w:start="170" w:end="0"/>
        <w:jc w:val="center"/>
        <w:rPr/>
      </w:pPr>
      <w:bookmarkStart w:id="12" w:name="__RefHeading___Toc13317_531594522"/>
      <w:bookmarkStart w:id="13" w:name="_Toc216990943"/>
      <w:bookmarkEnd w:id="12"/>
      <w:r>
        <w:rPr/>
        <w:t xml:space="preserve">Глава 5. </w:t>
      </w:r>
      <w:bookmarkEnd w:id="13"/>
      <w:r>
        <w:rPr/>
        <w:t>Проблема советских военнопленных в современной историографии</w:t>
      </w:r>
    </w:p>
    <w:p>
      <w:pPr>
        <w:pStyle w:val="BodyText"/>
        <w:spacing w:lineRule="auto" w:line="360" w:before="95" w:after="0"/>
        <w:ind w:firstLine="711" w:start="140" w:end="144"/>
        <w:jc w:val="both"/>
        <w:rPr/>
      </w:pPr>
      <w:r>
        <w:rPr/>
        <w:t>Проблема советских военнопленных остается одной из наиболее сложных в современной науке. По данным комиссии Г. Ф. Кривошеева, общее число захваченных в плен военнослужащих составило около 4 миллионов 559 тысяч человек. Немецкие источники того времени приводили более высокие цифры — до 5,7 миллиона человек, однако современные историки отмечают, что нацистская статистика часто включала в это число гражданских лиц призывного возраста, сотрудников военизированных ведомств и ополченцев, не входивших в состав кадровой армии.</w:t>
      </w:r>
    </w:p>
    <w:p>
      <w:pPr>
        <w:pStyle w:val="BodyText"/>
        <w:spacing w:lineRule="auto" w:line="360" w:before="95" w:after="0"/>
        <w:ind w:firstLine="711" w:start="140" w:end="144"/>
        <w:jc w:val="both"/>
        <w:rPr/>
      </w:pPr>
      <w:r>
        <w:rPr/>
        <w:t>Ключевым показателем трагедии является смертность в плену. Согласно современным оценкам, в нацистских лагерях погибло около 2,7 миллиона советских военнослужащих, что составляет 57–60% от их общего числа. Для сравнения: в немецком плену погибло не более 3,5–5% британских и американских солдат. Столь разительный контраст объясняется тем, что в отношении советских граждан Третий рейх игнорировал нормы Гаагской и Женевской конвенций.</w:t>
      </w:r>
    </w:p>
    <w:p>
      <w:pPr>
        <w:pStyle w:val="BodyText"/>
        <w:spacing w:lineRule="auto" w:line="360" w:before="95" w:after="0"/>
        <w:ind w:firstLine="711" w:start="140" w:end="144"/>
        <w:jc w:val="both"/>
        <w:rPr/>
      </w:pPr>
      <w:r>
        <w:rPr/>
        <w:t>Современная историография подчеркивает, что гибель миллионов советских солдат в плену не была следствием «трудностей военного времени». Это был результат целенаправленной политики: советские военнопленные рассматривались нацистским руководством как «расово неполноценные» и подлежали планомерному уничтожению через голод, отсутствие медицинской помощи и непосильный рабский труд. Таким образом, судьба пленных стала одним из инструментов реализации политики геноцида народов Советского Союза.</w:t>
      </w:r>
    </w:p>
    <w:p>
      <w:pPr>
        <w:pStyle w:val="Heading1"/>
        <w:widowControl w:val="false"/>
        <w:bidi w:val="0"/>
        <w:spacing w:before="72" w:after="0"/>
        <w:ind w:hanging="0" w:start="170" w:end="0"/>
        <w:jc w:val="center"/>
        <w:rPr/>
      </w:pPr>
      <w:bookmarkStart w:id="14" w:name="__RefHeading___Toc13319_531594522"/>
      <w:bookmarkStart w:id="15" w:name="_Toc216990944"/>
      <w:bookmarkEnd w:id="14"/>
      <w:r>
        <w:rPr/>
        <w:t xml:space="preserve">Глава 6. </w:t>
      </w:r>
      <w:bookmarkEnd w:id="15"/>
      <w:r>
        <w:rPr/>
        <w:t>Демографическое эхо войны: долгосрочные последствия для страны</w:t>
      </w:r>
    </w:p>
    <w:p>
      <w:pPr>
        <w:pStyle w:val="BodyText"/>
        <w:spacing w:lineRule="auto" w:line="360" w:before="95" w:after="0"/>
        <w:ind w:firstLine="711" w:start="140" w:end="144"/>
        <w:jc w:val="both"/>
        <w:rPr/>
      </w:pPr>
      <w:r>
        <w:rPr/>
        <w:t>Колоссальные людские потери СССР в 1941–1945 годах вызвали глубокие деформации в структуре общества, последствия которых ощущаются и в XXI веке. Главным и наиболее болезненным итогом стал резкий дисбаланс между мужским и женским населением. По состоянию на 1945 год на 100 женщин в возрасте от 20 до 29 лет приходилось критически малое количество мужчин, что привело к разрушению миллионов потенциальных семей и резкому падению рождаемости.</w:t>
      </w:r>
    </w:p>
    <w:p>
      <w:pPr>
        <w:pStyle w:val="BodyText"/>
        <w:spacing w:lineRule="auto" w:line="360" w:before="95" w:after="0"/>
        <w:ind w:firstLine="711" w:start="140" w:end="144"/>
        <w:jc w:val="both"/>
        <w:rPr/>
      </w:pPr>
      <w:r>
        <w:rPr/>
        <w:t>В демографии это явление получило название «демографическая яма». Первая такая яма пришлась на военные годы (1941–1945), когда рождаемость упала почти вдвое. Вторая волна эха наступила через 20–25 лет (в конце 1960-х), когда в детородный возраст вступило малочисленное поколение «детей войны». Третья волна совпала с кризисом 1990-х годов, что еще больше усугубило ситуацию.</w:t>
      </w:r>
    </w:p>
    <w:p>
      <w:pPr>
        <w:pStyle w:val="BodyText"/>
        <w:spacing w:lineRule="auto" w:line="360" w:before="95" w:after="0"/>
        <w:ind w:firstLine="711" w:start="140" w:end="144"/>
        <w:jc w:val="both"/>
        <w:rPr/>
      </w:pPr>
      <w:r>
        <w:rPr/>
        <w:t>Современная Россия продолжает сталкиваться с этим наследием. Неравномерность возрастной пирамиды затрудняет планирование социальной политики, влияет на рынок труда и пенсионную систему. Дефицит мужского населения в послевоенные десятилетия также наложил отпечаток на психологию поколений и модель воспитания в «однополых» семьях (мать и бабушка). Таким образом, потери в Великой Отечественной войне — это не только застывшие цифры в архивах, но и живая социальная проблема, определяющая демографический ландшафт страны на десятилетия вперед.</w:t>
      </w:r>
    </w:p>
    <w:p>
      <w:pPr>
        <w:pStyle w:val="Normal"/>
        <w:rPr>
          <w:sz w:val="28"/>
          <w:szCs w:val="28"/>
        </w:rPr>
      </w:pPr>
      <w:r>
        <w:rPr>
          <w:sz w:val="28"/>
          <w:szCs w:val="28"/>
        </w:rPr>
      </w:r>
      <w:r>
        <w:br w:type="page"/>
      </w:r>
    </w:p>
    <w:p>
      <w:pPr>
        <w:pStyle w:val="Heading1"/>
        <w:widowControl w:val="false"/>
        <w:bidi w:val="0"/>
        <w:spacing w:before="0" w:after="0"/>
        <w:ind w:hanging="0" w:start="170" w:end="0"/>
        <w:jc w:val="center"/>
        <w:rPr/>
      </w:pPr>
      <w:bookmarkStart w:id="16" w:name="__RefHeading___Toc13321_531594522"/>
      <w:bookmarkStart w:id="17" w:name="_Toc216990945"/>
      <w:bookmarkEnd w:id="16"/>
      <w:r>
        <w:rPr/>
        <w:t>Заключение</w:t>
      </w:r>
      <w:bookmarkEnd w:id="17"/>
    </w:p>
    <w:p>
      <w:pPr>
        <w:pStyle w:val="BodyText"/>
        <w:spacing w:lineRule="auto" w:line="360" w:before="95" w:after="0"/>
        <w:ind w:firstLine="710" w:start="140" w:end="144"/>
        <w:jc w:val="both"/>
        <w:rPr/>
      </w:pPr>
      <w:r>
        <w:rPr/>
        <w:t>Подводя итог, следует отметить, что современная оценка потерь СССР в 26,6 миллиона человек является результатом кропотливой работы сотен историков и статистиков. Эта цифра отражает не только военные неудачи начального периода войны, но и беспрецедентную по своей жестокости политику нацизма в отношении мирного населения. Понимание истинной цены Победы позволяет нам глубже осознать масштаб подвига народа и важность сохранения исторической правды для будущих поколений.</w:t>
      </w:r>
    </w:p>
    <w:p>
      <w:pPr>
        <w:pStyle w:val="Normal"/>
        <w:rPr>
          <w:sz w:val="28"/>
          <w:szCs w:val="28"/>
        </w:rPr>
      </w:pPr>
      <w:r>
        <w:rPr>
          <w:sz w:val="28"/>
          <w:szCs w:val="28"/>
        </w:rPr>
      </w:r>
      <w:r>
        <w:br w:type="page"/>
      </w:r>
    </w:p>
    <w:p>
      <w:pPr>
        <w:pStyle w:val="Heading1"/>
        <w:widowControl w:val="false"/>
        <w:bidi w:val="0"/>
        <w:spacing w:before="0" w:after="0"/>
        <w:ind w:hanging="0" w:start="170" w:end="0"/>
        <w:jc w:val="center"/>
        <w:rPr/>
      </w:pPr>
      <w:bookmarkStart w:id="18" w:name="__RefHeading___Toc13323_531594522"/>
      <w:bookmarkStart w:id="19" w:name="_Toc216990946"/>
      <w:bookmarkEnd w:id="18"/>
      <w:r>
        <w:rPr/>
        <w:t>Библиографический список</w:t>
      </w:r>
      <w:bookmarkEnd w:id="19"/>
    </w:p>
    <w:p>
      <w:pPr>
        <w:pStyle w:val="ListParagraph"/>
        <w:numPr>
          <w:ilvl w:val="0"/>
          <w:numId w:val="2"/>
        </w:numPr>
        <w:tabs>
          <w:tab w:val="clear" w:pos="720"/>
          <w:tab w:val="left" w:pos="1061" w:leader="none"/>
        </w:tabs>
        <w:spacing w:lineRule="auto" w:line="360" w:before="96" w:after="0"/>
        <w:jc w:val="both"/>
        <w:rPr>
          <w:sz w:val="28"/>
          <w:szCs w:val="28"/>
        </w:rPr>
      </w:pPr>
      <w:r>
        <w:rPr>
          <w:sz w:val="28"/>
          <w:szCs w:val="28"/>
        </w:rPr>
        <w:t>Великая Отечественная война без грифа секретности. Книга потерь : [информационно-статистическое исследование] / Г. Ф. Кривошеев, В. М. Андроников, П. Д. Буриков, В. В. Гуркин. – Москва : Вече, 2010. – 384 с. – Текст : непосредственный.</w:t>
      </w:r>
    </w:p>
    <w:p>
      <w:pPr>
        <w:pStyle w:val="ListParagraph"/>
        <w:numPr>
          <w:ilvl w:val="0"/>
          <w:numId w:val="2"/>
        </w:numPr>
        <w:tabs>
          <w:tab w:val="clear" w:pos="720"/>
          <w:tab w:val="left" w:pos="1061" w:leader="none"/>
        </w:tabs>
        <w:spacing w:lineRule="auto" w:line="360" w:before="96" w:after="0"/>
        <w:jc w:val="both"/>
        <w:rPr>
          <w:sz w:val="28"/>
          <w:szCs w:val="28"/>
        </w:rPr>
      </w:pPr>
      <w:r>
        <w:rPr>
          <w:sz w:val="28"/>
          <w:szCs w:val="28"/>
        </w:rPr>
        <w:t>Россия и СССР в войнах XX века. Книга потерь / под общей редакцией Г. Ф. Кривошеева. – Москва : Вече, 2010. – 624 с. – Текст : непосредственный.</w:t>
      </w:r>
    </w:p>
    <w:p>
      <w:pPr>
        <w:pStyle w:val="ListParagraph"/>
        <w:numPr>
          <w:ilvl w:val="0"/>
          <w:numId w:val="2"/>
        </w:numPr>
        <w:tabs>
          <w:tab w:val="clear" w:pos="720"/>
          <w:tab w:val="left" w:pos="1061" w:leader="none"/>
        </w:tabs>
        <w:spacing w:lineRule="auto" w:line="360" w:before="96" w:after="0"/>
        <w:jc w:val="both"/>
        <w:rPr>
          <w:sz w:val="28"/>
          <w:szCs w:val="28"/>
        </w:rPr>
      </w:pPr>
      <w:r>
        <w:rPr>
          <w:sz w:val="28"/>
          <w:szCs w:val="28"/>
        </w:rPr>
        <w:t>Рыбаковский, Л. Л. Людские потери СССР и России в Великой Отечественной войне / Л. Л. Рыбаковский. – 2-е издание, исправленное и дополненное. – Москва : Экон-Информ, 2010. – 140 с. – Текст : непосредственный.</w:t>
      </w:r>
    </w:p>
    <w:p>
      <w:pPr>
        <w:pStyle w:val="ListParagraph"/>
        <w:numPr>
          <w:ilvl w:val="0"/>
          <w:numId w:val="2"/>
        </w:numPr>
        <w:tabs>
          <w:tab w:val="clear" w:pos="720"/>
          <w:tab w:val="left" w:pos="1061" w:leader="none"/>
        </w:tabs>
        <w:spacing w:lineRule="auto" w:line="360" w:before="96" w:after="0"/>
        <w:jc w:val="both"/>
        <w:rPr>
          <w:sz w:val="28"/>
          <w:szCs w:val="28"/>
        </w:rPr>
      </w:pPr>
      <w:r>
        <w:rPr>
          <w:sz w:val="28"/>
          <w:szCs w:val="28"/>
        </w:rPr>
        <w:t>Земсков, В. Н. О масштабах людских потерь СССР в Великой Отечественной войне (в поисках истины) / В. Н. Земсков. – Текст : непосредственный // Военно-исторический архив. – 2012. – № 9. – С. 59–71.</w:t>
      </w:r>
    </w:p>
    <w:p>
      <w:pPr>
        <w:pStyle w:val="ListParagraph"/>
        <w:numPr>
          <w:ilvl w:val="0"/>
          <w:numId w:val="2"/>
        </w:numPr>
        <w:tabs>
          <w:tab w:val="clear" w:pos="720"/>
          <w:tab w:val="left" w:pos="1061" w:leader="none"/>
        </w:tabs>
        <w:spacing w:lineRule="auto" w:line="360" w:before="96" w:after="0"/>
        <w:jc w:val="both"/>
        <w:rPr>
          <w:sz w:val="28"/>
          <w:szCs w:val="28"/>
        </w:rPr>
      </w:pPr>
      <w:r>
        <w:rPr>
          <w:sz w:val="28"/>
          <w:szCs w:val="28"/>
        </w:rPr>
        <w:t>Исупов, В. А. Демографическая катастрофа и демографическое эхо Великой Отечественной войны / В. А. Исупов. – Текст : непосредственный // Исторический курьер. – 2019. – № 3 (5). – С. 1–10.</w:t>
      </w:r>
    </w:p>
    <w:p>
      <w:pPr>
        <w:pStyle w:val="ListParagraph"/>
        <w:numPr>
          <w:ilvl w:val="0"/>
          <w:numId w:val="2"/>
        </w:numPr>
        <w:tabs>
          <w:tab w:val="clear" w:pos="720"/>
          <w:tab w:val="left" w:pos="1061" w:leader="none"/>
        </w:tabs>
        <w:spacing w:lineRule="auto" w:line="360" w:before="96" w:after="0"/>
        <w:jc w:val="both"/>
        <w:rPr>
          <w:sz w:val="28"/>
          <w:szCs w:val="28"/>
        </w:rPr>
      </w:pPr>
      <w:r>
        <w:rPr>
          <w:sz w:val="28"/>
          <w:szCs w:val="28"/>
        </w:rPr>
        <w:t>Министерство обороны Российской Федерации : официальный сайт. – Раздел «Увековечение памяти погибших при защите Отечества». – URL: https://mil.ru (дата обращения: 15.03.2026). – Режим доступа: для авториз. пользователей. – Текст : электронный.</w:t>
      </w:r>
    </w:p>
    <w:sectPr>
      <w:footerReference w:type="even" r:id="rId3"/>
      <w:footerReference w:type="default" r:id="rId4"/>
      <w:footerReference w:type="first" r:id="rId5"/>
      <w:type w:val="nextPage"/>
      <w:pgSz w:w="11906" w:h="16838"/>
      <w:pgMar w:left="1559" w:right="708" w:gutter="0" w:header="0" w:top="1040" w:footer="1143" w:bottom="1340"/>
      <w:pgNumType w:fmt="decimal"/>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mbr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136004737"/>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14</w:t>
        </w:r>
        <w:r>
          <w:rPr/>
          <w:fldChar w:fldCharType="end"/>
        </w:r>
      </w:p>
    </w:sdtContent>
  </w:sdt>
  <w:p>
    <w:pPr>
      <w:pStyle w:val="BodyText"/>
      <w:spacing w:lineRule="auto" w:line="14"/>
      <w:ind w:start="0"/>
      <w:rPr>
        <w:sz w:val="20"/>
      </w:rPr>
    </w:pPr>
    <w:r>
      <w:rPr>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860"/>
        </w:tabs>
        <w:ind w:start="860" w:hanging="360"/>
      </w:pPr>
      <w:rPr/>
    </w:lvl>
    <w:lvl w:ilvl="1">
      <w:start w:val="1"/>
      <w:numFmt w:val="decimal"/>
      <w:lvlText w:val="%2."/>
      <w:lvlJc w:val="start"/>
      <w:pPr>
        <w:tabs>
          <w:tab w:val="num" w:pos="1220"/>
        </w:tabs>
        <w:ind w:start="1220" w:hanging="360"/>
      </w:pPr>
      <w:rPr/>
    </w:lvl>
    <w:lvl w:ilvl="2">
      <w:start w:val="1"/>
      <w:numFmt w:val="decimal"/>
      <w:lvlText w:val="%3."/>
      <w:lvlJc w:val="start"/>
      <w:pPr>
        <w:tabs>
          <w:tab w:val="num" w:pos="1580"/>
        </w:tabs>
        <w:ind w:start="1580" w:hanging="360"/>
      </w:pPr>
      <w:rPr/>
    </w:lvl>
    <w:lvl w:ilvl="3">
      <w:start w:val="1"/>
      <w:numFmt w:val="decimal"/>
      <w:lvlText w:val="%4."/>
      <w:lvlJc w:val="start"/>
      <w:pPr>
        <w:tabs>
          <w:tab w:val="num" w:pos="1940"/>
        </w:tabs>
        <w:ind w:start="1940" w:hanging="360"/>
      </w:pPr>
      <w:rPr/>
    </w:lvl>
    <w:lvl w:ilvl="4">
      <w:start w:val="1"/>
      <w:numFmt w:val="decimal"/>
      <w:lvlText w:val="%5."/>
      <w:lvlJc w:val="start"/>
      <w:pPr>
        <w:tabs>
          <w:tab w:val="num" w:pos="2300"/>
        </w:tabs>
        <w:ind w:start="2300" w:hanging="360"/>
      </w:pPr>
      <w:rPr/>
    </w:lvl>
    <w:lvl w:ilvl="5">
      <w:start w:val="1"/>
      <w:numFmt w:val="decimal"/>
      <w:lvlText w:val="%6."/>
      <w:lvlJc w:val="start"/>
      <w:pPr>
        <w:tabs>
          <w:tab w:val="num" w:pos="2660"/>
        </w:tabs>
        <w:ind w:start="2660" w:hanging="360"/>
      </w:pPr>
      <w:rPr/>
    </w:lvl>
    <w:lvl w:ilvl="6">
      <w:start w:val="1"/>
      <w:numFmt w:val="decimal"/>
      <w:lvlText w:val="%7."/>
      <w:lvlJc w:val="start"/>
      <w:pPr>
        <w:tabs>
          <w:tab w:val="num" w:pos="3020"/>
        </w:tabs>
        <w:ind w:start="3020" w:hanging="360"/>
      </w:pPr>
      <w:rPr/>
    </w:lvl>
    <w:lvl w:ilvl="7">
      <w:start w:val="1"/>
      <w:numFmt w:val="decimal"/>
      <w:lvlText w:val="%8."/>
      <w:lvlJc w:val="start"/>
      <w:pPr>
        <w:tabs>
          <w:tab w:val="num" w:pos="3380"/>
        </w:tabs>
        <w:ind w:start="3380" w:hanging="360"/>
      </w:pPr>
      <w:rPr/>
    </w:lvl>
    <w:lvl w:ilvl="8">
      <w:start w:val="1"/>
      <w:numFmt w:val="decimal"/>
      <w:lvlText w:val="%9."/>
      <w:lvlJc w:val="start"/>
      <w:pPr>
        <w:tabs>
          <w:tab w:val="num" w:pos="3740"/>
        </w:tabs>
        <w:ind w:start="3740" w:hanging="360"/>
      </w:pPr>
      <w:rPr/>
    </w:lvl>
  </w:abstractNum>
  <w:abstractNum w:abstractNumId="4">
    <w:lvl w:ilvl="0">
      <w:start w:val="1"/>
      <w:numFmt w:val="decimal"/>
      <w:lvlText w:val="%1."/>
      <w:lvlJc w:val="start"/>
      <w:pPr>
        <w:tabs>
          <w:tab w:val="num" w:pos="860"/>
        </w:tabs>
        <w:ind w:start="860" w:hanging="360"/>
      </w:pPr>
      <w:rPr/>
    </w:lvl>
    <w:lvl w:ilvl="1">
      <w:start w:val="1"/>
      <w:numFmt w:val="decimal"/>
      <w:lvlText w:val="%2."/>
      <w:lvlJc w:val="start"/>
      <w:pPr>
        <w:tabs>
          <w:tab w:val="num" w:pos="1220"/>
        </w:tabs>
        <w:ind w:start="1220" w:hanging="360"/>
      </w:pPr>
      <w:rPr/>
    </w:lvl>
    <w:lvl w:ilvl="2">
      <w:start w:val="1"/>
      <w:numFmt w:val="decimal"/>
      <w:lvlText w:val="%3."/>
      <w:lvlJc w:val="start"/>
      <w:pPr>
        <w:tabs>
          <w:tab w:val="num" w:pos="1580"/>
        </w:tabs>
        <w:ind w:start="1580" w:hanging="360"/>
      </w:pPr>
      <w:rPr/>
    </w:lvl>
    <w:lvl w:ilvl="3">
      <w:start w:val="1"/>
      <w:numFmt w:val="decimal"/>
      <w:lvlText w:val="%4."/>
      <w:lvlJc w:val="start"/>
      <w:pPr>
        <w:tabs>
          <w:tab w:val="num" w:pos="1940"/>
        </w:tabs>
        <w:ind w:start="1940" w:hanging="360"/>
      </w:pPr>
      <w:rPr/>
    </w:lvl>
    <w:lvl w:ilvl="4">
      <w:start w:val="1"/>
      <w:numFmt w:val="decimal"/>
      <w:lvlText w:val="%5."/>
      <w:lvlJc w:val="start"/>
      <w:pPr>
        <w:tabs>
          <w:tab w:val="num" w:pos="2300"/>
        </w:tabs>
        <w:ind w:start="2300" w:hanging="360"/>
      </w:pPr>
      <w:rPr/>
    </w:lvl>
    <w:lvl w:ilvl="5">
      <w:start w:val="1"/>
      <w:numFmt w:val="decimal"/>
      <w:lvlText w:val="%6."/>
      <w:lvlJc w:val="start"/>
      <w:pPr>
        <w:tabs>
          <w:tab w:val="num" w:pos="2660"/>
        </w:tabs>
        <w:ind w:start="2660" w:hanging="360"/>
      </w:pPr>
      <w:rPr/>
    </w:lvl>
    <w:lvl w:ilvl="6">
      <w:start w:val="1"/>
      <w:numFmt w:val="decimal"/>
      <w:lvlText w:val="%7."/>
      <w:lvlJc w:val="start"/>
      <w:pPr>
        <w:tabs>
          <w:tab w:val="num" w:pos="3020"/>
        </w:tabs>
        <w:ind w:start="3020" w:hanging="360"/>
      </w:pPr>
      <w:rPr/>
    </w:lvl>
    <w:lvl w:ilvl="7">
      <w:start w:val="1"/>
      <w:numFmt w:val="decimal"/>
      <w:lvlText w:val="%8."/>
      <w:lvlJc w:val="start"/>
      <w:pPr>
        <w:tabs>
          <w:tab w:val="num" w:pos="3380"/>
        </w:tabs>
        <w:ind w:start="3380" w:hanging="360"/>
      </w:pPr>
      <w:rPr/>
    </w:lvl>
    <w:lvl w:ilvl="8">
      <w:start w:val="1"/>
      <w:numFmt w:val="decimal"/>
      <w:lvlText w:val="%9."/>
      <w:lvlJc w:val="start"/>
      <w:pPr>
        <w:tabs>
          <w:tab w:val="num" w:pos="3740"/>
        </w:tabs>
        <w:ind w:start="374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4"/>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587247"/>
    <w:pPr>
      <w:widowControl w:val="false"/>
      <w:suppressAutoHyphens w:val="true"/>
      <w:bidi w:val="0"/>
      <w:spacing w:before="0" w:after="0"/>
      <w:jc w:val="start"/>
    </w:pPr>
    <w:rPr>
      <w:rFonts w:ascii="Times New Roman" w:hAnsi="Times New Roman" w:eastAsia="Times New Roman" w:cs="Times New Roman"/>
      <w:b w:val="false"/>
      <w:color w:val="auto"/>
      <w:kern w:val="0"/>
      <w:sz w:val="22"/>
      <w:szCs w:val="22"/>
      <w:lang w:val="ru-RU" w:eastAsia="en-US" w:bidi="ar-SA"/>
    </w:rPr>
  </w:style>
  <w:style w:type="paragraph" w:styleId="Heading1">
    <w:name w:val="heading 1"/>
    <w:basedOn w:val="Normal"/>
    <w:uiPriority w:val="1"/>
    <w:qFormat/>
    <w:pPr>
      <w:spacing w:before="72" w:after="0"/>
      <w:ind w:hanging="210" w:start="1061"/>
      <w:jc w:val="center"/>
      <w:outlineLvl w:val="0"/>
    </w:pPr>
    <w:rPr>
      <w:b/>
      <w:bCs/>
      <w:sz w:val="28"/>
      <w:szCs w:val="28"/>
    </w:rPr>
  </w:style>
  <w:style w:type="character" w:styleId="DefaultParagraphFont" w:default="1">
    <w:name w:val="Default Paragraph Font"/>
    <w:uiPriority w:val="1"/>
    <w:semiHidden/>
    <w:unhideWhenUsed/>
    <w:qFormat/>
    <w:rPr/>
  </w:style>
  <w:style w:type="character" w:styleId="Style13" w:customStyle="1">
    <w:name w:val="Верхний колонтитул Знак"/>
    <w:basedOn w:val="DefaultParagraphFont"/>
    <w:uiPriority w:val="99"/>
    <w:qFormat/>
    <w:rsid w:val="004e4761"/>
    <w:rPr>
      <w:rFonts w:ascii="Times New Roman" w:hAnsi="Times New Roman" w:eastAsia="Times New Roman" w:cs="Times New Roman"/>
      <w:lang w:val="ru-RU"/>
    </w:rPr>
  </w:style>
  <w:style w:type="character" w:styleId="Style14" w:customStyle="1">
    <w:name w:val="Нижний колонтитул Знак"/>
    <w:basedOn w:val="DefaultParagraphFont"/>
    <w:uiPriority w:val="99"/>
    <w:qFormat/>
    <w:rsid w:val="004e4761"/>
    <w:rPr>
      <w:rFonts w:ascii="Times New Roman" w:hAnsi="Times New Roman" w:eastAsia="Times New Roman" w:cs="Times New Roman"/>
      <w:lang w:val="ru-RU"/>
    </w:rPr>
  </w:style>
  <w:style w:type="character" w:styleId="Style15" w:customStyle="1">
    <w:name w:val="Заголовок Знак"/>
    <w:basedOn w:val="DefaultParagraphFont"/>
    <w:uiPriority w:val="10"/>
    <w:qFormat/>
    <w:rsid w:val="00870556"/>
    <w:rPr>
      <w:rFonts w:ascii="Times New Roman" w:hAnsi="Times New Roman" w:eastAsia="" w:cs="" w:cstheme="majorBidi" w:eastAsiaTheme="majorEastAsia"/>
      <w:b/>
      <w:spacing w:val="-10"/>
      <w:kern w:val="2"/>
      <w:sz w:val="28"/>
      <w:szCs w:val="56"/>
      <w:lang w:val="ru-RU"/>
    </w:rPr>
  </w:style>
  <w:style w:type="character" w:styleId="Hyperlink">
    <w:name w:val="Hyperlink"/>
    <w:basedOn w:val="DefaultParagraphFont"/>
    <w:uiPriority w:val="99"/>
    <w:unhideWhenUsed/>
    <w:rsid w:val="00870556"/>
    <w:rPr>
      <w:color w:themeColor="hyperlink" w:val="0000FF"/>
      <w:u w:val="single"/>
    </w:rPr>
  </w:style>
  <w:style w:type="character" w:styleId="user">
    <w:name w:val="Ссылка указателя (user)"/>
    <w:qFormat/>
    <w:rPr/>
  </w:style>
  <w:style w:type="character" w:styleId="user1">
    <w:name w:val="Символ нумерации (user)"/>
    <w:qFormat/>
    <w:rPr/>
  </w:style>
  <w:style w:type="paragraph" w:styleId="Style16">
    <w:name w:val="Заголовок"/>
    <w:basedOn w:val="Normal"/>
    <w:next w:val="BodyText"/>
    <w:qFormat/>
    <w:pPr>
      <w:keepNext w:val="true"/>
      <w:spacing w:before="240" w:after="120"/>
    </w:pPr>
    <w:rPr>
      <w:rFonts w:ascii="Liberation Sans" w:hAnsi="Liberation Sans" w:eastAsia="Chiron Hei HK ExtraLight" w:cs="Matangi Light"/>
      <w:sz w:val="28"/>
      <w:szCs w:val="28"/>
    </w:rPr>
  </w:style>
  <w:style w:type="paragraph" w:styleId="BodyText">
    <w:name w:val="Body Text"/>
    <w:basedOn w:val="Normal"/>
    <w:uiPriority w:val="1"/>
    <w:qFormat/>
    <w:pPr>
      <w:ind w:start="140"/>
    </w:pPr>
    <w:rPr>
      <w:sz w:val="28"/>
      <w:szCs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7">
    <w:name w:val="Указатель"/>
    <w:basedOn w:val="Normal"/>
    <w:qFormat/>
    <w:pPr>
      <w:suppressLineNumbers/>
    </w:pPr>
    <w:rPr>
      <w:rFonts w:cs="Matangi Light"/>
    </w:rPr>
  </w:style>
  <w:style w:type="paragraph" w:styleId="user2">
    <w:name w:val="Заголовок (user)"/>
    <w:basedOn w:val="Normal"/>
    <w:next w:val="BodyText"/>
    <w:qFormat/>
    <w:pPr>
      <w:keepNext w:val="true"/>
      <w:spacing w:before="240" w:after="120"/>
    </w:pPr>
    <w:rPr>
      <w:rFonts w:ascii="Liberation Sans" w:hAnsi="Liberation Sans" w:eastAsia="Noto Sans" w:cs="Noto Sans Devanagari"/>
      <w:sz w:val="28"/>
      <w:szCs w:val="28"/>
    </w:rPr>
  </w:style>
  <w:style w:type="paragraph" w:styleId="user3">
    <w:name w:val="Указатель (user)"/>
    <w:basedOn w:val="Normal"/>
    <w:qFormat/>
    <w:pPr>
      <w:suppressLineNumbers/>
    </w:pPr>
    <w:rPr>
      <w:rFonts w:cs="Noto Sans Devanagari"/>
    </w:rPr>
  </w:style>
  <w:style w:type="paragraph" w:styleId="ListParagraph">
    <w:name w:val="List Paragraph"/>
    <w:basedOn w:val="Normal"/>
    <w:uiPriority w:val="1"/>
    <w:qFormat/>
    <w:pPr>
      <w:spacing w:before="94" w:after="0"/>
      <w:ind w:hanging="706" w:start="1557"/>
    </w:pPr>
    <w:rPr/>
  </w:style>
  <w:style w:type="paragraph" w:styleId="TableParagraph" w:customStyle="1">
    <w:name w:val="Table Paragraph"/>
    <w:basedOn w:val="Normal"/>
    <w:uiPriority w:val="1"/>
    <w:qFormat/>
    <w:pPr/>
    <w:rPr/>
  </w:style>
  <w:style w:type="paragraph" w:styleId="user4">
    <w:name w:val="Колонтитулы (user)"/>
    <w:basedOn w:val="Normal"/>
    <w:qFormat/>
    <w:pPr/>
    <w:rPr/>
  </w:style>
  <w:style w:type="paragraph" w:styleId="Style18">
    <w:name w:val="Колонтитулы"/>
    <w:basedOn w:val="Normal"/>
    <w:qFormat/>
    <w:pPr/>
    <w:rPr/>
  </w:style>
  <w:style w:type="paragraph" w:styleId="Header">
    <w:name w:val="header"/>
    <w:basedOn w:val="Normal"/>
    <w:link w:val="Style13"/>
    <w:uiPriority w:val="99"/>
    <w:unhideWhenUsed/>
    <w:rsid w:val="004e4761"/>
    <w:pPr>
      <w:tabs>
        <w:tab w:val="clear" w:pos="720"/>
        <w:tab w:val="center" w:pos="4677" w:leader="none"/>
        <w:tab w:val="right" w:pos="9355" w:leader="none"/>
      </w:tabs>
    </w:pPr>
    <w:rPr/>
  </w:style>
  <w:style w:type="paragraph" w:styleId="Footer">
    <w:name w:val="footer"/>
    <w:basedOn w:val="Normal"/>
    <w:link w:val="Style14"/>
    <w:uiPriority w:val="99"/>
    <w:unhideWhenUsed/>
    <w:rsid w:val="004e4761"/>
    <w:pPr>
      <w:tabs>
        <w:tab w:val="clear" w:pos="720"/>
        <w:tab w:val="center" w:pos="4677" w:leader="none"/>
        <w:tab w:val="right" w:pos="9355" w:leader="none"/>
      </w:tabs>
    </w:pPr>
    <w:rPr/>
  </w:style>
  <w:style w:type="paragraph" w:styleId="IndexHeading">
    <w:name w:val="index heading"/>
    <w:basedOn w:val="user2"/>
    <w:pPr/>
    <w:rPr/>
  </w:style>
  <w:style w:type="paragraph" w:styleId="TOCHeading">
    <w:name w:val="TOC Heading"/>
    <w:basedOn w:val="Heading1"/>
    <w:next w:val="Normal"/>
    <w:uiPriority w:val="39"/>
    <w:unhideWhenUsed/>
    <w:qFormat/>
    <w:rsid w:val="00870556"/>
    <w:pPr>
      <w:keepNext w:val="true"/>
      <w:keepLines/>
      <w:widowControl/>
      <w:spacing w:lineRule="auto" w:line="240" w:before="142" w:after="0"/>
      <w:ind w:hanging="0" w:start="0"/>
      <w:jc w:val="start"/>
      <w:outlineLvl w:val="9"/>
    </w:pPr>
    <w:rPr>
      <w:rFonts w:ascii="Cambria" w:hAnsi="Cambria" w:eastAsia="" w:cs="" w:asciiTheme="majorHAnsi" w:cstheme="majorBidi" w:eastAsiaTheme="majorEastAsia" w:hAnsiTheme="majorHAnsi"/>
      <w:b w:val="false"/>
      <w:bCs w:val="false"/>
      <w:color w:themeColor="accent1" w:themeShade="bf" w:val="365F91"/>
      <w:sz w:val="32"/>
      <w:szCs w:val="32"/>
      <w:lang w:eastAsia="ru-RU"/>
    </w:rPr>
  </w:style>
  <w:style w:type="paragraph" w:styleId="Title">
    <w:name w:val="Title"/>
    <w:next w:val="BodyText"/>
    <w:link w:val="Style15"/>
    <w:uiPriority w:val="10"/>
    <w:qFormat/>
    <w:rsid w:val="00870556"/>
    <w:pPr>
      <w:widowControl w:val="false"/>
      <w:suppressAutoHyphens w:val="true"/>
      <w:bidi w:val="0"/>
      <w:spacing w:lineRule="auto" w:line="360" w:before="0" w:after="0"/>
      <w:ind w:firstLine="57"/>
      <w:contextualSpacing/>
      <w:jc w:val="center"/>
    </w:pPr>
    <w:rPr>
      <w:rFonts w:ascii="Times New Roman" w:hAnsi="Times New Roman" w:eastAsia="" w:cs="" w:cstheme="majorBidi" w:eastAsiaTheme="majorEastAsia"/>
      <w:b/>
      <w:color w:val="auto"/>
      <w:spacing w:val="-10"/>
      <w:kern w:val="2"/>
      <w:sz w:val="28"/>
      <w:szCs w:val="56"/>
      <w:lang w:val="ru-RU" w:eastAsia="en-US" w:bidi="ar-SA"/>
    </w:rPr>
  </w:style>
  <w:style w:type="paragraph" w:styleId="TOC1">
    <w:name w:val="toc 1"/>
    <w:basedOn w:val="Normal"/>
    <w:next w:val="Normal"/>
    <w:autoRedefine/>
    <w:uiPriority w:val="39"/>
    <w:unhideWhenUsed/>
    <w:rsid w:val="00870556"/>
    <w:pPr>
      <w:spacing w:before="0" w:after="100"/>
    </w:pPr>
    <w:rPr/>
  </w:style>
  <w:style w:type="numbering" w:styleId="user5" w:default="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A427E-42E7-466B-98A3-39461CB20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Application>LibreOffice/26.2.1.2$Linux_X86_64 LibreOffice_project/620$Build-2</Application>
  <AppVersion>15.0000</AppVersion>
  <Pages>12</Pages>
  <Words>2032</Words>
  <Characters>13301</Characters>
  <CharactersWithSpaces>15323</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2025-12-10T18:28:00Z</dcterms:created>
  <dc:creator>Student</dc:creator>
  <dc:description/>
  <dc:language>ru-RU</dc:language>
  <cp:lastModifiedBy/>
  <dcterms:modified xsi:type="dcterms:W3CDTF">2026-03-16T16:28:07Z</dcterms:modified>
  <cp:revision>150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2024-12-10T00:00:00Z</vt:filetime>
  </property>
  <property fmtid="{D5CDD505-2E9C-101B-9397-08002B2CF9AE}" pid="3" name="Creator">
    <vt:lpwstr>Microsoft® Word 2016</vt:lpwstr>
  </property>
  <property fmtid="{D5CDD505-2E9C-101B-9397-08002B2CF9AE}" pid="4" name="LastSaved">
    <vt:filetime>2025-12-10T00:00:00Z</vt:filetime>
  </property>
  <property fmtid="{D5CDD505-2E9C-101B-9397-08002B2CF9AE}" pid="5" name="Producer">
    <vt:lpwstr>3-Heights(TM) PDF Security Shell 4.8.25.2 (http://www.pdf-tools.com)</vt:lpwstr>
  </property>
</Properties>
</file>