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rFonts w:eastAsia="Calibri"/>
          <w:sz w:val="28"/>
          <w:szCs w:val="28"/>
        </w:rPr>
      </w:pPr>
      <w:r>
        <w:rPr>
          <w:rFonts w:eastAsia="Calibri"/>
          <w:sz w:val="28"/>
          <w:szCs w:val="28"/>
        </w:rPr>
        <w:t>Министерство науки и высшего образования РФ</w:t>
      </w:r>
    </w:p>
    <w:p>
      <w:pPr>
        <w:pStyle w:val="Normal"/>
        <w:widowControl/>
        <w:jc w:val="center"/>
        <w:rPr>
          <w:rFonts w:eastAsia="Calibri"/>
          <w:sz w:val="28"/>
          <w:szCs w:val="28"/>
        </w:rPr>
      </w:pPr>
      <w:r>
        <w:rPr>
          <w:rFonts w:eastAsia="Calibri"/>
          <w:sz w:val="28"/>
          <w:szCs w:val="28"/>
        </w:rPr>
        <w:t xml:space="preserve">Федеральное государственное автономное образовательное учреждение </w:t>
        <w:br/>
        <w:t>высшего образования</w:t>
      </w:r>
    </w:p>
    <w:p>
      <w:pPr>
        <w:pStyle w:val="Normal"/>
        <w:widowControl/>
        <w:jc w:val="center"/>
        <w:rPr>
          <w:rFonts w:eastAsia="Calibri"/>
          <w:sz w:val="28"/>
          <w:szCs w:val="28"/>
        </w:rPr>
      </w:pPr>
      <w:r>
        <w:rPr>
          <w:rFonts w:eastAsia="Calibri"/>
          <w:sz w:val="28"/>
          <w:szCs w:val="28"/>
        </w:rPr>
        <w:t>«ОМСКИЙ ГОСУДАРСТВЕННЫЙ ТЕХНИЧЕСКИЙ УНИВЕРСИТЕТ»</w:t>
      </w:r>
    </w:p>
    <w:p>
      <w:pPr>
        <w:pStyle w:val="Normal"/>
        <w:widowControl/>
        <w:spacing w:lineRule="auto" w:line="276" w:before="0" w:after="200"/>
        <w:jc w:val="center"/>
        <w:rPr>
          <w:rFonts w:eastAsia="Calibri"/>
          <w:sz w:val="28"/>
          <w:szCs w:val="28"/>
        </w:rPr>
      </w:pPr>
      <w:r>
        <w:rPr>
          <w:rFonts w:eastAsia="Calibri"/>
          <w:sz w:val="28"/>
          <w:szCs w:val="28"/>
        </w:rPr>
      </w:r>
    </w:p>
    <w:p>
      <w:pPr>
        <w:pStyle w:val="Normal"/>
        <w:widowControl/>
        <w:spacing w:lineRule="auto" w:line="276" w:before="0" w:after="200"/>
        <w:jc w:val="center"/>
        <w:rPr>
          <w:rFonts w:eastAsia="Calibri"/>
          <w:sz w:val="28"/>
          <w:szCs w:val="28"/>
        </w:rPr>
      </w:pPr>
      <w:r>
        <w:rPr>
          <w:rFonts w:eastAsia="Calibri"/>
          <w:sz w:val="28"/>
          <w:szCs w:val="28"/>
        </w:rPr>
      </w:r>
    </w:p>
    <w:p>
      <w:pPr>
        <w:pStyle w:val="Normal"/>
        <w:widowControl/>
        <w:spacing w:lineRule="auto" w:line="276" w:before="0" w:after="200"/>
        <w:jc w:val="center"/>
        <w:rPr>
          <w:rFonts w:eastAsia="Calibri"/>
          <w:sz w:val="28"/>
          <w:szCs w:val="28"/>
        </w:rPr>
      </w:pPr>
      <w:r>
        <w:rPr>
          <w:rFonts w:eastAsia="Calibri"/>
          <w:sz w:val="28"/>
          <w:szCs w:val="28"/>
        </w:rPr>
      </w:r>
    </w:p>
    <w:p>
      <w:pPr>
        <w:pStyle w:val="Normal"/>
        <w:widowControl/>
        <w:spacing w:lineRule="auto" w:line="276" w:before="0" w:after="200"/>
        <w:jc w:val="center"/>
        <w:rPr>
          <w:rFonts w:eastAsia="Calibri"/>
          <w:sz w:val="28"/>
          <w:szCs w:val="28"/>
        </w:rPr>
      </w:pPr>
      <w:r>
        <w:rPr>
          <w:rFonts w:eastAsia="Calibri"/>
          <w:sz w:val="28"/>
          <w:szCs w:val="28"/>
        </w:rPr>
      </w:r>
    </w:p>
    <w:p>
      <w:pPr>
        <w:pStyle w:val="Normal"/>
        <w:widowControl/>
        <w:rPr>
          <w:b/>
          <w:sz w:val="28"/>
          <w:szCs w:val="28"/>
          <w:lang w:eastAsia="ru-RU"/>
        </w:rPr>
      </w:pPr>
      <w:r>
        <w:rPr>
          <w:b/>
          <w:sz w:val="28"/>
          <w:szCs w:val="28"/>
          <w:lang w:eastAsia="ru-RU"/>
        </w:rPr>
      </w:r>
    </w:p>
    <w:p>
      <w:pPr>
        <w:pStyle w:val="Normal"/>
        <w:widowControl/>
        <w:jc w:val="center"/>
        <w:rPr>
          <w:b/>
          <w:sz w:val="28"/>
          <w:szCs w:val="28"/>
          <w:lang w:eastAsia="ru-RU"/>
        </w:rPr>
      </w:pPr>
      <w:r>
        <w:rPr>
          <w:b/>
          <w:sz w:val="28"/>
          <w:szCs w:val="28"/>
          <w:lang w:eastAsia="ru-RU"/>
        </w:rPr>
        <w:t>РЕФЕРАТ</w:t>
      </w:r>
    </w:p>
    <w:p>
      <w:pPr>
        <w:pStyle w:val="Normal"/>
        <w:widowControl/>
        <w:jc w:val="center"/>
        <w:rPr>
          <w:sz w:val="28"/>
          <w:szCs w:val="28"/>
          <w:lang w:eastAsia="ru-RU"/>
        </w:rPr>
      </w:pPr>
      <w:r>
        <w:rPr>
          <w:sz w:val="28"/>
          <w:szCs w:val="28"/>
          <w:lang w:eastAsia="ru-RU"/>
        </w:rPr>
        <w:t>по дисциплине</w:t>
      </w:r>
    </w:p>
    <w:p>
      <w:pPr>
        <w:pStyle w:val="Normal"/>
        <w:widowControl/>
        <w:jc w:val="center"/>
        <w:rPr>
          <w:sz w:val="28"/>
          <w:szCs w:val="28"/>
          <w:lang w:eastAsia="ru-RU"/>
        </w:rPr>
      </w:pPr>
      <w:r>
        <w:rPr>
          <w:sz w:val="28"/>
          <w:szCs w:val="28"/>
          <w:lang w:eastAsia="ru-RU"/>
        </w:rPr>
      </w:r>
    </w:p>
    <w:p>
      <w:pPr>
        <w:pStyle w:val="Normal"/>
        <w:widowControl/>
        <w:jc w:val="center"/>
        <w:rPr>
          <w:sz w:val="28"/>
          <w:szCs w:val="28"/>
          <w:lang w:eastAsia="ru-RU"/>
        </w:rPr>
      </w:pPr>
      <w:r>
        <w:rPr>
          <w:sz w:val="28"/>
          <w:szCs w:val="28"/>
          <w:lang w:eastAsia="ru-RU"/>
        </w:rPr>
        <w:t>«</w:t>
      </w:r>
      <w:r>
        <w:rPr>
          <w:b/>
          <w:bCs/>
          <w:sz w:val="28"/>
          <w:szCs w:val="28"/>
          <w:lang w:eastAsia="ru-RU"/>
        </w:rPr>
        <w:t>Общевоенная подготовка</w:t>
      </w:r>
      <w:r>
        <w:rPr>
          <w:sz w:val="28"/>
          <w:szCs w:val="28"/>
          <w:lang w:eastAsia="ru-RU"/>
        </w:rPr>
        <w:t>»</w:t>
      </w:r>
    </w:p>
    <w:p>
      <w:pPr>
        <w:pStyle w:val="Normal"/>
        <w:widowControl/>
        <w:jc w:val="center"/>
        <w:rPr>
          <w:sz w:val="28"/>
          <w:szCs w:val="28"/>
          <w:lang w:eastAsia="ru-RU"/>
        </w:rPr>
      </w:pPr>
      <w:r>
        <w:rPr>
          <w:sz w:val="28"/>
          <w:szCs w:val="28"/>
          <w:lang w:eastAsia="ru-RU"/>
        </w:rPr>
      </w:r>
    </w:p>
    <w:p>
      <w:pPr>
        <w:pStyle w:val="Normal"/>
        <w:widowControl/>
        <w:jc w:val="center"/>
        <w:rPr>
          <w:rFonts w:eastAsia="Calibri"/>
          <w:sz w:val="28"/>
          <w:szCs w:val="28"/>
        </w:rPr>
      </w:pPr>
      <w:r>
        <w:rPr>
          <w:rFonts w:eastAsia="Calibri"/>
          <w:sz w:val="28"/>
          <w:szCs w:val="28"/>
        </w:rPr>
        <w:t>«Причины, общий ход, исход и историческое значение Отечественной войны 1812 года»</w:t>
      </w:r>
    </w:p>
    <w:p>
      <w:pPr>
        <w:pStyle w:val="Normal"/>
        <w:widowControl/>
        <w:jc w:val="center"/>
        <w:rPr>
          <w:rFonts w:eastAsia="Calibri"/>
          <w:sz w:val="28"/>
          <w:szCs w:val="28"/>
        </w:rPr>
      </w:pPr>
      <w:r>
        <w:rPr>
          <w:rFonts w:eastAsia="Calibri"/>
          <w:sz w:val="28"/>
          <w:szCs w:val="28"/>
        </w:rPr>
      </w:r>
    </w:p>
    <w:p>
      <w:pPr>
        <w:pStyle w:val="Normal"/>
        <w:widowControl/>
        <w:jc w:val="center"/>
        <w:rPr>
          <w:rFonts w:eastAsia="Calibri"/>
          <w:sz w:val="28"/>
          <w:szCs w:val="28"/>
        </w:rPr>
      </w:pPr>
      <w:r>
        <w:rPr>
          <w:rFonts w:eastAsia="Calibri"/>
          <w:sz w:val="28"/>
          <w:szCs w:val="28"/>
        </w:rPr>
      </w:r>
    </w:p>
    <w:p>
      <w:pPr>
        <w:pStyle w:val="Normal"/>
        <w:widowControl/>
        <w:jc w:val="center"/>
        <w:rPr>
          <w:rFonts w:eastAsia="Calibri"/>
          <w:sz w:val="28"/>
          <w:szCs w:val="28"/>
        </w:rPr>
      </w:pPr>
      <w:r>
        <w:rPr>
          <w:rFonts w:eastAsia="Calibri"/>
          <w:sz w:val="28"/>
          <w:szCs w:val="28"/>
        </w:rPr>
      </w:r>
    </w:p>
    <w:p>
      <w:pPr>
        <w:pStyle w:val="Normal"/>
        <w:widowControl/>
        <w:jc w:val="center"/>
        <w:rPr>
          <w:rFonts w:eastAsia="Calibri"/>
          <w:sz w:val="28"/>
          <w:szCs w:val="28"/>
        </w:rPr>
      </w:pPr>
      <w:r>
        <w:rPr>
          <w:rFonts w:eastAsia="Calibri"/>
          <w:sz w:val="28"/>
          <w:szCs w:val="28"/>
        </w:rPr>
      </w:r>
    </w:p>
    <w:p>
      <w:pPr>
        <w:pStyle w:val="Normal"/>
        <w:widowControl/>
        <w:jc w:val="center"/>
        <w:rPr>
          <w:rFonts w:eastAsia="Calibri"/>
          <w:sz w:val="28"/>
          <w:szCs w:val="28"/>
        </w:rPr>
      </w:pPr>
      <w:r>
        <w:rPr>
          <w:rFonts w:eastAsia="Calibri"/>
          <w:sz w:val="28"/>
          <w:szCs w:val="28"/>
        </w:rPr>
      </w:r>
    </w:p>
    <w:p>
      <w:pPr>
        <w:pStyle w:val="Normal"/>
        <w:widowControl/>
        <w:jc w:val="center"/>
        <w:rPr>
          <w:rFonts w:eastAsia="Calibri"/>
          <w:sz w:val="28"/>
          <w:szCs w:val="28"/>
        </w:rPr>
      </w:pPr>
      <w:r>
        <w:rPr>
          <w:rFonts w:eastAsia="Calibri"/>
          <w:sz w:val="28"/>
          <w:szCs w:val="28"/>
        </w:rPr>
      </w:r>
    </w:p>
    <w:p>
      <w:pPr>
        <w:pStyle w:val="Normal"/>
        <w:widowControl/>
        <w:jc w:val="center"/>
        <w:rPr>
          <w:rFonts w:eastAsia="Calibri"/>
          <w:sz w:val="28"/>
          <w:szCs w:val="28"/>
        </w:rPr>
      </w:pPr>
      <w:r>
        <w:rPr>
          <w:rFonts w:eastAsia="Calibri"/>
          <w:sz w:val="28"/>
          <w:szCs w:val="28"/>
        </w:rPr>
      </w:r>
    </w:p>
    <w:p>
      <w:pPr>
        <w:pStyle w:val="Normal"/>
        <w:widowControl/>
        <w:spacing w:lineRule="auto" w:line="360"/>
        <w:ind w:hanging="5" w:start="5954"/>
        <w:jc w:val="both"/>
        <w:rPr>
          <w:rFonts w:eastAsia="Calibri"/>
          <w:sz w:val="28"/>
          <w:szCs w:val="28"/>
        </w:rPr>
      </w:pPr>
      <w:r>
        <w:rPr>
          <w:rFonts w:eastAsia="Calibri"/>
          <w:sz w:val="28"/>
          <w:szCs w:val="28"/>
        </w:rPr>
        <w:t xml:space="preserve">Работу выполнил: </w:t>
      </w:r>
    </w:p>
    <w:p>
      <w:pPr>
        <w:pStyle w:val="Normal"/>
        <w:widowControl/>
        <w:spacing w:lineRule="auto" w:line="360"/>
        <w:ind w:hanging="5" w:start="5954"/>
        <w:jc w:val="both"/>
        <w:rPr>
          <w:rFonts w:eastAsia="Calibri"/>
          <w:sz w:val="28"/>
          <w:szCs w:val="28"/>
        </w:rPr>
      </w:pPr>
      <w:r>
        <w:rPr>
          <w:rFonts w:eastAsia="Calibri"/>
          <w:sz w:val="28"/>
          <w:szCs w:val="28"/>
        </w:rPr>
        <w:t>Шмидт Антон Владиславович,</w:t>
      </w:r>
    </w:p>
    <w:p>
      <w:pPr>
        <w:pStyle w:val="Normal"/>
        <w:widowControl/>
        <w:spacing w:lineRule="auto" w:line="360"/>
        <w:ind w:hanging="0" w:start="5949"/>
        <w:jc w:val="both"/>
        <w:rPr>
          <w:rFonts w:eastAsia="Calibri"/>
          <w:sz w:val="28"/>
          <w:szCs w:val="28"/>
        </w:rPr>
      </w:pPr>
      <w:r>
        <w:rPr>
          <w:rFonts w:eastAsia="Calibri"/>
          <w:sz w:val="28"/>
          <w:szCs w:val="28"/>
        </w:rPr>
        <w:t>студент 231о учебного взвода</w:t>
      </w:r>
    </w:p>
    <w:p>
      <w:pPr>
        <w:pStyle w:val="Normal"/>
        <w:widowControl/>
        <w:spacing w:lineRule="auto" w:line="360" w:before="0" w:after="200"/>
        <w:jc w:val="both"/>
        <w:rPr>
          <w:rFonts w:eastAsia="Calibri"/>
          <w:sz w:val="28"/>
          <w:szCs w:val="28"/>
        </w:rPr>
      </w:pPr>
      <w:r>
        <w:rPr>
          <w:rFonts w:eastAsia="Calibri"/>
          <w:sz w:val="28"/>
          <w:szCs w:val="28"/>
        </w:rPr>
      </w:r>
    </w:p>
    <w:p>
      <w:pPr>
        <w:pStyle w:val="Normal"/>
        <w:widowControl/>
        <w:spacing w:lineRule="auto" w:line="276" w:before="0" w:after="200"/>
        <w:rPr>
          <w:rFonts w:eastAsia="Calibri"/>
          <w:sz w:val="28"/>
          <w:szCs w:val="28"/>
        </w:rPr>
      </w:pPr>
      <w:r>
        <w:rPr>
          <w:rFonts w:eastAsia="Calibri"/>
          <w:sz w:val="28"/>
          <w:szCs w:val="28"/>
        </w:rPr>
      </w:r>
    </w:p>
    <w:p>
      <w:pPr>
        <w:pStyle w:val="Normal"/>
        <w:widowControl/>
        <w:spacing w:lineRule="auto" w:line="276" w:before="0" w:after="200"/>
        <w:rPr>
          <w:rFonts w:eastAsia="Calibri"/>
          <w:sz w:val="28"/>
          <w:szCs w:val="28"/>
        </w:rPr>
      </w:pPr>
      <w:r>
        <w:rPr>
          <w:rFonts w:eastAsia="Calibri"/>
          <w:sz w:val="28"/>
          <w:szCs w:val="28"/>
        </w:rPr>
      </w:r>
    </w:p>
    <w:p>
      <w:pPr>
        <w:pStyle w:val="Normal"/>
        <w:widowControl/>
        <w:spacing w:lineRule="auto" w:line="276" w:before="0" w:after="200"/>
        <w:rPr>
          <w:rFonts w:eastAsia="Calibri"/>
          <w:sz w:val="28"/>
          <w:szCs w:val="28"/>
        </w:rPr>
      </w:pPr>
      <w:r>
        <w:rPr>
          <w:rFonts w:eastAsia="Calibri"/>
          <w:sz w:val="28"/>
          <w:szCs w:val="28"/>
        </w:rPr>
      </w:r>
    </w:p>
    <w:p>
      <w:pPr>
        <w:pStyle w:val="Normal"/>
        <w:widowControl/>
        <w:spacing w:lineRule="auto" w:line="276" w:before="0" w:after="200"/>
        <w:rPr>
          <w:rFonts w:eastAsia="Calibri"/>
          <w:sz w:val="28"/>
          <w:szCs w:val="28"/>
        </w:rPr>
      </w:pPr>
      <w:r>
        <w:rPr>
          <w:rFonts w:eastAsia="Calibri"/>
          <w:sz w:val="28"/>
          <w:szCs w:val="28"/>
        </w:rPr>
      </w:r>
    </w:p>
    <w:p>
      <w:pPr>
        <w:pStyle w:val="Normal"/>
        <w:widowControl/>
        <w:spacing w:lineRule="auto" w:line="276" w:before="0" w:after="200"/>
        <w:rPr>
          <w:rFonts w:eastAsia="Calibri"/>
          <w:sz w:val="28"/>
          <w:szCs w:val="28"/>
        </w:rPr>
      </w:pPr>
      <w:r>
        <w:rPr>
          <w:rFonts w:eastAsia="Calibri"/>
          <w:sz w:val="28"/>
          <w:szCs w:val="28"/>
        </w:rPr>
      </w:r>
    </w:p>
    <w:p>
      <w:pPr>
        <w:pStyle w:val="Normal"/>
        <w:widowControl/>
        <w:spacing w:lineRule="auto" w:line="276" w:before="0" w:after="200"/>
        <w:rPr>
          <w:rFonts w:eastAsia="Calibri"/>
          <w:sz w:val="28"/>
          <w:szCs w:val="28"/>
        </w:rPr>
      </w:pPr>
      <w:r>
        <w:rPr>
          <w:rFonts w:eastAsia="Calibri"/>
          <w:sz w:val="28"/>
          <w:szCs w:val="28"/>
        </w:rPr>
      </w:r>
    </w:p>
    <w:p>
      <w:pPr>
        <w:pStyle w:val="Normal"/>
        <w:widowControl/>
        <w:spacing w:lineRule="auto" w:line="276" w:before="0" w:after="200"/>
        <w:jc w:val="center"/>
        <w:rPr>
          <w:rFonts w:eastAsia="Calibri"/>
          <w:sz w:val="28"/>
          <w:szCs w:val="28"/>
        </w:rPr>
      </w:pPr>
      <w:r>
        <w:rPr>
          <w:rFonts w:eastAsia="Calibri"/>
          <w:sz w:val="28"/>
          <w:szCs w:val="28"/>
        </w:rPr>
        <w:t>Омск 2026</w:t>
      </w:r>
    </w:p>
    <w:sdt>
      <w:sdtPr>
        <w:docPartObj>
          <w:docPartGallery w:val="Table of Contents"/>
          <w:docPartUnique w:val="true"/>
        </w:docPartObj>
      </w:sdtPr>
      <w:sdtContent>
        <w:p>
          <w:pPr>
            <w:pStyle w:val="TOCHeading"/>
            <w:jc w:val="center"/>
            <w:rPr>
              <w:rFonts w:ascii="Times New Roman" w:hAnsi="Times New Roman"/>
              <w:b/>
              <w:bCs/>
              <w:color w:val="000000"/>
              <w:sz w:val="28"/>
              <w:szCs w:val="28"/>
            </w:rPr>
          </w:pPr>
          <w:r>
            <w:br w:type="page"/>
          </w:r>
          <w:r>
            <w:rPr>
              <w:rFonts w:ascii="Times New Roman" w:hAnsi="Times New Roman"/>
              <w:b/>
              <w:bCs/>
              <w:color w:val="000000"/>
              <w:sz w:val="28"/>
              <w:szCs w:val="28"/>
            </w:rPr>
            <w:t>Содержание</w:t>
          </w:r>
        </w:p>
        <w:p>
          <w:pPr>
            <w:pStyle w:val="TOC1"/>
            <w:tabs>
              <w:tab w:val="clear" w:pos="720"/>
              <w:tab w:val="right" w:pos="9638" w:leader="dot"/>
            </w:tabs>
            <w:rPr/>
          </w:pPr>
          <w:r>
            <w:fldChar w:fldCharType="begin"/>
          </w:r>
          <w:r>
            <w:rPr>
              <w:rStyle w:val="Style17"/>
              <w:rFonts w:ascii="Times New Roman" w:hAnsi="Times New Roman"/>
              <w:color w:val="000000"/>
              <w:sz w:val="28"/>
              <w:szCs w:val="28"/>
            </w:rPr>
            <w:instrText xml:space="preserve"> TOC \o "1-3" \h</w:instrText>
          </w:r>
          <w:r>
            <w:rPr>
              <w:rStyle w:val="Style17"/>
              <w:rFonts w:ascii="Times New Roman" w:hAnsi="Times New Roman"/>
              <w:color w:val="000000"/>
              <w:sz w:val="28"/>
              <w:szCs w:val="28"/>
            </w:rPr>
            <w:fldChar w:fldCharType="separate"/>
          </w:r>
          <w:hyperlink w:anchor="__RefHeading___Toc13309_531594522" w:tooltip="Введение">
            <w:r>
              <w:rPr>
                <w:rStyle w:val="Style17"/>
                <w:rFonts w:ascii="Times New Roman" w:hAnsi="Times New Roman"/>
                <w:color w:val="000000"/>
                <w:sz w:val="28"/>
                <w:szCs w:val="28"/>
              </w:rPr>
              <w:t>Введение</w:t>
              <w:tab/>
              <w:t>3</w:t>
            </w:r>
          </w:hyperlink>
        </w:p>
        <w:p>
          <w:pPr>
            <w:pStyle w:val="TOC1"/>
            <w:tabs>
              <w:tab w:val="clear" w:pos="720"/>
              <w:tab w:val="right" w:pos="9638" w:leader="dot"/>
            </w:tabs>
            <w:rPr/>
          </w:pPr>
          <w:hyperlink w:anchor="__RefHeading___Toc13311_531594522" w:tooltip="Глава 1. Причины и характер войны">
            <w:r>
              <w:rPr>
                <w:rStyle w:val="Style17"/>
                <w:rFonts w:ascii="Times New Roman" w:hAnsi="Times New Roman"/>
                <w:color w:val="000000"/>
                <w:sz w:val="28"/>
                <w:szCs w:val="28"/>
              </w:rPr>
              <w:t>Глава 1. Причины и характер войны</w:t>
              <w:tab/>
              <w:t>4</w:t>
            </w:r>
          </w:hyperlink>
        </w:p>
        <w:p>
          <w:pPr>
            <w:pStyle w:val="TOC1"/>
            <w:tabs>
              <w:tab w:val="clear" w:pos="720"/>
              <w:tab w:val="right" w:pos="9638" w:leader="dot"/>
            </w:tabs>
            <w:rPr/>
          </w:pPr>
          <w:hyperlink w:anchor="__RefHeading___Toc14471_122818093" w:tooltip="1.1. Экономический детерминизм и «Континентальная блокада»">
            <w:r>
              <w:rPr>
                <w:rStyle w:val="Style17"/>
                <w:rFonts w:ascii="Times New Roman" w:hAnsi="Times New Roman"/>
                <w:color w:val="000000"/>
                <w:sz w:val="28"/>
                <w:szCs w:val="28"/>
              </w:rPr>
              <w:t>1.1. Экономический детерминизм и «Континентальная блокада»</w:t>
              <w:tab/>
              <w:t>4</w:t>
            </w:r>
          </w:hyperlink>
        </w:p>
        <w:p>
          <w:pPr>
            <w:pStyle w:val="TOC1"/>
            <w:tabs>
              <w:tab w:val="clear" w:pos="720"/>
              <w:tab w:val="right" w:pos="9638" w:leader="dot"/>
            </w:tabs>
            <w:rPr/>
          </w:pPr>
          <w:hyperlink w:anchor="__RefHeading___Toc14473_122818093" w:tooltip="1.2. Геополитический узел: Польский вопрос">
            <w:r>
              <w:rPr>
                <w:rStyle w:val="Style17"/>
                <w:rFonts w:ascii="Times New Roman" w:hAnsi="Times New Roman"/>
                <w:color w:val="000000"/>
                <w:sz w:val="28"/>
                <w:szCs w:val="28"/>
              </w:rPr>
              <w:t>1.2. Геополитический узел: Польский вопрос</w:t>
              <w:tab/>
              <w:t>4</w:t>
            </w:r>
          </w:hyperlink>
        </w:p>
        <w:p>
          <w:pPr>
            <w:pStyle w:val="TOC1"/>
            <w:tabs>
              <w:tab w:val="clear" w:pos="720"/>
              <w:tab w:val="right" w:pos="9638" w:leader="dot"/>
            </w:tabs>
            <w:rPr/>
          </w:pPr>
          <w:hyperlink w:anchor="__RefHeading___Toc14475_122818093" w:tooltip="1.3. Дипломатические и личностные противоречия">
            <w:r>
              <w:rPr>
                <w:rStyle w:val="Style17"/>
                <w:rFonts w:ascii="Times New Roman" w:hAnsi="Times New Roman"/>
                <w:color w:val="000000"/>
                <w:sz w:val="28"/>
                <w:szCs w:val="28"/>
              </w:rPr>
              <w:t>1.3. Дипломатические и личностные противоречия</w:t>
              <w:tab/>
              <w:t>5</w:t>
            </w:r>
          </w:hyperlink>
        </w:p>
        <w:p>
          <w:pPr>
            <w:pStyle w:val="TOC1"/>
            <w:tabs>
              <w:tab w:val="clear" w:pos="720"/>
              <w:tab w:val="right" w:pos="9638" w:leader="dot"/>
            </w:tabs>
            <w:rPr/>
          </w:pPr>
          <w:hyperlink w:anchor="__RefHeading___Toc14477_122818093" w:tooltip="1.4. Характер войны">
            <w:r>
              <w:rPr>
                <w:rStyle w:val="Style17"/>
                <w:rFonts w:ascii="Times New Roman" w:hAnsi="Times New Roman"/>
                <w:color w:val="000000"/>
                <w:sz w:val="28"/>
                <w:szCs w:val="28"/>
              </w:rPr>
              <w:t>1.4. Характер войны</w:t>
              <w:tab/>
              <w:t>5</w:t>
            </w:r>
          </w:hyperlink>
        </w:p>
        <w:p>
          <w:pPr>
            <w:pStyle w:val="TOC1"/>
            <w:tabs>
              <w:tab w:val="clear" w:pos="720"/>
              <w:tab w:val="right" w:pos="9638" w:leader="dot"/>
            </w:tabs>
            <w:rPr/>
          </w:pPr>
          <w:hyperlink w:anchor="__RefHeading___Toc13313_531594522" w:tooltip="Глава 2. Общий ход военных действий и оперативное искусство">
            <w:r>
              <w:rPr>
                <w:rStyle w:val="Style17"/>
                <w:rFonts w:ascii="Times New Roman" w:hAnsi="Times New Roman"/>
                <w:color w:val="000000"/>
                <w:sz w:val="28"/>
                <w:szCs w:val="28"/>
              </w:rPr>
              <w:t>Глава 2. Общий ход военных действий и оперативное искусство</w:t>
              <w:tab/>
              <w:t>5</w:t>
            </w:r>
          </w:hyperlink>
        </w:p>
        <w:p>
          <w:pPr>
            <w:pStyle w:val="TOC1"/>
            <w:tabs>
              <w:tab w:val="clear" w:pos="720"/>
              <w:tab w:val="right" w:pos="9638" w:leader="dot"/>
            </w:tabs>
            <w:rPr/>
          </w:pPr>
          <w:hyperlink w:anchor="__RefHeading___Toc14479_122818093" w:tooltip="2.1. Первый этап: Отступление к Москве и Бородинская битва">
            <w:r>
              <w:rPr>
                <w:rStyle w:val="Style17"/>
                <w:rFonts w:ascii="Times New Roman" w:hAnsi="Times New Roman"/>
                <w:color w:val="000000"/>
                <w:sz w:val="28"/>
                <w:szCs w:val="28"/>
              </w:rPr>
              <w:t>2.1. Первый этап: Отступление к Москве и Бородинская битва</w:t>
              <w:tab/>
              <w:t>6</w:t>
            </w:r>
          </w:hyperlink>
        </w:p>
        <w:p>
          <w:pPr>
            <w:pStyle w:val="TOC1"/>
            <w:tabs>
              <w:tab w:val="clear" w:pos="720"/>
              <w:tab w:val="right" w:pos="9638" w:leader="dot"/>
            </w:tabs>
            <w:rPr/>
          </w:pPr>
          <w:hyperlink w:anchor="__RefHeading___Toc14481_122818093" w:tooltip="2.2. Второй этап: Перелом и изгнание агрессора">
            <w:r>
              <w:rPr>
                <w:rStyle w:val="Style17"/>
                <w:rFonts w:ascii="Times New Roman" w:hAnsi="Times New Roman"/>
                <w:color w:val="000000"/>
                <w:sz w:val="28"/>
                <w:szCs w:val="28"/>
              </w:rPr>
              <w:t>2.2. Второй этап: Перелом и изгнание агрессора</w:t>
              <w:tab/>
              <w:t>6</w:t>
            </w:r>
          </w:hyperlink>
        </w:p>
        <w:p>
          <w:pPr>
            <w:pStyle w:val="TOC1"/>
            <w:tabs>
              <w:tab w:val="clear" w:pos="720"/>
              <w:tab w:val="right" w:pos="9638" w:leader="dot"/>
            </w:tabs>
            <w:rPr/>
          </w:pPr>
          <w:hyperlink w:anchor="__RefHeading___Toc13315_531594522" w:tooltip="Глава 3. Исход войны и военные потери">
            <w:r>
              <w:rPr>
                <w:rStyle w:val="Style17"/>
                <w:rFonts w:ascii="Times New Roman" w:hAnsi="Times New Roman"/>
                <w:color w:val="000000"/>
                <w:sz w:val="28"/>
                <w:szCs w:val="28"/>
              </w:rPr>
              <w:t>Глава 3. Исход войны и военные потери</w:t>
              <w:tab/>
              <w:t>7</w:t>
            </w:r>
          </w:hyperlink>
        </w:p>
        <w:p>
          <w:pPr>
            <w:pStyle w:val="TOC1"/>
            <w:tabs>
              <w:tab w:val="clear" w:pos="720"/>
              <w:tab w:val="right" w:pos="9638" w:leader="dot"/>
            </w:tabs>
            <w:rPr/>
          </w:pPr>
          <w:hyperlink w:anchor="__RefHeading___Toc13317_531594522" w:tooltip="Глава 4. Историческое значение победы">
            <w:r>
              <w:rPr>
                <w:rStyle w:val="Style17"/>
                <w:rFonts w:ascii="Times New Roman" w:hAnsi="Times New Roman"/>
                <w:color w:val="000000"/>
                <w:sz w:val="28"/>
                <w:szCs w:val="28"/>
              </w:rPr>
              <w:t>Глава 4. Историческое значение победы</w:t>
              <w:tab/>
              <w:t>8</w:t>
            </w:r>
          </w:hyperlink>
        </w:p>
        <w:p>
          <w:pPr>
            <w:pStyle w:val="TOC1"/>
            <w:tabs>
              <w:tab w:val="clear" w:pos="720"/>
              <w:tab w:val="right" w:pos="9638" w:leader="dot"/>
            </w:tabs>
            <w:rPr/>
          </w:pPr>
          <w:hyperlink w:anchor="__RefHeading___Toc14483_122818093" w:tooltip="4.1. Влияние на российское общество и культуру">
            <w:r>
              <w:rPr>
                <w:rStyle w:val="Style17"/>
                <w:rFonts w:ascii="Times New Roman" w:hAnsi="Times New Roman"/>
                <w:color w:val="000000"/>
                <w:sz w:val="28"/>
                <w:szCs w:val="28"/>
              </w:rPr>
              <w:t>4.1. Влияние на российское общество и культуру</w:t>
              <w:tab/>
              <w:t>8</w:t>
            </w:r>
          </w:hyperlink>
        </w:p>
        <w:p>
          <w:pPr>
            <w:pStyle w:val="TOC1"/>
            <w:tabs>
              <w:tab w:val="clear" w:pos="720"/>
              <w:tab w:val="right" w:pos="9638" w:leader="dot"/>
            </w:tabs>
            <w:rPr/>
          </w:pPr>
          <w:hyperlink w:anchor="__RefHeading___Toc14485_122818093" w:tooltip="4.2. Геополитическая роль России в Европе">
            <w:r>
              <w:rPr>
                <w:rStyle w:val="Style17"/>
                <w:rFonts w:ascii="Times New Roman" w:hAnsi="Times New Roman"/>
                <w:color w:val="000000"/>
                <w:sz w:val="28"/>
                <w:szCs w:val="28"/>
              </w:rPr>
              <w:t>4.2. Геополитическая роль России в Европе</w:t>
              <w:tab/>
              <w:t>9</w:t>
            </w:r>
          </w:hyperlink>
        </w:p>
        <w:p>
          <w:pPr>
            <w:pStyle w:val="TOC1"/>
            <w:tabs>
              <w:tab w:val="clear" w:pos="720"/>
              <w:tab w:val="right" w:pos="9638" w:leader="dot"/>
            </w:tabs>
            <w:rPr/>
          </w:pPr>
          <w:hyperlink w:anchor="__RefHeading___Toc14487_122818093" w:tooltip="4.3. Революция в военном искусстве">
            <w:r>
              <w:rPr>
                <w:rStyle w:val="Style17"/>
                <w:rFonts w:ascii="Times New Roman" w:hAnsi="Times New Roman"/>
                <w:color w:val="000000"/>
                <w:sz w:val="28"/>
                <w:szCs w:val="28"/>
              </w:rPr>
              <w:t>4.3. Революция в военном искусстве</w:t>
              <w:tab/>
              <w:t>9</w:t>
            </w:r>
          </w:hyperlink>
        </w:p>
        <w:p>
          <w:pPr>
            <w:pStyle w:val="TOC1"/>
            <w:tabs>
              <w:tab w:val="clear" w:pos="720"/>
              <w:tab w:val="right" w:pos="9638" w:leader="dot"/>
            </w:tabs>
            <w:rPr/>
          </w:pPr>
          <w:hyperlink w:anchor="__RefHeading___Toc13321_531594522" w:tooltip="Заключение">
            <w:r>
              <w:rPr>
                <w:rStyle w:val="Style17"/>
                <w:rFonts w:ascii="Times New Roman" w:hAnsi="Times New Roman"/>
                <w:color w:val="000000"/>
                <w:sz w:val="28"/>
                <w:szCs w:val="28"/>
              </w:rPr>
              <w:t>Заключение</w:t>
              <w:tab/>
              <w:t>11</w:t>
            </w:r>
          </w:hyperlink>
          <w:r>
            <w:rPr>
              <w:rStyle w:val="Style17"/>
              <w:rFonts w:ascii="Times New Roman" w:hAnsi="Times New Roman"/>
              <w:color w:val="000000"/>
              <w:sz w:val="28"/>
              <w:szCs w:val="28"/>
            </w:rPr>
            <w:fldChar w:fldCharType="end"/>
          </w:r>
        </w:p>
      </w:sdtContent>
    </w:sdt>
    <w:p>
      <w:pPr>
        <w:pStyle w:val="Normal"/>
        <w:rPr>
          <w:rFonts w:ascii="Times New Roman" w:hAnsi="Times New Roman"/>
          <w:b/>
          <w:color w:val="000000"/>
          <w:spacing w:val="-2"/>
          <w:sz w:val="28"/>
          <w:szCs w:val="28"/>
        </w:rPr>
      </w:pPr>
      <w:r>
        <w:rPr>
          <w:rFonts w:ascii="Times New Roman" w:hAnsi="Times New Roman"/>
          <w:b/>
          <w:color w:val="000000"/>
          <w:spacing w:val="-2"/>
          <w:sz w:val="28"/>
          <w:szCs w:val="28"/>
        </w:rPr>
      </w:r>
      <w:r>
        <w:br w:type="page"/>
      </w:r>
    </w:p>
    <w:p>
      <w:pPr>
        <w:pStyle w:val="Heading1"/>
        <w:widowControl w:val="false"/>
        <w:bidi w:val="0"/>
        <w:spacing w:before="0" w:after="0"/>
        <w:ind w:hanging="0" w:start="113" w:end="0"/>
        <w:jc w:val="center"/>
        <w:rPr>
          <w:rFonts w:ascii="Times New Roman" w:hAnsi="Times New Roman"/>
          <w:sz w:val="28"/>
          <w:szCs w:val="28"/>
        </w:rPr>
      </w:pPr>
      <w:bookmarkStart w:id="0" w:name="__RefHeading___Toc13309_531594522"/>
      <w:bookmarkEnd w:id="0"/>
      <w:r>
        <w:rPr>
          <w:rFonts w:ascii="Times New Roman" w:hAnsi="Times New Roman"/>
          <w:sz w:val="28"/>
          <w:szCs w:val="28"/>
        </w:rPr>
        <w:t>Введение</w:t>
      </w:r>
    </w:p>
    <w:p>
      <w:pPr>
        <w:pStyle w:val="BodyText"/>
        <w:spacing w:lineRule="auto" w:line="360" w:before="95" w:after="0"/>
        <w:ind w:firstLine="710" w:start="140" w:end="144"/>
        <w:jc w:val="both"/>
        <w:rPr>
          <w:rFonts w:ascii="Times New Roman" w:hAnsi="Times New Roman"/>
          <w:sz w:val="28"/>
          <w:szCs w:val="28"/>
        </w:rPr>
      </w:pPr>
      <w:r>
        <w:rPr>
          <w:rFonts w:ascii="Times New Roman" w:hAnsi="Times New Roman"/>
          <w:sz w:val="28"/>
          <w:szCs w:val="28"/>
        </w:rPr>
        <w:t>Отечественная война 1812 года занимает особое, фундаментальное место в истории русского военного искусства и государственной идентичности. Это событие не может рассматриваться лишь как локальный пограничный конфликт или очередная коалиционная кампания начала XIX века. Для Российской империи это была экзистенциальная угроза, столкновение с мощнейшей военной машиной того времени, которая до этого момента не знала равных на полях сражений Европы. Наполеоновская Франция к 1812 году представляла собой венец развития западноевропейской военной мысли, опиравшейся на передовую для того времени систему всеобщей воинской повинности, позволявшую выставлять колоссальные по численности людские резервы.</w:t>
      </w:r>
    </w:p>
    <w:p>
      <w:pPr>
        <w:pStyle w:val="BodyText"/>
        <w:spacing w:lineRule="auto" w:line="360" w:before="95" w:after="0"/>
        <w:ind w:firstLine="710" w:start="140" w:end="144"/>
        <w:jc w:val="both"/>
        <w:rPr>
          <w:rFonts w:ascii="Times New Roman" w:hAnsi="Times New Roman"/>
          <w:sz w:val="28"/>
          <w:szCs w:val="28"/>
        </w:rPr>
      </w:pPr>
      <w:r>
        <w:rPr>
          <w:rFonts w:ascii="Times New Roman" w:hAnsi="Times New Roman"/>
          <w:sz w:val="28"/>
          <w:szCs w:val="28"/>
        </w:rPr>
        <w:t>Противостояние носило характер глобального конфликта двух принципиально разных социально-военных систем. С одной стороны — «Великая армия» Наполеона, «армия двадцати языков», консолидировавшая ресурсы всей покоренной Европы. Она использовала тактику решительного сокрушения живой силы противника в одном-двух генеральных сражениях. С другой стороны — русская регулярная армия, сохранившая лучшие традиции суворовской школы, но вынужденная действовать в условиях численного превосходства врага. Русское командование противопоставило агрессору не только штык и пулю, но и глубокое стратегическое маневрирование, а также использование географических и климатических факторов как элементов оперативного планирования.</w:t>
      </w:r>
    </w:p>
    <w:p>
      <w:pPr>
        <w:pStyle w:val="BodyText"/>
        <w:spacing w:lineRule="auto" w:line="360" w:before="95" w:after="0"/>
        <w:ind w:firstLine="710" w:start="140" w:end="144"/>
        <w:jc w:val="both"/>
        <w:rPr>
          <w:rFonts w:ascii="Times New Roman" w:hAnsi="Times New Roman"/>
          <w:sz w:val="28"/>
          <w:szCs w:val="28"/>
        </w:rPr>
      </w:pPr>
      <w:r>
        <w:rPr>
          <w:rFonts w:ascii="Times New Roman" w:hAnsi="Times New Roman"/>
          <w:sz w:val="28"/>
          <w:szCs w:val="28"/>
        </w:rPr>
        <w:t>Особое значение войне придает её статус «Отечественной». Впервые в истории России XIX века война приобрела тотальный характер: в борьбу включились не только регулярные части, но и широкие слои населения через ополчение и партизанское движение. Это создало уникальный феномен «дубины народной войны», который полностью дезорганизовал тылы Наполеона и сделал невозможным классическое снабжение его войск.</w:t>
      </w:r>
    </w:p>
    <w:p>
      <w:pPr>
        <w:pStyle w:val="Heading1"/>
        <w:widowControl w:val="false"/>
        <w:bidi w:val="0"/>
        <w:spacing w:before="72" w:after="0"/>
        <w:ind w:hanging="0" w:start="113" w:end="0"/>
        <w:jc w:val="center"/>
        <w:rPr>
          <w:rFonts w:ascii="Times New Roman" w:hAnsi="Times New Roman"/>
          <w:sz w:val="28"/>
          <w:szCs w:val="28"/>
        </w:rPr>
      </w:pPr>
      <w:bookmarkStart w:id="1" w:name="__RefHeading___Toc13311_531594522"/>
      <w:bookmarkEnd w:id="1"/>
      <w:r>
        <w:rPr>
          <w:rFonts w:ascii="Times New Roman" w:hAnsi="Times New Roman"/>
          <w:sz w:val="28"/>
          <w:szCs w:val="28"/>
        </w:rPr>
        <w:t>Глава 1. Причины и характер войны</w:t>
      </w:r>
    </w:p>
    <w:p>
      <w:pPr>
        <w:pStyle w:val="BodyText"/>
        <w:spacing w:lineRule="auto" w:line="360" w:before="95" w:after="0"/>
        <w:ind w:firstLine="710" w:start="140" w:end="144"/>
        <w:jc w:val="both"/>
        <w:rPr>
          <w:rFonts w:ascii="Times New Roman" w:hAnsi="Times New Roman"/>
          <w:sz w:val="28"/>
          <w:szCs w:val="28"/>
        </w:rPr>
      </w:pPr>
      <w:r>
        <w:rPr>
          <w:rFonts w:ascii="Times New Roman" w:hAnsi="Times New Roman"/>
          <w:sz w:val="28"/>
          <w:szCs w:val="28"/>
        </w:rPr>
        <w:t>К началу 1812 года политическая карта Европы представляла собой практически монолитное пространство под контролем Первой французской империи. Почти все крупные державы континента были либо вассалами Наполеона, либо его вынужденными союзниками. Однако внешнее спокойствие маскировало глубочайшие противоречия между Парижем и Санкт-Петербургом, которые сделали военное столкновение неизбежным.</w:t>
      </w:r>
    </w:p>
    <w:p>
      <w:pPr>
        <w:pStyle w:val="Heading1"/>
        <w:jc w:val="start"/>
        <w:rPr>
          <w:rFonts w:ascii="Times New Roman" w:hAnsi="Times New Roman"/>
          <w:sz w:val="28"/>
          <w:szCs w:val="28"/>
        </w:rPr>
      </w:pPr>
      <w:bookmarkStart w:id="2" w:name="__RefHeading___Toc14471_122818093"/>
      <w:bookmarkEnd w:id="2"/>
      <w:r>
        <w:rPr>
          <w:rFonts w:ascii="Times New Roman" w:hAnsi="Times New Roman"/>
          <w:sz w:val="28"/>
          <w:szCs w:val="28"/>
        </w:rPr>
        <w:t>1.1. Экономический детерминизм и «Континентальная блокада»</w:t>
      </w:r>
    </w:p>
    <w:p>
      <w:pPr>
        <w:pStyle w:val="BodyText"/>
        <w:spacing w:lineRule="auto" w:line="360" w:before="95" w:after="0"/>
        <w:ind w:firstLine="710" w:start="140" w:end="144"/>
        <w:jc w:val="both"/>
        <w:rPr>
          <w:rFonts w:ascii="Times New Roman" w:hAnsi="Times New Roman"/>
          <w:sz w:val="28"/>
          <w:szCs w:val="28"/>
        </w:rPr>
      </w:pPr>
      <w:r>
        <w:rPr>
          <w:rFonts w:ascii="Times New Roman" w:hAnsi="Times New Roman"/>
          <w:sz w:val="28"/>
          <w:szCs w:val="28"/>
        </w:rPr>
        <w:t>Основой конфликта стало участие России в Континентальной блокаде Англии, навязанное Тильзитским миром 1807 года. Для Наполеона блокада была единственным способом сокрушить британскую экономику, но для России она обернулась финансовой катастрофой.</w:t>
      </w:r>
    </w:p>
    <w:p>
      <w:pPr>
        <w:pStyle w:val="BodyText"/>
        <w:numPr>
          <w:ilvl w:val="0"/>
          <w:numId w:val="2"/>
        </w:numPr>
        <w:spacing w:lineRule="auto" w:line="360" w:before="95" w:after="0"/>
        <w:jc w:val="both"/>
        <w:rPr>
          <w:rFonts w:ascii="Times New Roman" w:hAnsi="Times New Roman"/>
          <w:sz w:val="28"/>
          <w:szCs w:val="28"/>
        </w:rPr>
      </w:pPr>
      <w:r>
        <w:rPr>
          <w:rFonts w:ascii="Times New Roman" w:hAnsi="Times New Roman"/>
          <w:sz w:val="28"/>
          <w:szCs w:val="28"/>
        </w:rPr>
        <w:t>Стагнация торговли: Прекращение экспорта зерна, пеньки и леса в Британию привело к резкому падению курса рубля и дефициту бюджета.</w:t>
      </w:r>
    </w:p>
    <w:p>
      <w:pPr>
        <w:pStyle w:val="BodyText"/>
        <w:numPr>
          <w:ilvl w:val="0"/>
          <w:numId w:val="2"/>
        </w:numPr>
        <w:spacing w:lineRule="auto" w:line="360" w:before="95" w:after="0"/>
        <w:jc w:val="both"/>
        <w:rPr>
          <w:rFonts w:ascii="Times New Roman" w:hAnsi="Times New Roman"/>
          <w:sz w:val="28"/>
          <w:szCs w:val="28"/>
        </w:rPr>
      </w:pPr>
      <w:r>
        <w:rPr>
          <w:rFonts w:ascii="Times New Roman" w:hAnsi="Times New Roman"/>
          <w:sz w:val="28"/>
          <w:szCs w:val="28"/>
        </w:rPr>
        <w:t>Таможенная война: В 1810 году Александр I фактически ввел «нейтральный флаг» для торговли с Англией и обложил высокими пошлинами французские предметы роскоши. Это было воспринято Наполеоном как прямое нарушение союзнических обязательств и личный вызов.</w:t>
      </w:r>
    </w:p>
    <w:p>
      <w:pPr>
        <w:pStyle w:val="Heading1"/>
        <w:jc w:val="start"/>
        <w:rPr>
          <w:rFonts w:ascii="Times New Roman" w:hAnsi="Times New Roman"/>
          <w:sz w:val="28"/>
          <w:szCs w:val="28"/>
        </w:rPr>
      </w:pPr>
      <w:bookmarkStart w:id="3" w:name="__RefHeading___Toc14473_122818093"/>
      <w:bookmarkEnd w:id="3"/>
      <w:r>
        <w:rPr>
          <w:rFonts w:ascii="Times New Roman" w:hAnsi="Times New Roman"/>
          <w:sz w:val="28"/>
          <w:szCs w:val="28"/>
        </w:rPr>
        <w:t>1.2. Геополитический узел: Польский вопрос</w:t>
      </w:r>
    </w:p>
    <w:p>
      <w:pPr>
        <w:pStyle w:val="BodyText"/>
        <w:spacing w:lineRule="auto" w:line="360" w:before="95" w:after="0"/>
        <w:ind w:firstLine="710" w:start="140" w:end="144"/>
        <w:jc w:val="both"/>
        <w:rPr>
          <w:rFonts w:ascii="Times New Roman" w:hAnsi="Times New Roman"/>
          <w:sz w:val="28"/>
          <w:szCs w:val="28"/>
        </w:rPr>
      </w:pPr>
      <w:r>
        <w:rPr>
          <w:rFonts w:ascii="Times New Roman" w:hAnsi="Times New Roman"/>
          <w:sz w:val="28"/>
          <w:szCs w:val="28"/>
        </w:rPr>
        <w:t>Создание Наполеоном Герцогства Варшавского на самой границе с Россией стало ключевым дестабилизирующим фактором.</w:t>
      </w:r>
    </w:p>
    <w:p>
      <w:pPr>
        <w:pStyle w:val="BodyText"/>
        <w:numPr>
          <w:ilvl w:val="0"/>
          <w:numId w:val="3"/>
        </w:numPr>
        <w:spacing w:lineRule="auto" w:line="360" w:before="95" w:after="0"/>
        <w:jc w:val="both"/>
        <w:rPr>
          <w:rFonts w:ascii="Times New Roman" w:hAnsi="Times New Roman"/>
          <w:sz w:val="28"/>
          <w:szCs w:val="28"/>
        </w:rPr>
      </w:pPr>
      <w:r>
        <w:rPr>
          <w:rFonts w:ascii="Times New Roman" w:hAnsi="Times New Roman"/>
          <w:sz w:val="28"/>
          <w:szCs w:val="28"/>
        </w:rPr>
        <w:t>Франция использовала польские земли как передовой операционный базис и плацдарм для развертывания своих сил.</w:t>
      </w:r>
    </w:p>
    <w:p>
      <w:pPr>
        <w:pStyle w:val="BodyText"/>
        <w:numPr>
          <w:ilvl w:val="0"/>
          <w:numId w:val="3"/>
        </w:numPr>
        <w:spacing w:lineRule="auto" w:line="360" w:before="95" w:after="0"/>
        <w:jc w:val="both"/>
        <w:rPr>
          <w:rFonts w:ascii="Times New Roman" w:hAnsi="Times New Roman"/>
          <w:sz w:val="28"/>
          <w:szCs w:val="28"/>
        </w:rPr>
      </w:pPr>
      <w:r>
        <w:rPr>
          <w:rFonts w:ascii="Times New Roman" w:hAnsi="Times New Roman"/>
          <w:sz w:val="28"/>
          <w:szCs w:val="28"/>
        </w:rPr>
        <w:t>Для России возрождение независимой Польши под протекторатом Франции означало прямую угрозу безопасности западных губерний и постоянный источник сепаратизма. Наполеон игнорировал требования Петербурга дать официальную гарантию, что Польское королевство никогда не будет восстановлено.</w:t>
      </w:r>
    </w:p>
    <w:p>
      <w:pPr>
        <w:pStyle w:val="Heading1"/>
        <w:jc w:val="start"/>
        <w:rPr>
          <w:rFonts w:ascii="Times New Roman" w:hAnsi="Times New Roman"/>
          <w:sz w:val="28"/>
          <w:szCs w:val="28"/>
        </w:rPr>
      </w:pPr>
      <w:bookmarkStart w:id="4" w:name="__RefHeading___Toc14475_122818093"/>
      <w:bookmarkEnd w:id="4"/>
      <w:r>
        <w:rPr>
          <w:rFonts w:ascii="Times New Roman" w:hAnsi="Times New Roman"/>
          <w:sz w:val="28"/>
          <w:szCs w:val="28"/>
        </w:rPr>
        <w:t>1.3. Дипломатические и личностные противоречия</w:t>
      </w:r>
    </w:p>
    <w:p>
      <w:pPr>
        <w:pStyle w:val="BodyText"/>
        <w:spacing w:lineRule="auto" w:line="360" w:before="95" w:after="0"/>
        <w:ind w:firstLine="710" w:start="140" w:end="144"/>
        <w:jc w:val="both"/>
        <w:rPr>
          <w:rFonts w:ascii="Times New Roman" w:hAnsi="Times New Roman"/>
          <w:sz w:val="28"/>
          <w:szCs w:val="28"/>
        </w:rPr>
      </w:pPr>
      <w:r>
        <w:rPr>
          <w:rFonts w:ascii="Times New Roman" w:hAnsi="Times New Roman"/>
          <w:sz w:val="28"/>
          <w:szCs w:val="28"/>
        </w:rPr>
        <w:t>Противостояние двух императоров подогревалось личной неприязнью и серией дипломатических неудач. Отказ Александра I выдать замуж за Наполеона своих сестер (сначала великую княжну Екатерину, затем Анну) был воспринят в Париже как оскорбление «выскочке» Бонапарту со стороны легитимной монархии Романовых. Наполеон стремился к «мировому господству», понимая, что без окончательного подчинения России любая победа в Европе будет лишь временным перемирием.</w:t>
      </w:r>
    </w:p>
    <w:p>
      <w:pPr>
        <w:pStyle w:val="Heading1"/>
        <w:jc w:val="start"/>
        <w:rPr>
          <w:rFonts w:ascii="Times New Roman" w:hAnsi="Times New Roman"/>
          <w:sz w:val="28"/>
          <w:szCs w:val="28"/>
        </w:rPr>
      </w:pPr>
      <w:bookmarkStart w:id="5" w:name="__RefHeading___Toc14477_122818093"/>
      <w:bookmarkEnd w:id="5"/>
      <w:r>
        <w:rPr>
          <w:rFonts w:ascii="Times New Roman" w:hAnsi="Times New Roman"/>
          <w:sz w:val="28"/>
          <w:szCs w:val="28"/>
        </w:rPr>
        <w:t>1.4. Характер войны</w:t>
      </w:r>
    </w:p>
    <w:p>
      <w:pPr>
        <w:pStyle w:val="BodyText"/>
        <w:spacing w:lineRule="auto" w:line="360" w:before="95" w:after="0"/>
        <w:ind w:firstLine="710" w:start="140" w:end="144"/>
        <w:jc w:val="both"/>
        <w:rPr>
          <w:rFonts w:ascii="Times New Roman" w:hAnsi="Times New Roman"/>
          <w:sz w:val="28"/>
          <w:szCs w:val="28"/>
        </w:rPr>
      </w:pPr>
      <w:r>
        <w:rPr>
          <w:rFonts w:ascii="Times New Roman" w:hAnsi="Times New Roman"/>
          <w:sz w:val="28"/>
          <w:szCs w:val="28"/>
        </w:rPr>
        <w:t>Со стороны Франции война носила захватнический, несправедливый и агрессивный характер. Наполеон планировал в ходе короткой кампании разгромить русскую армию в приграничном сражении и принудить Александра I к подписанию нового, еще более кабального мирного договора.</w:t>
      </w:r>
    </w:p>
    <w:p>
      <w:pPr>
        <w:pStyle w:val="BodyText"/>
        <w:spacing w:lineRule="auto" w:line="360" w:before="95" w:after="0"/>
        <w:ind w:firstLine="710" w:start="140" w:end="144"/>
        <w:jc w:val="both"/>
        <w:rPr>
          <w:rFonts w:ascii="Times New Roman" w:hAnsi="Times New Roman"/>
          <w:sz w:val="28"/>
          <w:szCs w:val="28"/>
        </w:rPr>
      </w:pPr>
      <w:r>
        <w:rPr>
          <w:rFonts w:ascii="Times New Roman" w:hAnsi="Times New Roman"/>
          <w:sz w:val="28"/>
          <w:szCs w:val="28"/>
        </w:rPr>
        <w:t>Для России война с первых же дней приобрела справедливый и оборонительный характер. Она быстро переросла рамки обычного столкновения двух регулярных армий. Посягательство на суверенитет и национальную независимость вызвало небывалый подъем патриотизма. Это привело к возникновению:</w:t>
      </w:r>
    </w:p>
    <w:p>
      <w:pPr>
        <w:pStyle w:val="BodyText"/>
        <w:numPr>
          <w:ilvl w:val="0"/>
          <w:numId w:val="4"/>
        </w:numPr>
        <w:spacing w:lineRule="auto" w:line="360" w:before="95" w:after="0"/>
        <w:jc w:val="both"/>
        <w:rPr>
          <w:rFonts w:ascii="Times New Roman" w:hAnsi="Times New Roman"/>
          <w:sz w:val="28"/>
          <w:szCs w:val="28"/>
        </w:rPr>
      </w:pPr>
      <w:r>
        <w:rPr>
          <w:rFonts w:ascii="Times New Roman" w:hAnsi="Times New Roman"/>
          <w:sz w:val="28"/>
          <w:szCs w:val="28"/>
        </w:rPr>
        <w:t>Народного ополчения: добровольных формирований из всех сословий.</w:t>
      </w:r>
    </w:p>
    <w:p>
      <w:pPr>
        <w:pStyle w:val="BodyText"/>
        <w:numPr>
          <w:ilvl w:val="0"/>
          <w:numId w:val="4"/>
        </w:numPr>
        <w:spacing w:lineRule="auto" w:line="360" w:before="95" w:after="0"/>
        <w:jc w:val="both"/>
        <w:rPr>
          <w:rFonts w:ascii="Times New Roman" w:hAnsi="Times New Roman"/>
          <w:sz w:val="28"/>
          <w:szCs w:val="28"/>
        </w:rPr>
      </w:pPr>
      <w:r>
        <w:rPr>
          <w:rFonts w:ascii="Times New Roman" w:hAnsi="Times New Roman"/>
          <w:sz w:val="28"/>
          <w:szCs w:val="28"/>
        </w:rPr>
        <w:t>Партизанского движения: организованного сопротивления в тылу врага, которое разрушило французскую систему снабжения.</w:t>
      </w:r>
    </w:p>
    <w:p>
      <w:pPr>
        <w:pStyle w:val="BodyText"/>
        <w:spacing w:lineRule="auto" w:line="360" w:before="95" w:after="0"/>
        <w:ind w:firstLine="710" w:start="140" w:end="144"/>
        <w:jc w:val="both"/>
        <w:rPr>
          <w:rFonts w:ascii="Times New Roman" w:hAnsi="Times New Roman"/>
          <w:sz w:val="28"/>
          <w:szCs w:val="28"/>
        </w:rPr>
      </w:pPr>
      <w:r>
        <w:rPr>
          <w:rFonts w:ascii="Times New Roman" w:hAnsi="Times New Roman"/>
          <w:sz w:val="28"/>
          <w:szCs w:val="28"/>
        </w:rPr>
        <w:t>Таким образом, война 1812 года стала для русского народа истинно Отечественной, поскольку на кону стояло само существование государства.</w:t>
      </w:r>
    </w:p>
    <w:p>
      <w:pPr>
        <w:pStyle w:val="Heading1"/>
        <w:widowControl w:val="false"/>
        <w:bidi w:val="0"/>
        <w:spacing w:before="72" w:after="0"/>
        <w:ind w:hanging="0" w:start="170" w:end="0"/>
        <w:jc w:val="center"/>
        <w:rPr>
          <w:rFonts w:ascii="Times New Roman" w:hAnsi="Times New Roman"/>
          <w:sz w:val="28"/>
          <w:szCs w:val="28"/>
        </w:rPr>
      </w:pPr>
      <w:bookmarkStart w:id="6" w:name="__RefHeading___Toc13313_531594522"/>
      <w:bookmarkStart w:id="7" w:name="_Toc216990941"/>
      <w:bookmarkEnd w:id="6"/>
      <w:r>
        <w:rPr>
          <w:rFonts w:ascii="Times New Roman" w:hAnsi="Times New Roman"/>
          <w:sz w:val="28"/>
          <w:szCs w:val="28"/>
        </w:rPr>
        <w:t xml:space="preserve">Глава </w:t>
      </w:r>
      <w:r>
        <w:rPr>
          <w:rFonts w:ascii="Times New Roman" w:hAnsi="Times New Roman"/>
          <w:sz w:val="28"/>
          <w:szCs w:val="28"/>
        </w:rPr>
        <w:t>2</w:t>
      </w:r>
      <w:r>
        <w:rPr>
          <w:rFonts w:ascii="Times New Roman" w:hAnsi="Times New Roman"/>
          <w:sz w:val="28"/>
          <w:szCs w:val="28"/>
        </w:rPr>
        <w:t xml:space="preserve">. </w:t>
      </w:r>
      <w:bookmarkEnd w:id="7"/>
      <w:r>
        <w:rPr>
          <w:rFonts w:ascii="Times New Roman" w:hAnsi="Times New Roman"/>
          <w:sz w:val="28"/>
          <w:szCs w:val="28"/>
        </w:rPr>
        <w:t>Общий ход военных действий и оперативное искусство</w:t>
      </w:r>
    </w:p>
    <w:p>
      <w:pPr>
        <w:pStyle w:val="BodyText"/>
        <w:spacing w:lineRule="auto" w:line="360" w:before="95" w:after="0"/>
        <w:ind w:firstLine="710" w:start="140" w:end="144"/>
        <w:jc w:val="both"/>
        <w:rPr>
          <w:rFonts w:ascii="Times New Roman" w:hAnsi="Times New Roman"/>
          <w:sz w:val="28"/>
          <w:szCs w:val="28"/>
        </w:rPr>
      </w:pPr>
      <w:r>
        <w:rPr>
          <w:rFonts w:ascii="Times New Roman" w:hAnsi="Times New Roman"/>
          <w:sz w:val="28"/>
          <w:szCs w:val="28"/>
        </w:rPr>
        <w:t>Военные действия Отечественной войны 1812 года представляют собой классический пример перехода от стратегической обороны в глубине собственной территории к решительному контрнаступлению. Весь период кампании принято делить на два ключевых этапа: продвижение Наполеона к Москве (июнь — сентябрь) и его последующее отступление, закончившееся фактической ликвидацией «Великой армии» (октябрь — декабрь).</w:t>
      </w:r>
    </w:p>
    <w:p>
      <w:pPr>
        <w:pStyle w:val="Heading1"/>
        <w:jc w:val="start"/>
        <w:rPr>
          <w:rFonts w:ascii="Times New Roman" w:hAnsi="Times New Roman"/>
          <w:sz w:val="28"/>
          <w:szCs w:val="28"/>
        </w:rPr>
      </w:pPr>
      <w:bookmarkStart w:id="8" w:name="__RefHeading___Toc14479_122818093"/>
      <w:bookmarkEnd w:id="8"/>
      <w:r>
        <w:rPr>
          <w:rFonts w:ascii="Times New Roman" w:hAnsi="Times New Roman"/>
          <w:sz w:val="28"/>
          <w:szCs w:val="28"/>
        </w:rPr>
        <w:t>2.1. Первый этап: Отступление к Москве и Бородинская битва</w:t>
      </w:r>
    </w:p>
    <w:p>
      <w:pPr>
        <w:pStyle w:val="BodyText"/>
        <w:spacing w:lineRule="auto" w:line="360" w:before="95" w:after="0"/>
        <w:ind w:firstLine="710" w:start="140" w:end="144"/>
        <w:jc w:val="both"/>
        <w:rPr>
          <w:rFonts w:ascii="Times New Roman" w:hAnsi="Times New Roman"/>
          <w:sz w:val="28"/>
          <w:szCs w:val="28"/>
        </w:rPr>
      </w:pPr>
      <w:r>
        <w:rPr>
          <w:rFonts w:ascii="Times New Roman" w:hAnsi="Times New Roman"/>
          <w:sz w:val="28"/>
          <w:szCs w:val="28"/>
        </w:rPr>
        <w:t>24 июня 1812 года силы Наполеона (около 600 тысяч человек) форсировали Неман. Русские силы (порядка 240 тысяч) были рассредоточены: 1-я армия Барклая-де-Толли и 2-я армия Багратиона находились на значительном удалении друг от друга. Основной стратегической задачей русского командования стала реализация плана по соединению разрозненных сил, избегая решающего сражения на невыгодных рубежах.</w:t>
      </w:r>
    </w:p>
    <w:p>
      <w:pPr>
        <w:pStyle w:val="BodyText"/>
        <w:numPr>
          <w:ilvl w:val="0"/>
          <w:numId w:val="5"/>
        </w:numPr>
        <w:spacing w:lineRule="auto" w:line="360" w:before="95" w:after="0"/>
        <w:jc w:val="both"/>
        <w:rPr>
          <w:rFonts w:ascii="Times New Roman" w:hAnsi="Times New Roman"/>
          <w:sz w:val="28"/>
          <w:szCs w:val="28"/>
        </w:rPr>
      </w:pPr>
      <w:r>
        <w:rPr>
          <w:rFonts w:ascii="Times New Roman" w:hAnsi="Times New Roman"/>
          <w:sz w:val="28"/>
          <w:szCs w:val="28"/>
        </w:rPr>
        <w:t>Смоленское сражение (16–18 августа): Здесь произошло первое масштабное столкновение объединенных русских армий с врагом. Несмотря на упорство обороны, город был оставлен, чтобы сохранить армию. После этого командование принял М.И. Кутузов, который, понимая политическую невозможность дальнейшего отступления без боя, решил дать генеральное сражение на подступах к Москве.</w:t>
      </w:r>
    </w:p>
    <w:p>
      <w:pPr>
        <w:pStyle w:val="BodyText"/>
        <w:numPr>
          <w:ilvl w:val="0"/>
          <w:numId w:val="5"/>
        </w:numPr>
        <w:spacing w:lineRule="auto" w:line="360" w:before="95" w:after="0"/>
        <w:jc w:val="both"/>
        <w:rPr>
          <w:rFonts w:ascii="Times New Roman" w:hAnsi="Times New Roman"/>
          <w:sz w:val="28"/>
          <w:szCs w:val="28"/>
        </w:rPr>
      </w:pPr>
      <w:r>
        <w:rPr>
          <w:rFonts w:ascii="Times New Roman" w:hAnsi="Times New Roman"/>
          <w:sz w:val="28"/>
          <w:szCs w:val="28"/>
        </w:rPr>
        <w:t>Бородинское сражение (7 сентября): Стало кульминацией первого этапа. Кутузов выбрал позицию, которая позволила перекрыть Новую и Старую Смоленские дороги. Ожесточенные бои за Багратионовы флеши и батарею Раевского обескровили французскую армию (потеря около 30 тыс. человек), но не принесли Наполеону желаемого разгрома русских сил. Русская армия сохранила структуру, управление и боевой дух.</w:t>
      </w:r>
    </w:p>
    <w:p>
      <w:pPr>
        <w:pStyle w:val="Heading1"/>
        <w:jc w:val="start"/>
        <w:rPr>
          <w:rFonts w:ascii="Times New Roman" w:hAnsi="Times New Roman"/>
          <w:sz w:val="28"/>
          <w:szCs w:val="28"/>
        </w:rPr>
      </w:pPr>
      <w:bookmarkStart w:id="9" w:name="__RefHeading___Toc14481_122818093"/>
      <w:bookmarkEnd w:id="9"/>
      <w:r>
        <w:rPr>
          <w:rFonts w:ascii="Times New Roman" w:hAnsi="Times New Roman"/>
          <w:sz w:val="28"/>
          <w:szCs w:val="28"/>
        </w:rPr>
        <w:t>2.2. Второй этап: Перелом и изгнание агрессора</w:t>
      </w:r>
    </w:p>
    <w:p>
      <w:pPr>
        <w:pStyle w:val="BodyText"/>
        <w:spacing w:lineRule="auto" w:line="360" w:before="95" w:after="0"/>
        <w:ind w:firstLine="710" w:start="140" w:end="144"/>
        <w:jc w:val="both"/>
        <w:rPr>
          <w:rFonts w:ascii="Times New Roman" w:hAnsi="Times New Roman"/>
          <w:sz w:val="28"/>
          <w:szCs w:val="28"/>
        </w:rPr>
      </w:pPr>
      <w:r>
        <w:rPr>
          <w:rFonts w:ascii="Times New Roman" w:hAnsi="Times New Roman"/>
          <w:sz w:val="28"/>
          <w:szCs w:val="28"/>
        </w:rPr>
        <w:t>После исторического Совета в Филях и тяжелого решения об оставлении Москвы, русское командование реализовало уникальный Тарутинский марш-маневр. Скрытно переведя войска с Рязанской дороги на Калужскую, Кутузов решил сразу несколько задач:</w:t>
      </w:r>
    </w:p>
    <w:p>
      <w:pPr>
        <w:pStyle w:val="BodyText"/>
        <w:numPr>
          <w:ilvl w:val="0"/>
          <w:numId w:val="6"/>
        </w:numPr>
        <w:spacing w:lineRule="auto" w:line="360" w:before="95" w:after="0"/>
        <w:jc w:val="both"/>
        <w:rPr>
          <w:rFonts w:ascii="Times New Roman" w:hAnsi="Times New Roman"/>
          <w:sz w:val="28"/>
          <w:szCs w:val="28"/>
        </w:rPr>
      </w:pPr>
      <w:r>
        <w:rPr>
          <w:rFonts w:ascii="Times New Roman" w:hAnsi="Times New Roman"/>
          <w:sz w:val="28"/>
          <w:szCs w:val="28"/>
        </w:rPr>
        <w:t>Закрыл доступ к неразоренным южным губерниям и военным заводам Тулы и Брянска.</w:t>
      </w:r>
    </w:p>
    <w:p>
      <w:pPr>
        <w:pStyle w:val="BodyText"/>
        <w:numPr>
          <w:ilvl w:val="0"/>
          <w:numId w:val="6"/>
        </w:numPr>
        <w:spacing w:lineRule="auto" w:line="360" w:before="95" w:after="0"/>
        <w:jc w:val="both"/>
        <w:rPr>
          <w:rFonts w:ascii="Times New Roman" w:hAnsi="Times New Roman"/>
          <w:sz w:val="28"/>
          <w:szCs w:val="28"/>
        </w:rPr>
      </w:pPr>
      <w:r>
        <w:rPr>
          <w:rFonts w:ascii="Times New Roman" w:hAnsi="Times New Roman"/>
          <w:sz w:val="28"/>
          <w:szCs w:val="28"/>
        </w:rPr>
        <w:t>Обеспечил армии отдых и пополнение резервами в укрепленном лагере.</w:t>
      </w:r>
    </w:p>
    <w:p>
      <w:pPr>
        <w:pStyle w:val="BodyText"/>
        <w:numPr>
          <w:ilvl w:val="0"/>
          <w:numId w:val="6"/>
        </w:numPr>
        <w:spacing w:lineRule="auto" w:line="360" w:before="95" w:after="0"/>
        <w:jc w:val="both"/>
        <w:rPr>
          <w:rFonts w:ascii="Times New Roman" w:hAnsi="Times New Roman"/>
          <w:sz w:val="28"/>
          <w:szCs w:val="28"/>
        </w:rPr>
      </w:pPr>
      <w:r>
        <w:rPr>
          <w:rFonts w:ascii="Times New Roman" w:hAnsi="Times New Roman"/>
          <w:sz w:val="28"/>
          <w:szCs w:val="28"/>
        </w:rPr>
        <w:t>Поставил под угрозу коммуникации Наполеона.</w:t>
      </w:r>
    </w:p>
    <w:p>
      <w:pPr>
        <w:pStyle w:val="BodyText"/>
        <w:spacing w:lineRule="auto" w:line="360" w:before="95" w:after="0"/>
        <w:ind w:firstLine="710" w:start="140" w:end="144"/>
        <w:jc w:val="both"/>
        <w:rPr>
          <w:rFonts w:ascii="Times New Roman" w:hAnsi="Times New Roman"/>
          <w:sz w:val="28"/>
          <w:szCs w:val="28"/>
        </w:rPr>
      </w:pPr>
      <w:r>
        <w:rPr>
          <w:rFonts w:ascii="Times New Roman" w:hAnsi="Times New Roman"/>
          <w:sz w:val="28"/>
          <w:szCs w:val="28"/>
        </w:rPr>
        <w:t>Попытка Наполеона прорваться на юг была пресечена в ожесточенном сражении под Малоярославцем, после чего французы были вынуждены отступать по уже разоренной ими же Старой Смоленской дороге. На этом этапе война переросла в тотальное преследование. Сочетание тактики «параллельного марша» регулярных частей и действий летучих партизанских отрядов (Дениса Давыдова, Александра Фигнера) привело к полной дезорганизации тыла французов.</w:t>
      </w:r>
    </w:p>
    <w:p>
      <w:pPr>
        <w:pStyle w:val="BodyText"/>
        <w:spacing w:lineRule="auto" w:line="360" w:before="95" w:after="0"/>
        <w:ind w:firstLine="710" w:start="140" w:end="144"/>
        <w:jc w:val="both"/>
        <w:rPr>
          <w:rFonts w:ascii="Times New Roman" w:hAnsi="Times New Roman"/>
          <w:sz w:val="28"/>
          <w:szCs w:val="28"/>
        </w:rPr>
      </w:pPr>
      <w:r>
        <w:rPr>
          <w:rFonts w:ascii="Times New Roman" w:hAnsi="Times New Roman"/>
          <w:sz w:val="28"/>
          <w:szCs w:val="28"/>
        </w:rPr>
        <w:t>Финальным аккордом стал разгром на переправе через реку Березину в конце ноября, где Наполеон потерял остатки боеспособных частей. К декабрю 1812 года некогда мощнейшая армия Европы перестала существовать как организованная военная сила.</w:t>
      </w:r>
    </w:p>
    <w:p>
      <w:pPr>
        <w:pStyle w:val="Heading1"/>
        <w:widowControl w:val="false"/>
        <w:bidi w:val="0"/>
        <w:spacing w:before="72" w:after="0"/>
        <w:ind w:hanging="0" w:start="170" w:end="0"/>
        <w:jc w:val="center"/>
        <w:rPr>
          <w:rFonts w:ascii="Times New Roman" w:hAnsi="Times New Roman"/>
          <w:sz w:val="28"/>
          <w:szCs w:val="28"/>
        </w:rPr>
      </w:pPr>
      <w:bookmarkStart w:id="10" w:name="__RefHeading___Toc13315_531594522"/>
      <w:bookmarkEnd w:id="10"/>
      <w:r>
        <w:rPr>
          <w:rFonts w:ascii="Times New Roman" w:hAnsi="Times New Roman"/>
          <w:sz w:val="28"/>
          <w:szCs w:val="28"/>
        </w:rPr>
        <w:t>Глава 3. Исход войны и военные потери</w:t>
      </w:r>
    </w:p>
    <w:p>
      <w:pPr>
        <w:pStyle w:val="BodyText"/>
        <w:spacing w:lineRule="auto" w:line="360" w:before="95" w:after="0"/>
        <w:ind w:firstLine="711" w:start="140" w:end="144"/>
        <w:jc w:val="both"/>
        <w:rPr>
          <w:rFonts w:ascii="Times New Roman" w:hAnsi="Times New Roman"/>
          <w:sz w:val="28"/>
          <w:szCs w:val="28"/>
        </w:rPr>
      </w:pPr>
      <w:r>
        <w:rPr>
          <w:rFonts w:ascii="Times New Roman" w:hAnsi="Times New Roman"/>
          <w:sz w:val="28"/>
          <w:szCs w:val="28"/>
        </w:rPr>
        <w:t>Официальной датой завершения войны на территории Российской империи считается 14 (26) декабря 1812 года, когда остатки «Великой армии» форсировали Неман, покидая пределы России. Результат кампании был катастрофическим для Франции: из первоначального состава группировки вторжения, насчитывавшей более 600 тысяч человек (включая тыловые и вспомогательные части), границы пересекли в обратном направлении не более 30–50 тысяч изнуренных солдат. По сути, Наполеон потерял в России свой основной кадровый костяк, что предопределило его итоговое поражение в 1814 году.</w:t>
      </w:r>
    </w:p>
    <w:p>
      <w:pPr>
        <w:pStyle w:val="BodyText"/>
        <w:spacing w:lineRule="auto" w:line="360" w:before="95" w:after="0"/>
        <w:ind w:firstLine="711" w:start="140" w:end="144"/>
        <w:jc w:val="both"/>
        <w:rPr>
          <w:rFonts w:ascii="Times New Roman" w:hAnsi="Times New Roman"/>
          <w:sz w:val="28"/>
          <w:szCs w:val="28"/>
        </w:rPr>
      </w:pPr>
      <w:r>
        <w:rPr>
          <w:rFonts w:ascii="Times New Roman" w:hAnsi="Times New Roman"/>
          <w:sz w:val="28"/>
          <w:szCs w:val="28"/>
        </w:rPr>
        <w:t>Победа России не была случайным стечением обстоятельств или следствием одних лишь климатических аномалий. Она стала результатом комплексного превосходства русской военной и государственной системы:</w:t>
      </w:r>
    </w:p>
    <w:p>
      <w:pPr>
        <w:pStyle w:val="BodyText"/>
        <w:numPr>
          <w:ilvl w:val="0"/>
          <w:numId w:val="7"/>
        </w:numPr>
        <w:spacing w:lineRule="auto" w:line="360" w:before="95" w:after="0"/>
        <w:jc w:val="both"/>
        <w:rPr>
          <w:rFonts w:ascii="Times New Roman" w:hAnsi="Times New Roman"/>
          <w:sz w:val="28"/>
          <w:szCs w:val="28"/>
        </w:rPr>
      </w:pPr>
      <w:r>
        <w:rPr>
          <w:rFonts w:ascii="Times New Roman" w:hAnsi="Times New Roman"/>
          <w:sz w:val="28"/>
          <w:szCs w:val="28"/>
        </w:rPr>
        <w:t>Стойкость и моральный фактор: Русская армия продемонстрировала беспрецедентный уровень дисциплины и самопожертвования. В отличие от многонациональных сил Наполеона, русские войска были монолитны и понимали, что сражаются за выживание своего государства.</w:t>
      </w:r>
    </w:p>
    <w:p>
      <w:pPr>
        <w:pStyle w:val="BodyText"/>
        <w:numPr>
          <w:ilvl w:val="0"/>
          <w:numId w:val="7"/>
        </w:numPr>
        <w:spacing w:lineRule="auto" w:line="360" w:before="95" w:after="0"/>
        <w:jc w:val="both"/>
        <w:rPr>
          <w:rFonts w:ascii="Times New Roman" w:hAnsi="Times New Roman"/>
          <w:sz w:val="28"/>
          <w:szCs w:val="28"/>
        </w:rPr>
      </w:pPr>
      <w:r>
        <w:rPr>
          <w:rFonts w:ascii="Times New Roman" w:hAnsi="Times New Roman"/>
          <w:sz w:val="28"/>
          <w:szCs w:val="28"/>
        </w:rPr>
        <w:t>Стратегическая гибкость командования: М.И. Кутузов и его штаб смогли навязать противнику «войну на истощение». Отказ от шаблонов линейной тактики в пользу глубоких маневров и создания укрепленных лагерей (Тарутино) позволил перехватить инициативу.</w:t>
      </w:r>
    </w:p>
    <w:p>
      <w:pPr>
        <w:pStyle w:val="BodyText"/>
        <w:numPr>
          <w:ilvl w:val="0"/>
          <w:numId w:val="7"/>
        </w:numPr>
        <w:spacing w:lineRule="auto" w:line="360" w:before="95" w:after="0"/>
        <w:jc w:val="both"/>
        <w:rPr>
          <w:rFonts w:ascii="Times New Roman" w:hAnsi="Times New Roman"/>
          <w:sz w:val="28"/>
          <w:szCs w:val="28"/>
        </w:rPr>
      </w:pPr>
      <w:r>
        <w:rPr>
          <w:rFonts w:ascii="Times New Roman" w:hAnsi="Times New Roman"/>
          <w:sz w:val="28"/>
          <w:szCs w:val="28"/>
        </w:rPr>
        <w:t>Феномен народной войны: Героическое сопротивление населения лишило французскую армию возможности снабжения за счет местных ресурсов (фуражировки). Партизанские отряды и ополчение сковали огромные силы противника, превратив его тыл в зону постоянной опасности.</w:t>
      </w:r>
    </w:p>
    <w:p>
      <w:pPr>
        <w:pStyle w:val="BodyText"/>
        <w:numPr>
          <w:ilvl w:val="0"/>
          <w:numId w:val="7"/>
        </w:numPr>
        <w:spacing w:lineRule="auto" w:line="360" w:before="95" w:after="0"/>
        <w:jc w:val="both"/>
        <w:rPr>
          <w:rFonts w:ascii="Times New Roman" w:hAnsi="Times New Roman"/>
          <w:sz w:val="28"/>
          <w:szCs w:val="28"/>
        </w:rPr>
      </w:pPr>
      <w:r>
        <w:rPr>
          <w:rFonts w:ascii="Times New Roman" w:hAnsi="Times New Roman"/>
          <w:sz w:val="28"/>
          <w:szCs w:val="28"/>
        </w:rPr>
        <w:t>Логистический коллапс Наполеона: Французская система снабжения, рассчитанная на стремительные кампании в густонаселенной Европе, оказалась неэффективной на огромных пространствах России. Недооценка коммуникационных сложностей, растянутость линий снабжения и отсутствие зимней подготовки стали фатальными ошибками французского штаба.</w:t>
      </w:r>
    </w:p>
    <w:p>
      <w:pPr>
        <w:pStyle w:val="BodyText"/>
        <w:spacing w:lineRule="auto" w:line="360" w:before="95" w:after="0"/>
        <w:ind w:firstLine="711" w:start="140" w:end="144"/>
        <w:jc w:val="both"/>
        <w:rPr>
          <w:rFonts w:ascii="Times New Roman" w:hAnsi="Times New Roman"/>
          <w:sz w:val="28"/>
          <w:szCs w:val="28"/>
        </w:rPr>
      </w:pPr>
      <w:r>
        <w:rPr>
          <w:rFonts w:ascii="Times New Roman" w:hAnsi="Times New Roman"/>
          <w:sz w:val="28"/>
          <w:szCs w:val="28"/>
        </w:rPr>
        <w:t>Таким образом, исход войны был предрешен не только «генералом Морозом», но прежде всего стратегической грамотностью русского командования, которое сумело превратить географию и патриотизм в сокрушительное оружие.</w:t>
      </w:r>
    </w:p>
    <w:p>
      <w:pPr>
        <w:pStyle w:val="Heading1"/>
        <w:widowControl w:val="false"/>
        <w:bidi w:val="0"/>
        <w:spacing w:before="72" w:after="0"/>
        <w:ind w:hanging="0" w:start="170" w:end="0"/>
        <w:jc w:val="center"/>
        <w:rPr>
          <w:rFonts w:ascii="Times New Roman" w:hAnsi="Times New Roman"/>
          <w:sz w:val="28"/>
          <w:szCs w:val="28"/>
        </w:rPr>
      </w:pPr>
      <w:bookmarkStart w:id="11" w:name="__RefHeading___Toc13317_531594522"/>
      <w:bookmarkEnd w:id="11"/>
      <w:r>
        <w:rPr>
          <w:rFonts w:ascii="Times New Roman" w:hAnsi="Times New Roman"/>
          <w:sz w:val="28"/>
          <w:szCs w:val="28"/>
        </w:rPr>
        <w:t>Глава 4. Историческое значение победы</w:t>
      </w:r>
    </w:p>
    <w:p>
      <w:pPr>
        <w:pStyle w:val="BodyText"/>
        <w:spacing w:lineRule="auto" w:line="360" w:before="95" w:after="0"/>
        <w:ind w:firstLine="711" w:start="140" w:end="144"/>
        <w:jc w:val="both"/>
        <w:rPr>
          <w:rFonts w:ascii="Times New Roman" w:hAnsi="Times New Roman"/>
          <w:sz w:val="28"/>
          <w:szCs w:val="28"/>
        </w:rPr>
      </w:pPr>
      <w:r>
        <w:rPr>
          <w:rFonts w:ascii="Times New Roman" w:hAnsi="Times New Roman"/>
          <w:sz w:val="28"/>
          <w:szCs w:val="28"/>
        </w:rPr>
        <w:t>Победа в Отечественной войне 1812 года стала событием мирового масштаба, коренным образом изменившим геополитический ландшафт и вектор развития военной мысли на десятилетия вперед. Её значение невозможно переоценить, так как оно охватывает идеологическую, политическую и профессиональную военную сферы.</w:t>
      </w:r>
    </w:p>
    <w:p>
      <w:pPr>
        <w:pStyle w:val="Heading1"/>
        <w:jc w:val="start"/>
        <w:rPr>
          <w:rFonts w:ascii="Times New Roman" w:hAnsi="Times New Roman"/>
          <w:sz w:val="28"/>
          <w:szCs w:val="28"/>
        </w:rPr>
      </w:pPr>
      <w:bookmarkStart w:id="12" w:name="__RefHeading___Toc14483_122818093"/>
      <w:bookmarkEnd w:id="12"/>
      <w:r>
        <w:rPr>
          <w:rFonts w:ascii="Times New Roman" w:hAnsi="Times New Roman"/>
          <w:sz w:val="28"/>
          <w:szCs w:val="28"/>
        </w:rPr>
        <w:t>4.1. Влияние на российское общество и культуру</w:t>
      </w:r>
    </w:p>
    <w:p>
      <w:pPr>
        <w:pStyle w:val="BodyText"/>
        <w:spacing w:lineRule="auto" w:line="360" w:before="95" w:after="0"/>
        <w:ind w:firstLine="711" w:start="140" w:end="144"/>
        <w:jc w:val="both"/>
        <w:rPr>
          <w:rFonts w:ascii="Times New Roman" w:hAnsi="Times New Roman"/>
          <w:sz w:val="28"/>
          <w:szCs w:val="28"/>
        </w:rPr>
      </w:pPr>
      <w:r>
        <w:rPr>
          <w:rFonts w:ascii="Times New Roman" w:hAnsi="Times New Roman"/>
          <w:sz w:val="28"/>
          <w:szCs w:val="28"/>
        </w:rPr>
        <w:t>Для России 1812 год стал точкой мощнейшего всплеска национального самосознания.</w:t>
      </w:r>
    </w:p>
    <w:p>
      <w:pPr>
        <w:pStyle w:val="BodyText"/>
        <w:numPr>
          <w:ilvl w:val="0"/>
          <w:numId w:val="8"/>
        </w:numPr>
        <w:spacing w:lineRule="auto" w:line="360" w:before="95" w:after="0"/>
        <w:jc w:val="both"/>
        <w:rPr>
          <w:rFonts w:ascii="Times New Roman" w:hAnsi="Times New Roman"/>
          <w:sz w:val="28"/>
          <w:szCs w:val="28"/>
        </w:rPr>
      </w:pPr>
      <w:r>
        <w:rPr>
          <w:rFonts w:ascii="Times New Roman" w:hAnsi="Times New Roman"/>
          <w:sz w:val="28"/>
          <w:szCs w:val="28"/>
        </w:rPr>
        <w:t>Рождение нации: Война объединила все сословия — от крепостного крестьянина до потомственного аристократа — в едином порыве защиты Родины. Это единство заложило фундамент для формирования современной русской нации.</w:t>
      </w:r>
    </w:p>
    <w:p>
      <w:pPr>
        <w:pStyle w:val="BodyText"/>
        <w:numPr>
          <w:ilvl w:val="0"/>
          <w:numId w:val="8"/>
        </w:numPr>
        <w:spacing w:lineRule="auto" w:line="360" w:before="95" w:after="0"/>
        <w:jc w:val="both"/>
        <w:rPr>
          <w:rFonts w:ascii="Times New Roman" w:hAnsi="Times New Roman"/>
          <w:sz w:val="28"/>
          <w:szCs w:val="28"/>
        </w:rPr>
      </w:pPr>
      <w:r>
        <w:rPr>
          <w:rFonts w:ascii="Times New Roman" w:hAnsi="Times New Roman"/>
          <w:sz w:val="28"/>
          <w:szCs w:val="28"/>
        </w:rPr>
        <w:t>Идеологический импульс: Победа над «непобедимым» Наполеоном дала мощный толчок развитию русской культуры, философии и литературы (от Пушкина до Толстого).</w:t>
      </w:r>
    </w:p>
    <w:p>
      <w:pPr>
        <w:pStyle w:val="BodyText"/>
        <w:numPr>
          <w:ilvl w:val="0"/>
          <w:numId w:val="8"/>
        </w:numPr>
        <w:spacing w:lineRule="auto" w:line="360" w:before="95" w:after="0"/>
        <w:jc w:val="both"/>
        <w:rPr>
          <w:rFonts w:ascii="Times New Roman" w:hAnsi="Times New Roman"/>
          <w:sz w:val="28"/>
          <w:szCs w:val="28"/>
        </w:rPr>
      </w:pPr>
      <w:r>
        <w:rPr>
          <w:rFonts w:ascii="Times New Roman" w:hAnsi="Times New Roman"/>
          <w:sz w:val="28"/>
          <w:szCs w:val="28"/>
        </w:rPr>
        <w:t>Зарождение реформаторских движений: Офицеры, прошедшие через всю Европу в ходе Заграничных походов, увидели иную жизнь, что в дальнейшем привело к возникновению тайных обществ и восстанию декабристов, стремившихся к обновлению государственного строя.</w:t>
      </w:r>
    </w:p>
    <w:p>
      <w:pPr>
        <w:pStyle w:val="Heading1"/>
        <w:jc w:val="start"/>
        <w:rPr>
          <w:rFonts w:ascii="Times New Roman" w:hAnsi="Times New Roman"/>
          <w:sz w:val="28"/>
          <w:szCs w:val="28"/>
        </w:rPr>
      </w:pPr>
      <w:bookmarkStart w:id="13" w:name="__RefHeading___Toc14485_122818093"/>
      <w:bookmarkEnd w:id="13"/>
      <w:r>
        <w:rPr>
          <w:rFonts w:ascii="Times New Roman" w:hAnsi="Times New Roman"/>
          <w:sz w:val="28"/>
          <w:szCs w:val="28"/>
        </w:rPr>
        <w:t>4.2. Геополитическая роль России в Европе</w:t>
      </w:r>
    </w:p>
    <w:p>
      <w:pPr>
        <w:pStyle w:val="BodyText"/>
        <w:spacing w:lineRule="auto" w:line="360" w:before="95" w:after="0"/>
        <w:ind w:firstLine="711" w:start="140" w:end="144"/>
        <w:jc w:val="both"/>
        <w:rPr>
          <w:rFonts w:ascii="Times New Roman" w:hAnsi="Times New Roman"/>
          <w:sz w:val="28"/>
          <w:szCs w:val="28"/>
        </w:rPr>
      </w:pPr>
      <w:r>
        <w:rPr>
          <w:rFonts w:ascii="Times New Roman" w:hAnsi="Times New Roman"/>
          <w:sz w:val="28"/>
          <w:szCs w:val="28"/>
        </w:rPr>
        <w:t>Исход войны ознаменовал крах амбиций Франции на мировую гегемонию и превратил Россию в ведущую державу континента.</w:t>
      </w:r>
    </w:p>
    <w:p>
      <w:pPr>
        <w:pStyle w:val="BodyText"/>
        <w:numPr>
          <w:ilvl w:val="0"/>
          <w:numId w:val="9"/>
        </w:numPr>
        <w:spacing w:lineRule="auto" w:line="360" w:before="95" w:after="0"/>
        <w:jc w:val="both"/>
        <w:rPr>
          <w:rFonts w:ascii="Times New Roman" w:hAnsi="Times New Roman"/>
          <w:sz w:val="28"/>
          <w:szCs w:val="28"/>
        </w:rPr>
      </w:pPr>
      <w:r>
        <w:rPr>
          <w:rFonts w:ascii="Times New Roman" w:hAnsi="Times New Roman"/>
          <w:sz w:val="28"/>
          <w:szCs w:val="28"/>
        </w:rPr>
        <w:t>Освободительная миссия: Разгром «Великой армии» стал сигналом для национально-освободительной борьбы германских и других европейских народов против французского диктата.</w:t>
      </w:r>
    </w:p>
    <w:p>
      <w:pPr>
        <w:pStyle w:val="BodyText"/>
        <w:numPr>
          <w:ilvl w:val="0"/>
          <w:numId w:val="9"/>
        </w:numPr>
        <w:spacing w:lineRule="auto" w:line="360" w:before="95" w:after="0"/>
        <w:jc w:val="both"/>
        <w:rPr>
          <w:rFonts w:ascii="Times New Roman" w:hAnsi="Times New Roman"/>
          <w:sz w:val="28"/>
          <w:szCs w:val="28"/>
        </w:rPr>
      </w:pPr>
      <w:r>
        <w:rPr>
          <w:rFonts w:ascii="Times New Roman" w:hAnsi="Times New Roman"/>
          <w:sz w:val="28"/>
          <w:szCs w:val="28"/>
        </w:rPr>
        <w:t>Венская система: Именно Россия стала главным архитектором новой системы международных отношений на Венском конгрессе 1815 года. На несколько десятилетий Российская империя закрепила за собой статус гаранта европейской стабильности и безопасности.</w:t>
      </w:r>
    </w:p>
    <w:p>
      <w:pPr>
        <w:pStyle w:val="Heading1"/>
        <w:jc w:val="start"/>
        <w:rPr>
          <w:rFonts w:ascii="Times New Roman" w:hAnsi="Times New Roman"/>
          <w:sz w:val="28"/>
          <w:szCs w:val="28"/>
        </w:rPr>
      </w:pPr>
      <w:bookmarkStart w:id="14" w:name="__RefHeading___Toc14487_122818093"/>
      <w:bookmarkEnd w:id="14"/>
      <w:r>
        <w:rPr>
          <w:rFonts w:ascii="Times New Roman" w:hAnsi="Times New Roman"/>
          <w:sz w:val="28"/>
          <w:szCs w:val="28"/>
        </w:rPr>
        <w:t>4.3. Революция в военном искусстве</w:t>
      </w:r>
    </w:p>
    <w:p>
      <w:pPr>
        <w:pStyle w:val="BodyText"/>
        <w:spacing w:lineRule="auto" w:line="360" w:before="95" w:after="0"/>
        <w:ind w:firstLine="711" w:start="140" w:end="144"/>
        <w:jc w:val="both"/>
        <w:rPr>
          <w:rFonts w:ascii="Times New Roman" w:hAnsi="Times New Roman"/>
          <w:sz w:val="28"/>
          <w:szCs w:val="28"/>
        </w:rPr>
      </w:pPr>
      <w:r>
        <w:rPr>
          <w:rFonts w:ascii="Times New Roman" w:hAnsi="Times New Roman"/>
          <w:sz w:val="28"/>
          <w:szCs w:val="28"/>
        </w:rPr>
        <w:t>С точки зрения военной науки, опыт 1812 года заставил теоретиков пересмотреть основы ведения войны.</w:t>
      </w:r>
    </w:p>
    <w:p>
      <w:pPr>
        <w:pStyle w:val="BodyText"/>
        <w:numPr>
          <w:ilvl w:val="0"/>
          <w:numId w:val="10"/>
        </w:numPr>
        <w:spacing w:lineRule="auto" w:line="360" w:before="95" w:after="0"/>
        <w:jc w:val="both"/>
        <w:rPr>
          <w:rFonts w:ascii="Times New Roman" w:hAnsi="Times New Roman"/>
          <w:sz w:val="28"/>
          <w:szCs w:val="28"/>
        </w:rPr>
      </w:pPr>
      <w:r>
        <w:rPr>
          <w:rFonts w:ascii="Times New Roman" w:hAnsi="Times New Roman"/>
          <w:sz w:val="28"/>
          <w:szCs w:val="28"/>
        </w:rPr>
        <w:t>Крах линейной тактики: Война наглядно продемонстрировала преимущество маневренной, гибкой стратегии и тактики глубоких колонн и рассыпного строя над жесткими построениями прошлого.</w:t>
      </w:r>
    </w:p>
    <w:p>
      <w:pPr>
        <w:pStyle w:val="BodyText"/>
        <w:numPr>
          <w:ilvl w:val="0"/>
          <w:numId w:val="10"/>
        </w:numPr>
        <w:spacing w:lineRule="auto" w:line="360" w:before="95" w:after="0"/>
        <w:jc w:val="both"/>
        <w:rPr>
          <w:rFonts w:ascii="Times New Roman" w:hAnsi="Times New Roman"/>
          <w:sz w:val="28"/>
          <w:szCs w:val="28"/>
        </w:rPr>
      </w:pPr>
      <w:r>
        <w:rPr>
          <w:rFonts w:ascii="Times New Roman" w:hAnsi="Times New Roman"/>
          <w:sz w:val="28"/>
          <w:szCs w:val="28"/>
        </w:rPr>
        <w:t>Стратегическое планирование: Была доказана критическая роль оперативной подготовки тыла, создания продовольственных складов и наличия мощных обученных резервов.</w:t>
      </w:r>
    </w:p>
    <w:p>
      <w:pPr>
        <w:pStyle w:val="BodyText"/>
        <w:numPr>
          <w:ilvl w:val="0"/>
          <w:numId w:val="10"/>
        </w:numPr>
        <w:spacing w:lineRule="auto" w:line="360" w:before="95" w:after="0"/>
        <w:jc w:val="both"/>
        <w:rPr>
          <w:rFonts w:ascii="Times New Roman" w:hAnsi="Times New Roman"/>
          <w:sz w:val="28"/>
          <w:szCs w:val="28"/>
        </w:rPr>
      </w:pPr>
      <w:r>
        <w:rPr>
          <w:rFonts w:ascii="Times New Roman" w:hAnsi="Times New Roman"/>
          <w:sz w:val="28"/>
          <w:szCs w:val="28"/>
        </w:rPr>
        <w:t>Тотальная война: Впервые была продемонстрирована эффективность сочетания действий регулярной армии и народных партизанских сил, что в будущем легло в основу доктрин народной обороны.</w:t>
      </w:r>
    </w:p>
    <w:p>
      <w:pPr>
        <w:pStyle w:val="Normal"/>
        <w:rPr>
          <w:rFonts w:ascii="Times New Roman" w:hAnsi="Times New Roman"/>
          <w:sz w:val="28"/>
          <w:szCs w:val="28"/>
        </w:rPr>
      </w:pPr>
      <w:r>
        <w:rPr>
          <w:rFonts w:ascii="Times New Roman" w:hAnsi="Times New Roman"/>
          <w:sz w:val="28"/>
          <w:szCs w:val="28"/>
        </w:rPr>
      </w:r>
      <w:r>
        <w:br w:type="page"/>
      </w:r>
    </w:p>
    <w:p>
      <w:pPr>
        <w:pStyle w:val="Heading1"/>
        <w:widowControl w:val="false"/>
        <w:bidi w:val="0"/>
        <w:spacing w:before="0" w:after="0"/>
        <w:ind w:hanging="0" w:start="170" w:end="0"/>
        <w:jc w:val="center"/>
        <w:rPr>
          <w:rFonts w:ascii="Times New Roman" w:hAnsi="Times New Roman"/>
          <w:sz w:val="28"/>
          <w:szCs w:val="28"/>
        </w:rPr>
      </w:pPr>
      <w:bookmarkStart w:id="15" w:name="__RefHeading___Toc13321_531594522"/>
      <w:bookmarkStart w:id="16" w:name="_Toc216990945"/>
      <w:bookmarkEnd w:id="15"/>
      <w:r>
        <w:rPr>
          <w:rFonts w:ascii="Times New Roman" w:hAnsi="Times New Roman"/>
          <w:sz w:val="28"/>
          <w:szCs w:val="28"/>
        </w:rPr>
        <w:t>Заключение</w:t>
      </w:r>
      <w:bookmarkEnd w:id="16"/>
    </w:p>
    <w:p>
      <w:pPr>
        <w:pStyle w:val="BodyText"/>
        <w:spacing w:lineRule="auto" w:line="360" w:before="95" w:after="0"/>
        <w:ind w:firstLine="710" w:start="140" w:end="144"/>
        <w:jc w:val="both"/>
        <w:rPr>
          <w:rFonts w:ascii="Times New Roman" w:hAnsi="Times New Roman"/>
          <w:sz w:val="28"/>
          <w:szCs w:val="28"/>
        </w:rPr>
      </w:pPr>
      <w:r>
        <w:rPr>
          <w:rFonts w:ascii="Times New Roman" w:hAnsi="Times New Roman"/>
          <w:sz w:val="28"/>
          <w:szCs w:val="28"/>
        </w:rPr>
        <w:t xml:space="preserve">Подводя итог, можно утверждать, что Отечественная война 1812 года — это не просто триумф русского оружия, а победа национальной воли и стратегического интеллекта. </w:t>
      </w:r>
      <w:r>
        <w:rPr>
          <w:rFonts w:ascii="Times New Roman" w:hAnsi="Times New Roman"/>
          <w:sz w:val="28"/>
          <w:szCs w:val="28"/>
        </w:rPr>
        <w:t>Э</w:t>
      </w:r>
      <w:r>
        <w:rPr>
          <w:rFonts w:ascii="Times New Roman" w:hAnsi="Times New Roman"/>
          <w:sz w:val="28"/>
          <w:szCs w:val="28"/>
        </w:rPr>
        <w:t>тот исторический пример служит напоминанием: победа куется не только количеством штыков, но и умением грамотно использовать пространство, время и, прежде всего, несгибаемый дух личного состава.</w:t>
      </w:r>
    </w:p>
    <w:p>
      <w:pPr>
        <w:pStyle w:val="Normal"/>
        <w:rPr>
          <w:rFonts w:ascii="Times New Roman" w:hAnsi="Times New Roman"/>
          <w:sz w:val="28"/>
          <w:szCs w:val="28"/>
        </w:rPr>
      </w:pPr>
      <w:r>
        <w:rPr>
          <w:rFonts w:ascii="Times New Roman" w:hAnsi="Times New Roman"/>
          <w:sz w:val="28"/>
          <w:szCs w:val="28"/>
        </w:rPr>
      </w:r>
    </w:p>
    <w:sectPr>
      <w:footerReference w:type="even" r:id="rId2"/>
      <w:footerReference w:type="default" r:id="rId3"/>
      <w:footerReference w:type="first" r:id="rId4"/>
      <w:type w:val="nextPage"/>
      <w:pgSz w:w="11906" w:h="16838"/>
      <w:pgMar w:left="1559" w:right="708" w:gutter="0" w:header="0" w:top="1040" w:footer="1143" w:bottom="1340"/>
      <w:pgNumType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mbria">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136004737"/>
      <w:docPartObj>
        <w:docPartGallery w:val="Page Numbers (Bottom of Page)"/>
        <w:docPartUnique w:val="true"/>
      </w:docPartObj>
    </w:sdtPr>
    <w:sdtContent>
      <w:p>
        <w:pPr>
          <w:pStyle w:val="Footer"/>
          <w:jc w:val="center"/>
          <w:rPr/>
        </w:pPr>
        <w:bookmarkStart w:id="17" w:name="PageNumWizard_FOOTER_Базовый2"/>
        <w:r>
          <w:rPr/>
          <w:fldChar w:fldCharType="begin"/>
        </w:r>
        <w:r>
          <w:rPr/>
          <w:instrText xml:space="preserve"> PAGE </w:instrText>
        </w:r>
        <w:r>
          <w:rPr/>
          <w:fldChar w:fldCharType="separate"/>
        </w:r>
        <w:r>
          <w:rPr/>
          <w:t>8</w:t>
        </w:r>
        <w:r>
          <w:rPr/>
          <w:fldChar w:fldCharType="end"/>
        </w:r>
        <w:bookmarkEnd w:id="17"/>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860"/>
        </w:tabs>
        <w:ind w:start="860" w:hanging="360"/>
      </w:pPr>
      <w:rPr>
        <w:rFonts w:ascii="Symbol" w:hAnsi="Symbol" w:cs="Symbol" w:hint="default"/>
      </w:rPr>
    </w:lvl>
    <w:lvl w:ilvl="1">
      <w:start w:val="1"/>
      <w:numFmt w:val="bullet"/>
      <w:lvlText w:val="◦"/>
      <w:lvlJc w:val="start"/>
      <w:pPr>
        <w:tabs>
          <w:tab w:val="num" w:pos="1220"/>
        </w:tabs>
        <w:ind w:start="1220" w:hanging="360"/>
      </w:pPr>
      <w:rPr>
        <w:rFonts w:ascii="OpenSymbol" w:hAnsi="OpenSymbol" w:cs="OpenSymbol" w:hint="default"/>
      </w:rPr>
    </w:lvl>
    <w:lvl w:ilvl="2">
      <w:start w:val="1"/>
      <w:numFmt w:val="bullet"/>
      <w:lvlText w:val="▪"/>
      <w:lvlJc w:val="start"/>
      <w:pPr>
        <w:tabs>
          <w:tab w:val="num" w:pos="1580"/>
        </w:tabs>
        <w:ind w:start="1580" w:hanging="360"/>
      </w:pPr>
      <w:rPr>
        <w:rFonts w:ascii="OpenSymbol" w:hAnsi="OpenSymbol" w:cs="OpenSymbol" w:hint="default"/>
      </w:rPr>
    </w:lvl>
    <w:lvl w:ilvl="3">
      <w:start w:val="1"/>
      <w:numFmt w:val="bullet"/>
      <w:lvlText w:val=""/>
      <w:lvlJc w:val="start"/>
      <w:pPr>
        <w:tabs>
          <w:tab w:val="num" w:pos="1940"/>
        </w:tabs>
        <w:ind w:start="1940" w:hanging="360"/>
      </w:pPr>
      <w:rPr>
        <w:rFonts w:ascii="Symbol" w:hAnsi="Symbol" w:cs="Symbol" w:hint="default"/>
      </w:rPr>
    </w:lvl>
    <w:lvl w:ilvl="4">
      <w:start w:val="1"/>
      <w:numFmt w:val="bullet"/>
      <w:lvlText w:val="◦"/>
      <w:lvlJc w:val="start"/>
      <w:pPr>
        <w:tabs>
          <w:tab w:val="num" w:pos="2300"/>
        </w:tabs>
        <w:ind w:start="2300" w:hanging="360"/>
      </w:pPr>
      <w:rPr>
        <w:rFonts w:ascii="OpenSymbol" w:hAnsi="OpenSymbol" w:cs="OpenSymbol" w:hint="default"/>
      </w:rPr>
    </w:lvl>
    <w:lvl w:ilvl="5">
      <w:start w:val="1"/>
      <w:numFmt w:val="bullet"/>
      <w:lvlText w:val="▪"/>
      <w:lvlJc w:val="start"/>
      <w:pPr>
        <w:tabs>
          <w:tab w:val="num" w:pos="2660"/>
        </w:tabs>
        <w:ind w:start="2660" w:hanging="360"/>
      </w:pPr>
      <w:rPr>
        <w:rFonts w:ascii="OpenSymbol" w:hAnsi="OpenSymbol" w:cs="OpenSymbol" w:hint="default"/>
      </w:rPr>
    </w:lvl>
    <w:lvl w:ilvl="6">
      <w:start w:val="1"/>
      <w:numFmt w:val="bullet"/>
      <w:lvlText w:val=""/>
      <w:lvlJc w:val="start"/>
      <w:pPr>
        <w:tabs>
          <w:tab w:val="num" w:pos="3020"/>
        </w:tabs>
        <w:ind w:start="3020" w:hanging="360"/>
      </w:pPr>
      <w:rPr>
        <w:rFonts w:ascii="Symbol" w:hAnsi="Symbol" w:cs="Symbol" w:hint="default"/>
      </w:rPr>
    </w:lvl>
    <w:lvl w:ilvl="7">
      <w:start w:val="1"/>
      <w:numFmt w:val="bullet"/>
      <w:lvlText w:val="◦"/>
      <w:lvlJc w:val="start"/>
      <w:pPr>
        <w:tabs>
          <w:tab w:val="num" w:pos="3380"/>
        </w:tabs>
        <w:ind w:start="3380" w:hanging="360"/>
      </w:pPr>
      <w:rPr>
        <w:rFonts w:ascii="OpenSymbol" w:hAnsi="OpenSymbol" w:cs="OpenSymbol" w:hint="default"/>
      </w:rPr>
    </w:lvl>
    <w:lvl w:ilvl="8">
      <w:start w:val="1"/>
      <w:numFmt w:val="bullet"/>
      <w:lvlText w:val="▪"/>
      <w:lvlJc w:val="start"/>
      <w:pPr>
        <w:tabs>
          <w:tab w:val="num" w:pos="3740"/>
        </w:tabs>
        <w:ind w:start="3740" w:hanging="360"/>
      </w:pPr>
      <w:rPr>
        <w:rFonts w:ascii="OpenSymbol" w:hAnsi="OpenSymbol" w:cs="OpenSymbol" w:hint="default"/>
      </w:rPr>
    </w:lvl>
  </w:abstractNum>
  <w:abstractNum w:abstractNumId="3">
    <w:lvl w:ilvl="0">
      <w:start w:val="1"/>
      <w:numFmt w:val="bullet"/>
      <w:lvlText w:val=""/>
      <w:lvlJc w:val="start"/>
      <w:pPr>
        <w:tabs>
          <w:tab w:val="num" w:pos="860"/>
        </w:tabs>
        <w:ind w:start="860" w:hanging="360"/>
      </w:pPr>
      <w:rPr>
        <w:rFonts w:ascii="Symbol" w:hAnsi="Symbol" w:cs="Symbol" w:hint="default"/>
      </w:rPr>
    </w:lvl>
    <w:lvl w:ilvl="1">
      <w:start w:val="1"/>
      <w:numFmt w:val="bullet"/>
      <w:lvlText w:val="◦"/>
      <w:lvlJc w:val="start"/>
      <w:pPr>
        <w:tabs>
          <w:tab w:val="num" w:pos="1220"/>
        </w:tabs>
        <w:ind w:start="1220" w:hanging="360"/>
      </w:pPr>
      <w:rPr>
        <w:rFonts w:ascii="OpenSymbol" w:hAnsi="OpenSymbol" w:cs="OpenSymbol" w:hint="default"/>
      </w:rPr>
    </w:lvl>
    <w:lvl w:ilvl="2">
      <w:start w:val="1"/>
      <w:numFmt w:val="bullet"/>
      <w:lvlText w:val="▪"/>
      <w:lvlJc w:val="start"/>
      <w:pPr>
        <w:tabs>
          <w:tab w:val="num" w:pos="1580"/>
        </w:tabs>
        <w:ind w:start="1580" w:hanging="360"/>
      </w:pPr>
      <w:rPr>
        <w:rFonts w:ascii="OpenSymbol" w:hAnsi="OpenSymbol" w:cs="OpenSymbol" w:hint="default"/>
      </w:rPr>
    </w:lvl>
    <w:lvl w:ilvl="3">
      <w:start w:val="1"/>
      <w:numFmt w:val="bullet"/>
      <w:lvlText w:val=""/>
      <w:lvlJc w:val="start"/>
      <w:pPr>
        <w:tabs>
          <w:tab w:val="num" w:pos="1940"/>
        </w:tabs>
        <w:ind w:start="1940" w:hanging="360"/>
      </w:pPr>
      <w:rPr>
        <w:rFonts w:ascii="Symbol" w:hAnsi="Symbol" w:cs="Symbol" w:hint="default"/>
      </w:rPr>
    </w:lvl>
    <w:lvl w:ilvl="4">
      <w:start w:val="1"/>
      <w:numFmt w:val="bullet"/>
      <w:lvlText w:val="◦"/>
      <w:lvlJc w:val="start"/>
      <w:pPr>
        <w:tabs>
          <w:tab w:val="num" w:pos="2300"/>
        </w:tabs>
        <w:ind w:start="2300" w:hanging="360"/>
      </w:pPr>
      <w:rPr>
        <w:rFonts w:ascii="OpenSymbol" w:hAnsi="OpenSymbol" w:cs="OpenSymbol" w:hint="default"/>
      </w:rPr>
    </w:lvl>
    <w:lvl w:ilvl="5">
      <w:start w:val="1"/>
      <w:numFmt w:val="bullet"/>
      <w:lvlText w:val="▪"/>
      <w:lvlJc w:val="start"/>
      <w:pPr>
        <w:tabs>
          <w:tab w:val="num" w:pos="2660"/>
        </w:tabs>
        <w:ind w:start="2660" w:hanging="360"/>
      </w:pPr>
      <w:rPr>
        <w:rFonts w:ascii="OpenSymbol" w:hAnsi="OpenSymbol" w:cs="OpenSymbol" w:hint="default"/>
      </w:rPr>
    </w:lvl>
    <w:lvl w:ilvl="6">
      <w:start w:val="1"/>
      <w:numFmt w:val="bullet"/>
      <w:lvlText w:val=""/>
      <w:lvlJc w:val="start"/>
      <w:pPr>
        <w:tabs>
          <w:tab w:val="num" w:pos="3020"/>
        </w:tabs>
        <w:ind w:start="3020" w:hanging="360"/>
      </w:pPr>
      <w:rPr>
        <w:rFonts w:ascii="Symbol" w:hAnsi="Symbol" w:cs="Symbol" w:hint="default"/>
      </w:rPr>
    </w:lvl>
    <w:lvl w:ilvl="7">
      <w:start w:val="1"/>
      <w:numFmt w:val="bullet"/>
      <w:lvlText w:val="◦"/>
      <w:lvlJc w:val="start"/>
      <w:pPr>
        <w:tabs>
          <w:tab w:val="num" w:pos="3380"/>
        </w:tabs>
        <w:ind w:start="3380" w:hanging="360"/>
      </w:pPr>
      <w:rPr>
        <w:rFonts w:ascii="OpenSymbol" w:hAnsi="OpenSymbol" w:cs="OpenSymbol" w:hint="default"/>
      </w:rPr>
    </w:lvl>
    <w:lvl w:ilvl="8">
      <w:start w:val="1"/>
      <w:numFmt w:val="bullet"/>
      <w:lvlText w:val="▪"/>
      <w:lvlJc w:val="start"/>
      <w:pPr>
        <w:tabs>
          <w:tab w:val="num" w:pos="3740"/>
        </w:tabs>
        <w:ind w:start="3740" w:hanging="360"/>
      </w:pPr>
      <w:rPr>
        <w:rFonts w:ascii="OpenSymbol" w:hAnsi="OpenSymbol" w:cs="OpenSymbol" w:hint="default"/>
      </w:rPr>
    </w:lvl>
  </w:abstractNum>
  <w:abstractNum w:abstractNumId="4">
    <w:lvl w:ilvl="0">
      <w:start w:val="1"/>
      <w:numFmt w:val="bullet"/>
      <w:lvlText w:val=""/>
      <w:lvlJc w:val="start"/>
      <w:pPr>
        <w:tabs>
          <w:tab w:val="num" w:pos="860"/>
        </w:tabs>
        <w:ind w:start="860" w:hanging="360"/>
      </w:pPr>
      <w:rPr>
        <w:rFonts w:ascii="Symbol" w:hAnsi="Symbol" w:cs="Symbol" w:hint="default"/>
      </w:rPr>
    </w:lvl>
    <w:lvl w:ilvl="1">
      <w:start w:val="1"/>
      <w:numFmt w:val="bullet"/>
      <w:lvlText w:val="◦"/>
      <w:lvlJc w:val="start"/>
      <w:pPr>
        <w:tabs>
          <w:tab w:val="num" w:pos="1220"/>
        </w:tabs>
        <w:ind w:start="1220" w:hanging="360"/>
      </w:pPr>
      <w:rPr>
        <w:rFonts w:ascii="OpenSymbol" w:hAnsi="OpenSymbol" w:cs="OpenSymbol" w:hint="default"/>
      </w:rPr>
    </w:lvl>
    <w:lvl w:ilvl="2">
      <w:start w:val="1"/>
      <w:numFmt w:val="bullet"/>
      <w:lvlText w:val="▪"/>
      <w:lvlJc w:val="start"/>
      <w:pPr>
        <w:tabs>
          <w:tab w:val="num" w:pos="1580"/>
        </w:tabs>
        <w:ind w:start="1580" w:hanging="360"/>
      </w:pPr>
      <w:rPr>
        <w:rFonts w:ascii="OpenSymbol" w:hAnsi="OpenSymbol" w:cs="OpenSymbol" w:hint="default"/>
      </w:rPr>
    </w:lvl>
    <w:lvl w:ilvl="3">
      <w:start w:val="1"/>
      <w:numFmt w:val="bullet"/>
      <w:lvlText w:val=""/>
      <w:lvlJc w:val="start"/>
      <w:pPr>
        <w:tabs>
          <w:tab w:val="num" w:pos="1940"/>
        </w:tabs>
        <w:ind w:start="1940" w:hanging="360"/>
      </w:pPr>
      <w:rPr>
        <w:rFonts w:ascii="Symbol" w:hAnsi="Symbol" w:cs="Symbol" w:hint="default"/>
      </w:rPr>
    </w:lvl>
    <w:lvl w:ilvl="4">
      <w:start w:val="1"/>
      <w:numFmt w:val="bullet"/>
      <w:lvlText w:val="◦"/>
      <w:lvlJc w:val="start"/>
      <w:pPr>
        <w:tabs>
          <w:tab w:val="num" w:pos="2300"/>
        </w:tabs>
        <w:ind w:start="2300" w:hanging="360"/>
      </w:pPr>
      <w:rPr>
        <w:rFonts w:ascii="OpenSymbol" w:hAnsi="OpenSymbol" w:cs="OpenSymbol" w:hint="default"/>
      </w:rPr>
    </w:lvl>
    <w:lvl w:ilvl="5">
      <w:start w:val="1"/>
      <w:numFmt w:val="bullet"/>
      <w:lvlText w:val="▪"/>
      <w:lvlJc w:val="start"/>
      <w:pPr>
        <w:tabs>
          <w:tab w:val="num" w:pos="2660"/>
        </w:tabs>
        <w:ind w:start="2660" w:hanging="360"/>
      </w:pPr>
      <w:rPr>
        <w:rFonts w:ascii="OpenSymbol" w:hAnsi="OpenSymbol" w:cs="OpenSymbol" w:hint="default"/>
      </w:rPr>
    </w:lvl>
    <w:lvl w:ilvl="6">
      <w:start w:val="1"/>
      <w:numFmt w:val="bullet"/>
      <w:lvlText w:val=""/>
      <w:lvlJc w:val="start"/>
      <w:pPr>
        <w:tabs>
          <w:tab w:val="num" w:pos="3020"/>
        </w:tabs>
        <w:ind w:start="3020" w:hanging="360"/>
      </w:pPr>
      <w:rPr>
        <w:rFonts w:ascii="Symbol" w:hAnsi="Symbol" w:cs="Symbol" w:hint="default"/>
      </w:rPr>
    </w:lvl>
    <w:lvl w:ilvl="7">
      <w:start w:val="1"/>
      <w:numFmt w:val="bullet"/>
      <w:lvlText w:val="◦"/>
      <w:lvlJc w:val="start"/>
      <w:pPr>
        <w:tabs>
          <w:tab w:val="num" w:pos="3380"/>
        </w:tabs>
        <w:ind w:start="3380" w:hanging="360"/>
      </w:pPr>
      <w:rPr>
        <w:rFonts w:ascii="OpenSymbol" w:hAnsi="OpenSymbol" w:cs="OpenSymbol" w:hint="default"/>
      </w:rPr>
    </w:lvl>
    <w:lvl w:ilvl="8">
      <w:start w:val="1"/>
      <w:numFmt w:val="bullet"/>
      <w:lvlText w:val="▪"/>
      <w:lvlJc w:val="start"/>
      <w:pPr>
        <w:tabs>
          <w:tab w:val="num" w:pos="3740"/>
        </w:tabs>
        <w:ind w:start="3740" w:hanging="360"/>
      </w:pPr>
      <w:rPr>
        <w:rFonts w:ascii="OpenSymbol" w:hAnsi="OpenSymbol" w:cs="OpenSymbol" w:hint="default"/>
      </w:rPr>
    </w:lvl>
  </w:abstractNum>
  <w:abstractNum w:abstractNumId="5">
    <w:lvl w:ilvl="0">
      <w:start w:val="1"/>
      <w:numFmt w:val="bullet"/>
      <w:lvlText w:val=""/>
      <w:lvlJc w:val="start"/>
      <w:pPr>
        <w:tabs>
          <w:tab w:val="num" w:pos="860"/>
        </w:tabs>
        <w:ind w:start="860" w:hanging="360"/>
      </w:pPr>
      <w:rPr>
        <w:rFonts w:ascii="Symbol" w:hAnsi="Symbol" w:cs="Symbol" w:hint="default"/>
      </w:rPr>
    </w:lvl>
    <w:lvl w:ilvl="1">
      <w:start w:val="1"/>
      <w:numFmt w:val="bullet"/>
      <w:lvlText w:val="◦"/>
      <w:lvlJc w:val="start"/>
      <w:pPr>
        <w:tabs>
          <w:tab w:val="num" w:pos="1220"/>
        </w:tabs>
        <w:ind w:start="1220" w:hanging="360"/>
      </w:pPr>
      <w:rPr>
        <w:rFonts w:ascii="OpenSymbol" w:hAnsi="OpenSymbol" w:cs="OpenSymbol" w:hint="default"/>
      </w:rPr>
    </w:lvl>
    <w:lvl w:ilvl="2">
      <w:start w:val="1"/>
      <w:numFmt w:val="bullet"/>
      <w:lvlText w:val="▪"/>
      <w:lvlJc w:val="start"/>
      <w:pPr>
        <w:tabs>
          <w:tab w:val="num" w:pos="1580"/>
        </w:tabs>
        <w:ind w:start="1580" w:hanging="360"/>
      </w:pPr>
      <w:rPr>
        <w:rFonts w:ascii="OpenSymbol" w:hAnsi="OpenSymbol" w:cs="OpenSymbol" w:hint="default"/>
      </w:rPr>
    </w:lvl>
    <w:lvl w:ilvl="3">
      <w:start w:val="1"/>
      <w:numFmt w:val="bullet"/>
      <w:lvlText w:val=""/>
      <w:lvlJc w:val="start"/>
      <w:pPr>
        <w:tabs>
          <w:tab w:val="num" w:pos="1940"/>
        </w:tabs>
        <w:ind w:start="1940" w:hanging="360"/>
      </w:pPr>
      <w:rPr>
        <w:rFonts w:ascii="Symbol" w:hAnsi="Symbol" w:cs="Symbol" w:hint="default"/>
      </w:rPr>
    </w:lvl>
    <w:lvl w:ilvl="4">
      <w:start w:val="1"/>
      <w:numFmt w:val="bullet"/>
      <w:lvlText w:val="◦"/>
      <w:lvlJc w:val="start"/>
      <w:pPr>
        <w:tabs>
          <w:tab w:val="num" w:pos="2300"/>
        </w:tabs>
        <w:ind w:start="2300" w:hanging="360"/>
      </w:pPr>
      <w:rPr>
        <w:rFonts w:ascii="OpenSymbol" w:hAnsi="OpenSymbol" w:cs="OpenSymbol" w:hint="default"/>
      </w:rPr>
    </w:lvl>
    <w:lvl w:ilvl="5">
      <w:start w:val="1"/>
      <w:numFmt w:val="bullet"/>
      <w:lvlText w:val="▪"/>
      <w:lvlJc w:val="start"/>
      <w:pPr>
        <w:tabs>
          <w:tab w:val="num" w:pos="2660"/>
        </w:tabs>
        <w:ind w:start="2660" w:hanging="360"/>
      </w:pPr>
      <w:rPr>
        <w:rFonts w:ascii="OpenSymbol" w:hAnsi="OpenSymbol" w:cs="OpenSymbol" w:hint="default"/>
      </w:rPr>
    </w:lvl>
    <w:lvl w:ilvl="6">
      <w:start w:val="1"/>
      <w:numFmt w:val="bullet"/>
      <w:lvlText w:val=""/>
      <w:lvlJc w:val="start"/>
      <w:pPr>
        <w:tabs>
          <w:tab w:val="num" w:pos="3020"/>
        </w:tabs>
        <w:ind w:start="3020" w:hanging="360"/>
      </w:pPr>
      <w:rPr>
        <w:rFonts w:ascii="Symbol" w:hAnsi="Symbol" w:cs="Symbol" w:hint="default"/>
      </w:rPr>
    </w:lvl>
    <w:lvl w:ilvl="7">
      <w:start w:val="1"/>
      <w:numFmt w:val="bullet"/>
      <w:lvlText w:val="◦"/>
      <w:lvlJc w:val="start"/>
      <w:pPr>
        <w:tabs>
          <w:tab w:val="num" w:pos="3380"/>
        </w:tabs>
        <w:ind w:start="3380" w:hanging="360"/>
      </w:pPr>
      <w:rPr>
        <w:rFonts w:ascii="OpenSymbol" w:hAnsi="OpenSymbol" w:cs="OpenSymbol" w:hint="default"/>
      </w:rPr>
    </w:lvl>
    <w:lvl w:ilvl="8">
      <w:start w:val="1"/>
      <w:numFmt w:val="bullet"/>
      <w:lvlText w:val="▪"/>
      <w:lvlJc w:val="start"/>
      <w:pPr>
        <w:tabs>
          <w:tab w:val="num" w:pos="3740"/>
        </w:tabs>
        <w:ind w:start="3740" w:hanging="360"/>
      </w:pPr>
      <w:rPr>
        <w:rFonts w:ascii="OpenSymbol" w:hAnsi="OpenSymbol" w:cs="OpenSymbol" w:hint="default"/>
      </w:rPr>
    </w:lvl>
  </w:abstractNum>
  <w:abstractNum w:abstractNumId="6">
    <w:lvl w:ilvl="0">
      <w:start w:val="1"/>
      <w:numFmt w:val="bullet"/>
      <w:lvlText w:val=""/>
      <w:lvlJc w:val="start"/>
      <w:pPr>
        <w:tabs>
          <w:tab w:val="num" w:pos="860"/>
        </w:tabs>
        <w:ind w:start="860" w:hanging="360"/>
      </w:pPr>
      <w:rPr>
        <w:rFonts w:ascii="Symbol" w:hAnsi="Symbol" w:cs="Symbol" w:hint="default"/>
      </w:rPr>
    </w:lvl>
    <w:lvl w:ilvl="1">
      <w:start w:val="1"/>
      <w:numFmt w:val="bullet"/>
      <w:lvlText w:val="◦"/>
      <w:lvlJc w:val="start"/>
      <w:pPr>
        <w:tabs>
          <w:tab w:val="num" w:pos="1220"/>
        </w:tabs>
        <w:ind w:start="1220" w:hanging="360"/>
      </w:pPr>
      <w:rPr>
        <w:rFonts w:ascii="OpenSymbol" w:hAnsi="OpenSymbol" w:cs="OpenSymbol" w:hint="default"/>
      </w:rPr>
    </w:lvl>
    <w:lvl w:ilvl="2">
      <w:start w:val="1"/>
      <w:numFmt w:val="bullet"/>
      <w:lvlText w:val="▪"/>
      <w:lvlJc w:val="start"/>
      <w:pPr>
        <w:tabs>
          <w:tab w:val="num" w:pos="1580"/>
        </w:tabs>
        <w:ind w:start="1580" w:hanging="360"/>
      </w:pPr>
      <w:rPr>
        <w:rFonts w:ascii="OpenSymbol" w:hAnsi="OpenSymbol" w:cs="OpenSymbol" w:hint="default"/>
      </w:rPr>
    </w:lvl>
    <w:lvl w:ilvl="3">
      <w:start w:val="1"/>
      <w:numFmt w:val="bullet"/>
      <w:lvlText w:val=""/>
      <w:lvlJc w:val="start"/>
      <w:pPr>
        <w:tabs>
          <w:tab w:val="num" w:pos="1940"/>
        </w:tabs>
        <w:ind w:start="1940" w:hanging="360"/>
      </w:pPr>
      <w:rPr>
        <w:rFonts w:ascii="Symbol" w:hAnsi="Symbol" w:cs="Symbol" w:hint="default"/>
      </w:rPr>
    </w:lvl>
    <w:lvl w:ilvl="4">
      <w:start w:val="1"/>
      <w:numFmt w:val="bullet"/>
      <w:lvlText w:val="◦"/>
      <w:lvlJc w:val="start"/>
      <w:pPr>
        <w:tabs>
          <w:tab w:val="num" w:pos="2300"/>
        </w:tabs>
        <w:ind w:start="2300" w:hanging="360"/>
      </w:pPr>
      <w:rPr>
        <w:rFonts w:ascii="OpenSymbol" w:hAnsi="OpenSymbol" w:cs="OpenSymbol" w:hint="default"/>
      </w:rPr>
    </w:lvl>
    <w:lvl w:ilvl="5">
      <w:start w:val="1"/>
      <w:numFmt w:val="bullet"/>
      <w:lvlText w:val="▪"/>
      <w:lvlJc w:val="start"/>
      <w:pPr>
        <w:tabs>
          <w:tab w:val="num" w:pos="2660"/>
        </w:tabs>
        <w:ind w:start="2660" w:hanging="360"/>
      </w:pPr>
      <w:rPr>
        <w:rFonts w:ascii="OpenSymbol" w:hAnsi="OpenSymbol" w:cs="OpenSymbol" w:hint="default"/>
      </w:rPr>
    </w:lvl>
    <w:lvl w:ilvl="6">
      <w:start w:val="1"/>
      <w:numFmt w:val="bullet"/>
      <w:lvlText w:val=""/>
      <w:lvlJc w:val="start"/>
      <w:pPr>
        <w:tabs>
          <w:tab w:val="num" w:pos="3020"/>
        </w:tabs>
        <w:ind w:start="3020" w:hanging="360"/>
      </w:pPr>
      <w:rPr>
        <w:rFonts w:ascii="Symbol" w:hAnsi="Symbol" w:cs="Symbol" w:hint="default"/>
      </w:rPr>
    </w:lvl>
    <w:lvl w:ilvl="7">
      <w:start w:val="1"/>
      <w:numFmt w:val="bullet"/>
      <w:lvlText w:val="◦"/>
      <w:lvlJc w:val="start"/>
      <w:pPr>
        <w:tabs>
          <w:tab w:val="num" w:pos="3380"/>
        </w:tabs>
        <w:ind w:start="3380" w:hanging="360"/>
      </w:pPr>
      <w:rPr>
        <w:rFonts w:ascii="OpenSymbol" w:hAnsi="OpenSymbol" w:cs="OpenSymbol" w:hint="default"/>
      </w:rPr>
    </w:lvl>
    <w:lvl w:ilvl="8">
      <w:start w:val="1"/>
      <w:numFmt w:val="bullet"/>
      <w:lvlText w:val="▪"/>
      <w:lvlJc w:val="start"/>
      <w:pPr>
        <w:tabs>
          <w:tab w:val="num" w:pos="3740"/>
        </w:tabs>
        <w:ind w:start="3740" w:hanging="360"/>
      </w:pPr>
      <w:rPr>
        <w:rFonts w:ascii="OpenSymbol" w:hAnsi="OpenSymbol" w:cs="OpenSymbol" w:hint="default"/>
      </w:rPr>
    </w:lvl>
  </w:abstractNum>
  <w:abstractNum w:abstractNumId="7">
    <w:lvl w:ilvl="0">
      <w:start w:val="1"/>
      <w:numFmt w:val="bullet"/>
      <w:lvlText w:val=""/>
      <w:lvlJc w:val="start"/>
      <w:pPr>
        <w:tabs>
          <w:tab w:val="num" w:pos="860"/>
        </w:tabs>
        <w:ind w:start="860" w:hanging="360"/>
      </w:pPr>
      <w:rPr>
        <w:rFonts w:ascii="Symbol" w:hAnsi="Symbol" w:cs="Symbol" w:hint="default"/>
      </w:rPr>
    </w:lvl>
    <w:lvl w:ilvl="1">
      <w:start w:val="1"/>
      <w:numFmt w:val="bullet"/>
      <w:lvlText w:val="◦"/>
      <w:lvlJc w:val="start"/>
      <w:pPr>
        <w:tabs>
          <w:tab w:val="num" w:pos="1220"/>
        </w:tabs>
        <w:ind w:start="1220" w:hanging="360"/>
      </w:pPr>
      <w:rPr>
        <w:rFonts w:ascii="OpenSymbol" w:hAnsi="OpenSymbol" w:cs="OpenSymbol" w:hint="default"/>
      </w:rPr>
    </w:lvl>
    <w:lvl w:ilvl="2">
      <w:start w:val="1"/>
      <w:numFmt w:val="bullet"/>
      <w:lvlText w:val="▪"/>
      <w:lvlJc w:val="start"/>
      <w:pPr>
        <w:tabs>
          <w:tab w:val="num" w:pos="1580"/>
        </w:tabs>
        <w:ind w:start="1580" w:hanging="360"/>
      </w:pPr>
      <w:rPr>
        <w:rFonts w:ascii="OpenSymbol" w:hAnsi="OpenSymbol" w:cs="OpenSymbol" w:hint="default"/>
      </w:rPr>
    </w:lvl>
    <w:lvl w:ilvl="3">
      <w:start w:val="1"/>
      <w:numFmt w:val="bullet"/>
      <w:lvlText w:val=""/>
      <w:lvlJc w:val="start"/>
      <w:pPr>
        <w:tabs>
          <w:tab w:val="num" w:pos="1940"/>
        </w:tabs>
        <w:ind w:start="1940" w:hanging="360"/>
      </w:pPr>
      <w:rPr>
        <w:rFonts w:ascii="Symbol" w:hAnsi="Symbol" w:cs="Symbol" w:hint="default"/>
      </w:rPr>
    </w:lvl>
    <w:lvl w:ilvl="4">
      <w:start w:val="1"/>
      <w:numFmt w:val="bullet"/>
      <w:lvlText w:val="◦"/>
      <w:lvlJc w:val="start"/>
      <w:pPr>
        <w:tabs>
          <w:tab w:val="num" w:pos="2300"/>
        </w:tabs>
        <w:ind w:start="2300" w:hanging="360"/>
      </w:pPr>
      <w:rPr>
        <w:rFonts w:ascii="OpenSymbol" w:hAnsi="OpenSymbol" w:cs="OpenSymbol" w:hint="default"/>
      </w:rPr>
    </w:lvl>
    <w:lvl w:ilvl="5">
      <w:start w:val="1"/>
      <w:numFmt w:val="bullet"/>
      <w:lvlText w:val="▪"/>
      <w:lvlJc w:val="start"/>
      <w:pPr>
        <w:tabs>
          <w:tab w:val="num" w:pos="2660"/>
        </w:tabs>
        <w:ind w:start="2660" w:hanging="360"/>
      </w:pPr>
      <w:rPr>
        <w:rFonts w:ascii="OpenSymbol" w:hAnsi="OpenSymbol" w:cs="OpenSymbol" w:hint="default"/>
      </w:rPr>
    </w:lvl>
    <w:lvl w:ilvl="6">
      <w:start w:val="1"/>
      <w:numFmt w:val="bullet"/>
      <w:lvlText w:val=""/>
      <w:lvlJc w:val="start"/>
      <w:pPr>
        <w:tabs>
          <w:tab w:val="num" w:pos="3020"/>
        </w:tabs>
        <w:ind w:start="3020" w:hanging="360"/>
      </w:pPr>
      <w:rPr>
        <w:rFonts w:ascii="Symbol" w:hAnsi="Symbol" w:cs="Symbol" w:hint="default"/>
      </w:rPr>
    </w:lvl>
    <w:lvl w:ilvl="7">
      <w:start w:val="1"/>
      <w:numFmt w:val="bullet"/>
      <w:lvlText w:val="◦"/>
      <w:lvlJc w:val="start"/>
      <w:pPr>
        <w:tabs>
          <w:tab w:val="num" w:pos="3380"/>
        </w:tabs>
        <w:ind w:start="3380" w:hanging="360"/>
      </w:pPr>
      <w:rPr>
        <w:rFonts w:ascii="OpenSymbol" w:hAnsi="OpenSymbol" w:cs="OpenSymbol" w:hint="default"/>
      </w:rPr>
    </w:lvl>
    <w:lvl w:ilvl="8">
      <w:start w:val="1"/>
      <w:numFmt w:val="bullet"/>
      <w:lvlText w:val="▪"/>
      <w:lvlJc w:val="start"/>
      <w:pPr>
        <w:tabs>
          <w:tab w:val="num" w:pos="3740"/>
        </w:tabs>
        <w:ind w:start="3740" w:hanging="360"/>
      </w:pPr>
      <w:rPr>
        <w:rFonts w:ascii="OpenSymbol" w:hAnsi="OpenSymbol" w:cs="OpenSymbol" w:hint="default"/>
      </w:rPr>
    </w:lvl>
  </w:abstractNum>
  <w:abstractNum w:abstractNumId="8">
    <w:lvl w:ilvl="0">
      <w:start w:val="1"/>
      <w:numFmt w:val="bullet"/>
      <w:lvlText w:val=""/>
      <w:lvlJc w:val="start"/>
      <w:pPr>
        <w:tabs>
          <w:tab w:val="num" w:pos="860"/>
        </w:tabs>
        <w:ind w:start="860" w:hanging="360"/>
      </w:pPr>
      <w:rPr>
        <w:rFonts w:ascii="Symbol" w:hAnsi="Symbol" w:cs="Symbol" w:hint="default"/>
      </w:rPr>
    </w:lvl>
    <w:lvl w:ilvl="1">
      <w:start w:val="1"/>
      <w:numFmt w:val="bullet"/>
      <w:lvlText w:val="◦"/>
      <w:lvlJc w:val="start"/>
      <w:pPr>
        <w:tabs>
          <w:tab w:val="num" w:pos="1220"/>
        </w:tabs>
        <w:ind w:start="1220" w:hanging="360"/>
      </w:pPr>
      <w:rPr>
        <w:rFonts w:ascii="OpenSymbol" w:hAnsi="OpenSymbol" w:cs="OpenSymbol" w:hint="default"/>
      </w:rPr>
    </w:lvl>
    <w:lvl w:ilvl="2">
      <w:start w:val="1"/>
      <w:numFmt w:val="bullet"/>
      <w:lvlText w:val="▪"/>
      <w:lvlJc w:val="start"/>
      <w:pPr>
        <w:tabs>
          <w:tab w:val="num" w:pos="1580"/>
        </w:tabs>
        <w:ind w:start="1580" w:hanging="360"/>
      </w:pPr>
      <w:rPr>
        <w:rFonts w:ascii="OpenSymbol" w:hAnsi="OpenSymbol" w:cs="OpenSymbol" w:hint="default"/>
      </w:rPr>
    </w:lvl>
    <w:lvl w:ilvl="3">
      <w:start w:val="1"/>
      <w:numFmt w:val="bullet"/>
      <w:lvlText w:val=""/>
      <w:lvlJc w:val="start"/>
      <w:pPr>
        <w:tabs>
          <w:tab w:val="num" w:pos="1940"/>
        </w:tabs>
        <w:ind w:start="1940" w:hanging="360"/>
      </w:pPr>
      <w:rPr>
        <w:rFonts w:ascii="Symbol" w:hAnsi="Symbol" w:cs="Symbol" w:hint="default"/>
      </w:rPr>
    </w:lvl>
    <w:lvl w:ilvl="4">
      <w:start w:val="1"/>
      <w:numFmt w:val="bullet"/>
      <w:lvlText w:val="◦"/>
      <w:lvlJc w:val="start"/>
      <w:pPr>
        <w:tabs>
          <w:tab w:val="num" w:pos="2300"/>
        </w:tabs>
        <w:ind w:start="2300" w:hanging="360"/>
      </w:pPr>
      <w:rPr>
        <w:rFonts w:ascii="OpenSymbol" w:hAnsi="OpenSymbol" w:cs="OpenSymbol" w:hint="default"/>
      </w:rPr>
    </w:lvl>
    <w:lvl w:ilvl="5">
      <w:start w:val="1"/>
      <w:numFmt w:val="bullet"/>
      <w:lvlText w:val="▪"/>
      <w:lvlJc w:val="start"/>
      <w:pPr>
        <w:tabs>
          <w:tab w:val="num" w:pos="2660"/>
        </w:tabs>
        <w:ind w:start="2660" w:hanging="360"/>
      </w:pPr>
      <w:rPr>
        <w:rFonts w:ascii="OpenSymbol" w:hAnsi="OpenSymbol" w:cs="OpenSymbol" w:hint="default"/>
      </w:rPr>
    </w:lvl>
    <w:lvl w:ilvl="6">
      <w:start w:val="1"/>
      <w:numFmt w:val="bullet"/>
      <w:lvlText w:val=""/>
      <w:lvlJc w:val="start"/>
      <w:pPr>
        <w:tabs>
          <w:tab w:val="num" w:pos="3020"/>
        </w:tabs>
        <w:ind w:start="3020" w:hanging="360"/>
      </w:pPr>
      <w:rPr>
        <w:rFonts w:ascii="Symbol" w:hAnsi="Symbol" w:cs="Symbol" w:hint="default"/>
      </w:rPr>
    </w:lvl>
    <w:lvl w:ilvl="7">
      <w:start w:val="1"/>
      <w:numFmt w:val="bullet"/>
      <w:lvlText w:val="◦"/>
      <w:lvlJc w:val="start"/>
      <w:pPr>
        <w:tabs>
          <w:tab w:val="num" w:pos="3380"/>
        </w:tabs>
        <w:ind w:start="3380" w:hanging="360"/>
      </w:pPr>
      <w:rPr>
        <w:rFonts w:ascii="OpenSymbol" w:hAnsi="OpenSymbol" w:cs="OpenSymbol" w:hint="default"/>
      </w:rPr>
    </w:lvl>
    <w:lvl w:ilvl="8">
      <w:start w:val="1"/>
      <w:numFmt w:val="bullet"/>
      <w:lvlText w:val="▪"/>
      <w:lvlJc w:val="start"/>
      <w:pPr>
        <w:tabs>
          <w:tab w:val="num" w:pos="3740"/>
        </w:tabs>
        <w:ind w:start="3740" w:hanging="360"/>
      </w:pPr>
      <w:rPr>
        <w:rFonts w:ascii="OpenSymbol" w:hAnsi="OpenSymbol" w:cs="OpenSymbol" w:hint="default"/>
      </w:rPr>
    </w:lvl>
  </w:abstractNum>
  <w:abstractNum w:abstractNumId="9">
    <w:lvl w:ilvl="0">
      <w:start w:val="1"/>
      <w:numFmt w:val="bullet"/>
      <w:lvlText w:val=""/>
      <w:lvlJc w:val="start"/>
      <w:pPr>
        <w:tabs>
          <w:tab w:val="num" w:pos="860"/>
        </w:tabs>
        <w:ind w:start="860" w:hanging="360"/>
      </w:pPr>
      <w:rPr>
        <w:rFonts w:ascii="Symbol" w:hAnsi="Symbol" w:cs="Symbol" w:hint="default"/>
      </w:rPr>
    </w:lvl>
    <w:lvl w:ilvl="1">
      <w:start w:val="1"/>
      <w:numFmt w:val="bullet"/>
      <w:lvlText w:val="◦"/>
      <w:lvlJc w:val="start"/>
      <w:pPr>
        <w:tabs>
          <w:tab w:val="num" w:pos="1220"/>
        </w:tabs>
        <w:ind w:start="1220" w:hanging="360"/>
      </w:pPr>
      <w:rPr>
        <w:rFonts w:ascii="OpenSymbol" w:hAnsi="OpenSymbol" w:cs="OpenSymbol" w:hint="default"/>
      </w:rPr>
    </w:lvl>
    <w:lvl w:ilvl="2">
      <w:start w:val="1"/>
      <w:numFmt w:val="bullet"/>
      <w:lvlText w:val="▪"/>
      <w:lvlJc w:val="start"/>
      <w:pPr>
        <w:tabs>
          <w:tab w:val="num" w:pos="1580"/>
        </w:tabs>
        <w:ind w:start="1580" w:hanging="360"/>
      </w:pPr>
      <w:rPr>
        <w:rFonts w:ascii="OpenSymbol" w:hAnsi="OpenSymbol" w:cs="OpenSymbol" w:hint="default"/>
      </w:rPr>
    </w:lvl>
    <w:lvl w:ilvl="3">
      <w:start w:val="1"/>
      <w:numFmt w:val="bullet"/>
      <w:lvlText w:val=""/>
      <w:lvlJc w:val="start"/>
      <w:pPr>
        <w:tabs>
          <w:tab w:val="num" w:pos="1940"/>
        </w:tabs>
        <w:ind w:start="1940" w:hanging="360"/>
      </w:pPr>
      <w:rPr>
        <w:rFonts w:ascii="Symbol" w:hAnsi="Symbol" w:cs="Symbol" w:hint="default"/>
      </w:rPr>
    </w:lvl>
    <w:lvl w:ilvl="4">
      <w:start w:val="1"/>
      <w:numFmt w:val="bullet"/>
      <w:lvlText w:val="◦"/>
      <w:lvlJc w:val="start"/>
      <w:pPr>
        <w:tabs>
          <w:tab w:val="num" w:pos="2300"/>
        </w:tabs>
        <w:ind w:start="2300" w:hanging="360"/>
      </w:pPr>
      <w:rPr>
        <w:rFonts w:ascii="OpenSymbol" w:hAnsi="OpenSymbol" w:cs="OpenSymbol" w:hint="default"/>
      </w:rPr>
    </w:lvl>
    <w:lvl w:ilvl="5">
      <w:start w:val="1"/>
      <w:numFmt w:val="bullet"/>
      <w:lvlText w:val="▪"/>
      <w:lvlJc w:val="start"/>
      <w:pPr>
        <w:tabs>
          <w:tab w:val="num" w:pos="2660"/>
        </w:tabs>
        <w:ind w:start="2660" w:hanging="360"/>
      </w:pPr>
      <w:rPr>
        <w:rFonts w:ascii="OpenSymbol" w:hAnsi="OpenSymbol" w:cs="OpenSymbol" w:hint="default"/>
      </w:rPr>
    </w:lvl>
    <w:lvl w:ilvl="6">
      <w:start w:val="1"/>
      <w:numFmt w:val="bullet"/>
      <w:lvlText w:val=""/>
      <w:lvlJc w:val="start"/>
      <w:pPr>
        <w:tabs>
          <w:tab w:val="num" w:pos="3020"/>
        </w:tabs>
        <w:ind w:start="3020" w:hanging="360"/>
      </w:pPr>
      <w:rPr>
        <w:rFonts w:ascii="Symbol" w:hAnsi="Symbol" w:cs="Symbol" w:hint="default"/>
      </w:rPr>
    </w:lvl>
    <w:lvl w:ilvl="7">
      <w:start w:val="1"/>
      <w:numFmt w:val="bullet"/>
      <w:lvlText w:val="◦"/>
      <w:lvlJc w:val="start"/>
      <w:pPr>
        <w:tabs>
          <w:tab w:val="num" w:pos="3380"/>
        </w:tabs>
        <w:ind w:start="3380" w:hanging="360"/>
      </w:pPr>
      <w:rPr>
        <w:rFonts w:ascii="OpenSymbol" w:hAnsi="OpenSymbol" w:cs="OpenSymbol" w:hint="default"/>
      </w:rPr>
    </w:lvl>
    <w:lvl w:ilvl="8">
      <w:start w:val="1"/>
      <w:numFmt w:val="bullet"/>
      <w:lvlText w:val="▪"/>
      <w:lvlJc w:val="start"/>
      <w:pPr>
        <w:tabs>
          <w:tab w:val="num" w:pos="3740"/>
        </w:tabs>
        <w:ind w:start="3740" w:hanging="360"/>
      </w:pPr>
      <w:rPr>
        <w:rFonts w:ascii="OpenSymbol" w:hAnsi="OpenSymbol" w:cs="OpenSymbol" w:hint="default"/>
      </w:rPr>
    </w:lvl>
  </w:abstractNum>
  <w:abstractNum w:abstractNumId="10">
    <w:lvl w:ilvl="0">
      <w:start w:val="1"/>
      <w:numFmt w:val="bullet"/>
      <w:lvlText w:val=""/>
      <w:lvlJc w:val="start"/>
      <w:pPr>
        <w:tabs>
          <w:tab w:val="num" w:pos="860"/>
        </w:tabs>
        <w:ind w:start="860" w:hanging="360"/>
      </w:pPr>
      <w:rPr>
        <w:rFonts w:ascii="Symbol" w:hAnsi="Symbol" w:cs="Symbol" w:hint="default"/>
      </w:rPr>
    </w:lvl>
    <w:lvl w:ilvl="1">
      <w:start w:val="1"/>
      <w:numFmt w:val="bullet"/>
      <w:lvlText w:val="◦"/>
      <w:lvlJc w:val="start"/>
      <w:pPr>
        <w:tabs>
          <w:tab w:val="num" w:pos="1220"/>
        </w:tabs>
        <w:ind w:start="1220" w:hanging="360"/>
      </w:pPr>
      <w:rPr>
        <w:rFonts w:ascii="OpenSymbol" w:hAnsi="OpenSymbol" w:cs="OpenSymbol" w:hint="default"/>
      </w:rPr>
    </w:lvl>
    <w:lvl w:ilvl="2">
      <w:start w:val="1"/>
      <w:numFmt w:val="bullet"/>
      <w:lvlText w:val="▪"/>
      <w:lvlJc w:val="start"/>
      <w:pPr>
        <w:tabs>
          <w:tab w:val="num" w:pos="1580"/>
        </w:tabs>
        <w:ind w:start="1580" w:hanging="360"/>
      </w:pPr>
      <w:rPr>
        <w:rFonts w:ascii="OpenSymbol" w:hAnsi="OpenSymbol" w:cs="OpenSymbol" w:hint="default"/>
      </w:rPr>
    </w:lvl>
    <w:lvl w:ilvl="3">
      <w:start w:val="1"/>
      <w:numFmt w:val="bullet"/>
      <w:lvlText w:val=""/>
      <w:lvlJc w:val="start"/>
      <w:pPr>
        <w:tabs>
          <w:tab w:val="num" w:pos="1940"/>
        </w:tabs>
        <w:ind w:start="1940" w:hanging="360"/>
      </w:pPr>
      <w:rPr>
        <w:rFonts w:ascii="Symbol" w:hAnsi="Symbol" w:cs="Symbol" w:hint="default"/>
      </w:rPr>
    </w:lvl>
    <w:lvl w:ilvl="4">
      <w:start w:val="1"/>
      <w:numFmt w:val="bullet"/>
      <w:lvlText w:val="◦"/>
      <w:lvlJc w:val="start"/>
      <w:pPr>
        <w:tabs>
          <w:tab w:val="num" w:pos="2300"/>
        </w:tabs>
        <w:ind w:start="2300" w:hanging="360"/>
      </w:pPr>
      <w:rPr>
        <w:rFonts w:ascii="OpenSymbol" w:hAnsi="OpenSymbol" w:cs="OpenSymbol" w:hint="default"/>
      </w:rPr>
    </w:lvl>
    <w:lvl w:ilvl="5">
      <w:start w:val="1"/>
      <w:numFmt w:val="bullet"/>
      <w:lvlText w:val="▪"/>
      <w:lvlJc w:val="start"/>
      <w:pPr>
        <w:tabs>
          <w:tab w:val="num" w:pos="2660"/>
        </w:tabs>
        <w:ind w:start="2660" w:hanging="360"/>
      </w:pPr>
      <w:rPr>
        <w:rFonts w:ascii="OpenSymbol" w:hAnsi="OpenSymbol" w:cs="OpenSymbol" w:hint="default"/>
      </w:rPr>
    </w:lvl>
    <w:lvl w:ilvl="6">
      <w:start w:val="1"/>
      <w:numFmt w:val="bullet"/>
      <w:lvlText w:val=""/>
      <w:lvlJc w:val="start"/>
      <w:pPr>
        <w:tabs>
          <w:tab w:val="num" w:pos="3020"/>
        </w:tabs>
        <w:ind w:start="3020" w:hanging="360"/>
      </w:pPr>
      <w:rPr>
        <w:rFonts w:ascii="Symbol" w:hAnsi="Symbol" w:cs="Symbol" w:hint="default"/>
      </w:rPr>
    </w:lvl>
    <w:lvl w:ilvl="7">
      <w:start w:val="1"/>
      <w:numFmt w:val="bullet"/>
      <w:lvlText w:val="◦"/>
      <w:lvlJc w:val="start"/>
      <w:pPr>
        <w:tabs>
          <w:tab w:val="num" w:pos="3380"/>
        </w:tabs>
        <w:ind w:start="3380" w:hanging="360"/>
      </w:pPr>
      <w:rPr>
        <w:rFonts w:ascii="OpenSymbol" w:hAnsi="OpenSymbol" w:cs="OpenSymbol" w:hint="default"/>
      </w:rPr>
    </w:lvl>
    <w:lvl w:ilvl="8">
      <w:start w:val="1"/>
      <w:numFmt w:val="bullet"/>
      <w:lvlText w:val="▪"/>
      <w:lvlJc w:val="start"/>
      <w:pPr>
        <w:tabs>
          <w:tab w:val="num" w:pos="3740"/>
        </w:tabs>
        <w:ind w:start="374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4"/>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587247"/>
    <w:pPr>
      <w:widowControl w:val="false"/>
      <w:suppressAutoHyphens w:val="true"/>
      <w:bidi w:val="0"/>
      <w:spacing w:before="0" w:after="0"/>
      <w:jc w:val="start"/>
    </w:pPr>
    <w:rPr>
      <w:rFonts w:ascii="Times New Roman" w:hAnsi="Times New Roman" w:eastAsia="Times New Roman" w:cs="Times New Roman"/>
      <w:b w:val="false"/>
      <w:color w:val="auto"/>
      <w:kern w:val="0"/>
      <w:sz w:val="22"/>
      <w:szCs w:val="22"/>
      <w:lang w:val="ru-RU" w:eastAsia="en-US" w:bidi="ar-SA"/>
    </w:rPr>
  </w:style>
  <w:style w:type="paragraph" w:styleId="Heading1">
    <w:name w:val="heading 1"/>
    <w:basedOn w:val="Normal"/>
    <w:uiPriority w:val="1"/>
    <w:qFormat/>
    <w:pPr>
      <w:spacing w:before="72" w:after="0"/>
      <w:ind w:hanging="210" w:start="1061"/>
      <w:jc w:val="center"/>
      <w:outlineLvl w:val="0"/>
    </w:pPr>
    <w:rPr>
      <w:b/>
      <w:bCs/>
      <w:sz w:val="28"/>
      <w:szCs w:val="28"/>
    </w:rPr>
  </w:style>
  <w:style w:type="character" w:styleId="DefaultParagraphFont" w:default="1">
    <w:name w:val="Default Paragraph Font"/>
    <w:uiPriority w:val="1"/>
    <w:semiHidden/>
    <w:unhideWhenUsed/>
    <w:qFormat/>
    <w:rPr/>
  </w:style>
  <w:style w:type="character" w:styleId="Style13" w:customStyle="1">
    <w:name w:val="Верхний колонтитул Знак"/>
    <w:basedOn w:val="DefaultParagraphFont"/>
    <w:uiPriority w:val="99"/>
    <w:qFormat/>
    <w:rsid w:val="004e4761"/>
    <w:rPr>
      <w:rFonts w:ascii="Times New Roman" w:hAnsi="Times New Roman" w:eastAsia="Times New Roman" w:cs="Times New Roman"/>
      <w:lang w:val="ru-RU"/>
    </w:rPr>
  </w:style>
  <w:style w:type="character" w:styleId="Style14" w:customStyle="1">
    <w:name w:val="Нижний колонтитул Знак"/>
    <w:basedOn w:val="DefaultParagraphFont"/>
    <w:uiPriority w:val="99"/>
    <w:qFormat/>
    <w:rsid w:val="004e4761"/>
    <w:rPr>
      <w:rFonts w:ascii="Times New Roman" w:hAnsi="Times New Roman" w:eastAsia="Times New Roman" w:cs="Times New Roman"/>
      <w:lang w:val="ru-RU"/>
    </w:rPr>
  </w:style>
  <w:style w:type="character" w:styleId="Style15" w:customStyle="1">
    <w:name w:val="Заголовок Знак"/>
    <w:basedOn w:val="DefaultParagraphFont"/>
    <w:uiPriority w:val="10"/>
    <w:qFormat/>
    <w:rsid w:val="00870556"/>
    <w:rPr>
      <w:rFonts w:ascii="Times New Roman" w:hAnsi="Times New Roman" w:eastAsia="" w:cs="" w:cstheme="majorBidi" w:eastAsiaTheme="majorEastAsia"/>
      <w:b/>
      <w:spacing w:val="-10"/>
      <w:kern w:val="2"/>
      <w:sz w:val="28"/>
      <w:szCs w:val="56"/>
      <w:lang w:val="ru-RU"/>
    </w:rPr>
  </w:style>
  <w:style w:type="character" w:styleId="Hyperlink">
    <w:name w:val="Hyperlink"/>
    <w:basedOn w:val="DefaultParagraphFont"/>
    <w:uiPriority w:val="99"/>
    <w:unhideWhenUsed/>
    <w:rsid w:val="00870556"/>
    <w:rPr>
      <w:color w:themeColor="hyperlink" w:val="0000FF"/>
      <w:u w:val="single"/>
    </w:rPr>
  </w:style>
  <w:style w:type="character" w:styleId="user">
    <w:name w:val="Ссылка указателя (user)"/>
    <w:qFormat/>
    <w:rPr/>
  </w:style>
  <w:style w:type="character" w:styleId="user1">
    <w:name w:val="Символ нумерации (user)"/>
    <w:qFormat/>
    <w:rPr/>
  </w:style>
  <w:style w:type="character" w:styleId="Style16">
    <w:name w:val="Маркеры"/>
    <w:qFormat/>
    <w:rPr>
      <w:rFonts w:ascii="OpenSymbol" w:hAnsi="OpenSymbol" w:eastAsia="OpenSymbol" w:cs="OpenSymbol"/>
    </w:rPr>
  </w:style>
  <w:style w:type="character" w:styleId="LineNumber">
    <w:name w:val="line number"/>
    <w:rPr/>
  </w:style>
  <w:style w:type="character" w:styleId="Style17">
    <w:name w:val="Ссылка указателя"/>
    <w:qFormat/>
    <w:rPr/>
  </w:style>
  <w:style w:type="paragraph" w:styleId="Style18">
    <w:name w:val="Заголовок"/>
    <w:basedOn w:val="Normal"/>
    <w:next w:val="BodyText"/>
    <w:qFormat/>
    <w:pPr>
      <w:keepNext w:val="true"/>
      <w:spacing w:before="240" w:after="120"/>
    </w:pPr>
    <w:rPr>
      <w:rFonts w:ascii="Liberation Sans" w:hAnsi="Liberation Sans" w:eastAsia="Chiron Hei HK ExtraLight" w:cs="Matangi Light"/>
      <w:sz w:val="28"/>
      <w:szCs w:val="28"/>
    </w:rPr>
  </w:style>
  <w:style w:type="paragraph" w:styleId="BodyText">
    <w:name w:val="Body Text"/>
    <w:basedOn w:val="Normal"/>
    <w:uiPriority w:val="1"/>
    <w:qFormat/>
    <w:pPr>
      <w:ind w:start="140"/>
    </w:pPr>
    <w:rPr>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9">
    <w:name w:val="Указатель"/>
    <w:basedOn w:val="Normal"/>
    <w:qFormat/>
    <w:pPr>
      <w:suppressLineNumbers/>
    </w:pPr>
    <w:rPr>
      <w:rFonts w:cs="Matangi Light"/>
    </w:rPr>
  </w:style>
  <w:style w:type="paragraph" w:styleId="user2">
    <w:name w:val="Заголовок (user)"/>
    <w:basedOn w:val="Normal"/>
    <w:next w:val="BodyText"/>
    <w:qFormat/>
    <w:pPr>
      <w:keepNext w:val="true"/>
      <w:spacing w:before="240" w:after="120"/>
    </w:pPr>
    <w:rPr>
      <w:rFonts w:ascii="Liberation Sans" w:hAnsi="Liberation Sans" w:eastAsia="Noto Sans" w:cs="Noto Sans Devanagari"/>
      <w:sz w:val="28"/>
      <w:szCs w:val="28"/>
    </w:rPr>
  </w:style>
  <w:style w:type="paragraph" w:styleId="user3">
    <w:name w:val="Указатель (user)"/>
    <w:basedOn w:val="Normal"/>
    <w:qFormat/>
    <w:pPr>
      <w:suppressLineNumbers/>
    </w:pPr>
    <w:rPr>
      <w:rFonts w:cs="Noto Sans Devanagari"/>
    </w:rPr>
  </w:style>
  <w:style w:type="paragraph" w:styleId="ListParagraph">
    <w:name w:val="List Paragraph"/>
    <w:basedOn w:val="Normal"/>
    <w:uiPriority w:val="1"/>
    <w:qFormat/>
    <w:pPr>
      <w:spacing w:before="94" w:after="0"/>
      <w:ind w:hanging="706" w:start="1557"/>
    </w:pPr>
    <w:rPr/>
  </w:style>
  <w:style w:type="paragraph" w:styleId="TableParagraph" w:customStyle="1">
    <w:name w:val="Table Paragraph"/>
    <w:basedOn w:val="Normal"/>
    <w:uiPriority w:val="1"/>
    <w:qFormat/>
    <w:pPr/>
    <w:rPr/>
  </w:style>
  <w:style w:type="paragraph" w:styleId="user4">
    <w:name w:val="Колонтитулы (user)"/>
    <w:basedOn w:val="Normal"/>
    <w:qFormat/>
    <w:pPr/>
    <w:rPr/>
  </w:style>
  <w:style w:type="paragraph" w:styleId="Style20">
    <w:name w:val="Колонтитулы"/>
    <w:basedOn w:val="Normal"/>
    <w:qFormat/>
    <w:pPr/>
    <w:rPr/>
  </w:style>
  <w:style w:type="paragraph" w:styleId="Header">
    <w:name w:val="header"/>
    <w:basedOn w:val="Normal"/>
    <w:link w:val="Style13"/>
    <w:uiPriority w:val="99"/>
    <w:unhideWhenUsed/>
    <w:rsid w:val="004e4761"/>
    <w:pPr>
      <w:tabs>
        <w:tab w:val="clear" w:pos="720"/>
        <w:tab w:val="center" w:pos="4677" w:leader="none"/>
        <w:tab w:val="right" w:pos="9355" w:leader="none"/>
      </w:tabs>
    </w:pPr>
    <w:rPr/>
  </w:style>
  <w:style w:type="paragraph" w:styleId="Footer">
    <w:name w:val="footer"/>
    <w:basedOn w:val="Normal"/>
    <w:link w:val="Style14"/>
    <w:uiPriority w:val="99"/>
    <w:unhideWhenUsed/>
    <w:rsid w:val="004e4761"/>
    <w:pPr>
      <w:tabs>
        <w:tab w:val="clear" w:pos="720"/>
        <w:tab w:val="center" w:pos="4677" w:leader="none"/>
        <w:tab w:val="right" w:pos="9355" w:leader="none"/>
      </w:tabs>
    </w:pPr>
    <w:rPr/>
  </w:style>
  <w:style w:type="paragraph" w:styleId="IndexHeading">
    <w:name w:val="index heading"/>
    <w:basedOn w:val="user2"/>
    <w:pPr/>
    <w:rPr/>
  </w:style>
  <w:style w:type="paragraph" w:styleId="TOCHeading">
    <w:name w:val="TOC Heading"/>
    <w:basedOn w:val="Heading1"/>
    <w:next w:val="Normal"/>
    <w:uiPriority w:val="39"/>
    <w:unhideWhenUsed/>
    <w:qFormat/>
    <w:rsid w:val="00870556"/>
    <w:pPr>
      <w:keepNext w:val="true"/>
      <w:keepLines/>
      <w:widowControl/>
      <w:spacing w:lineRule="auto" w:line="240" w:before="0" w:after="0"/>
      <w:ind w:hanging="0" w:start="0"/>
      <w:jc w:val="start"/>
      <w:outlineLvl w:val="9"/>
    </w:pPr>
    <w:rPr>
      <w:rFonts w:ascii="Cambria" w:hAnsi="Cambria" w:eastAsia="" w:cs="" w:asciiTheme="majorHAnsi" w:cstheme="majorBidi" w:eastAsiaTheme="majorEastAsia" w:hAnsiTheme="majorHAnsi"/>
      <w:b w:val="false"/>
      <w:bCs w:val="false"/>
      <w:color w:themeColor="accent1" w:themeShade="bf" w:val="365F91"/>
      <w:sz w:val="32"/>
      <w:szCs w:val="32"/>
      <w:lang w:eastAsia="ru-RU"/>
    </w:rPr>
  </w:style>
  <w:style w:type="paragraph" w:styleId="Title">
    <w:name w:val="Title"/>
    <w:next w:val="BodyText"/>
    <w:link w:val="Style15"/>
    <w:uiPriority w:val="10"/>
    <w:qFormat/>
    <w:rsid w:val="00870556"/>
    <w:pPr>
      <w:widowControl w:val="false"/>
      <w:suppressAutoHyphens w:val="true"/>
      <w:bidi w:val="0"/>
      <w:spacing w:lineRule="auto" w:line="360" w:before="0" w:after="0"/>
      <w:ind w:firstLine="57"/>
      <w:contextualSpacing/>
      <w:jc w:val="center"/>
    </w:pPr>
    <w:rPr>
      <w:rFonts w:ascii="Times New Roman" w:hAnsi="Times New Roman" w:eastAsia="" w:cs="" w:cstheme="majorBidi" w:eastAsiaTheme="majorEastAsia"/>
      <w:b/>
      <w:color w:val="auto"/>
      <w:spacing w:val="-10"/>
      <w:kern w:val="2"/>
      <w:sz w:val="28"/>
      <w:szCs w:val="56"/>
      <w:lang w:val="ru-RU" w:eastAsia="en-US" w:bidi="ar-SA"/>
    </w:rPr>
  </w:style>
  <w:style w:type="paragraph" w:styleId="TOC1">
    <w:name w:val="toc 1"/>
    <w:basedOn w:val="Normal"/>
    <w:next w:val="Normal"/>
    <w:autoRedefine/>
    <w:uiPriority w:val="39"/>
    <w:unhideWhenUsed/>
    <w:rsid w:val="00870556"/>
    <w:pPr>
      <w:spacing w:before="0" w:after="100"/>
    </w:pPr>
    <w:rPr/>
  </w:style>
  <w:style w:type="numbering" w:styleId="user5" w:default="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A427E-42E7-466B-98A3-39461CB20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TotalTime>
  <Application>LibreOffice/26.2.2.2$Linux_X86_64 LibreOffice_project/620$Build-2</Application>
  <AppVersion>15.0000</AppVersion>
  <Pages>11</Pages>
  <Words>1715</Words>
  <Characters>11848</Characters>
  <CharactersWithSpaces>13458</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2025-12-10T18:28:00Z</dcterms:created>
  <dc:creator>Student</dc:creator>
  <dc:description/>
  <dc:language>ru-RU</dc:language>
  <cp:lastModifiedBy/>
  <dcterms:modified xsi:type="dcterms:W3CDTF">2026-04-21T23:26:48Z</dcterms:modified>
  <cp:revision>153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2024-12-10T00:00:00Z</vt:filetime>
  </property>
  <property fmtid="{D5CDD505-2E9C-101B-9397-08002B2CF9AE}" pid="3" name="Creator">
    <vt:lpwstr>Microsoft® Word 2016</vt:lpwstr>
  </property>
  <property fmtid="{D5CDD505-2E9C-101B-9397-08002B2CF9AE}" pid="4" name="LastSaved">
    <vt:filetime>2025-12-10T00:00:00Z</vt:filetime>
  </property>
  <property fmtid="{D5CDD505-2E9C-101B-9397-08002B2CF9AE}" pid="5" name="Producer">
    <vt:lpwstr>3-Heights(TM) PDF Security Shell 4.8.25.2 (http://www.pdf-tools.com)</vt:lpwstr>
  </property>
</Properties>
</file>