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0F165" w14:textId="62FB4FCF" w:rsidR="00943FF6" w:rsidRDefault="001D699E">
      <w:pPr>
        <w:widowControl/>
        <w:jc w:val="center"/>
        <w:rPr>
          <w:rFonts w:eastAsia="Calibri"/>
          <w:sz w:val="28"/>
          <w:szCs w:val="28"/>
        </w:rPr>
      </w:pPr>
      <w:r>
        <w:rPr>
          <w:rFonts w:eastAsia="Calibr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559C6645" wp14:editId="272041C1">
            <wp:simplePos x="0" y="0"/>
            <wp:positionH relativeFrom="column">
              <wp:posOffset>-989965</wp:posOffset>
            </wp:positionH>
            <wp:positionV relativeFrom="paragraph">
              <wp:posOffset>-660400</wp:posOffset>
            </wp:positionV>
            <wp:extent cx="7558088" cy="10768096"/>
            <wp:effectExtent l="0" t="0" r="508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4604" cy="1077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eastAsia="Calibri"/>
          <w:sz w:val="28"/>
          <w:szCs w:val="28"/>
        </w:rPr>
        <w:t>Министерство науки и высшего образования РФ</w:t>
      </w:r>
    </w:p>
    <w:p w14:paraId="5E2992E5" w14:textId="77777777" w:rsidR="00943FF6" w:rsidRDefault="00000000">
      <w:pPr>
        <w:widowControl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Федеральное государственное автономное образовательное учреждение </w:t>
      </w:r>
      <w:r>
        <w:rPr>
          <w:rFonts w:eastAsia="Calibri"/>
          <w:sz w:val="28"/>
          <w:szCs w:val="28"/>
        </w:rPr>
        <w:br/>
        <w:t>высшего образования</w:t>
      </w:r>
    </w:p>
    <w:p w14:paraId="7BF547E9" w14:textId="77777777" w:rsidR="00943FF6" w:rsidRDefault="00000000">
      <w:pPr>
        <w:widowControl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«ОМСКИЙ ГОСУДАРСТВЕННЫЙ ТЕХНИЧЕСКИЙ УНИВЕРСИТЕТ» </w:t>
      </w:r>
    </w:p>
    <w:p w14:paraId="0BD4A4FE" w14:textId="242674C7" w:rsidR="00943FF6" w:rsidRDefault="00000000">
      <w:pPr>
        <w:widowControl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Кафедра «</w:t>
      </w:r>
      <w:r w:rsidR="00846A7F">
        <w:rPr>
          <w:rFonts w:eastAsia="Calibri"/>
          <w:sz w:val="28"/>
          <w:szCs w:val="28"/>
        </w:rPr>
        <w:t>Экономика и организация труда</w:t>
      </w:r>
      <w:r>
        <w:rPr>
          <w:rFonts w:eastAsia="Calibri"/>
          <w:sz w:val="28"/>
          <w:szCs w:val="28"/>
        </w:rPr>
        <w:t>»</w:t>
      </w:r>
    </w:p>
    <w:p w14:paraId="77CA54C0" w14:textId="77777777" w:rsidR="00943FF6" w:rsidRDefault="00943FF6">
      <w:pPr>
        <w:widowControl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28223799" w14:textId="77777777" w:rsidR="00943FF6" w:rsidRDefault="00943FF6">
      <w:pPr>
        <w:widowControl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43BBA726" w14:textId="77777777" w:rsidR="00943FF6" w:rsidRDefault="00943FF6">
      <w:pPr>
        <w:widowControl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110829FC" w14:textId="77777777" w:rsidR="00943FF6" w:rsidRDefault="00943FF6">
      <w:pPr>
        <w:widowControl/>
        <w:spacing w:after="200" w:line="276" w:lineRule="auto"/>
        <w:jc w:val="center"/>
        <w:rPr>
          <w:rFonts w:eastAsia="Calibri"/>
          <w:sz w:val="28"/>
          <w:szCs w:val="28"/>
        </w:rPr>
      </w:pPr>
    </w:p>
    <w:p w14:paraId="013F5F79" w14:textId="77777777" w:rsidR="00943FF6" w:rsidRDefault="00943FF6">
      <w:pPr>
        <w:widowControl/>
        <w:rPr>
          <w:b/>
          <w:sz w:val="28"/>
          <w:szCs w:val="28"/>
          <w:lang w:eastAsia="ru-RU"/>
        </w:rPr>
      </w:pPr>
    </w:p>
    <w:p w14:paraId="773E5DE6" w14:textId="77777777" w:rsidR="00943FF6" w:rsidRDefault="00000000">
      <w:pPr>
        <w:widowControl/>
        <w:jc w:val="center"/>
        <w:rPr>
          <w:b/>
          <w:sz w:val="28"/>
          <w:szCs w:val="28"/>
          <w:lang w:eastAsia="ru-RU"/>
        </w:rPr>
      </w:pPr>
      <w:r>
        <w:rPr>
          <w:b/>
          <w:sz w:val="28"/>
          <w:szCs w:val="28"/>
          <w:lang w:eastAsia="ru-RU"/>
        </w:rPr>
        <w:t>ДОМАШНЕЕ ЗАДАНИЕ</w:t>
      </w:r>
    </w:p>
    <w:p w14:paraId="2EA5428F" w14:textId="77777777" w:rsidR="00943FF6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по дисциплине</w:t>
      </w:r>
    </w:p>
    <w:p w14:paraId="14F72CA9" w14:textId="77777777" w:rsidR="00943FF6" w:rsidRDefault="00943FF6">
      <w:pPr>
        <w:widowControl/>
        <w:jc w:val="center"/>
        <w:rPr>
          <w:sz w:val="28"/>
          <w:szCs w:val="28"/>
          <w:lang w:eastAsia="ru-RU"/>
        </w:rPr>
      </w:pPr>
    </w:p>
    <w:p w14:paraId="69791886" w14:textId="029BBBD1" w:rsidR="00943FF6" w:rsidRDefault="00000000">
      <w:pPr>
        <w:widowControl/>
        <w:jc w:val="center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«</w:t>
      </w:r>
      <w:r w:rsidR="00846A7F">
        <w:rPr>
          <w:sz w:val="28"/>
          <w:szCs w:val="28"/>
          <w:lang w:eastAsia="ru-RU"/>
        </w:rPr>
        <w:t>Финансовая грамотность</w:t>
      </w:r>
      <w:r>
        <w:rPr>
          <w:sz w:val="28"/>
          <w:szCs w:val="28"/>
          <w:lang w:eastAsia="ru-RU"/>
        </w:rPr>
        <w:t>»</w:t>
      </w:r>
    </w:p>
    <w:p w14:paraId="65AEB14E" w14:textId="77777777" w:rsidR="00943FF6" w:rsidRDefault="00943FF6">
      <w:pPr>
        <w:widowControl/>
        <w:jc w:val="center"/>
        <w:rPr>
          <w:sz w:val="28"/>
          <w:szCs w:val="28"/>
          <w:lang w:eastAsia="ru-RU"/>
        </w:rPr>
      </w:pPr>
    </w:p>
    <w:p w14:paraId="79D4FB5D" w14:textId="77777777" w:rsidR="00943FF6" w:rsidRDefault="00943FF6">
      <w:pPr>
        <w:widowControl/>
        <w:rPr>
          <w:sz w:val="28"/>
          <w:szCs w:val="28"/>
          <w:lang w:eastAsia="ru-RU"/>
        </w:rPr>
      </w:pPr>
    </w:p>
    <w:p w14:paraId="7ABC0C8D" w14:textId="77777777" w:rsidR="00943FF6" w:rsidRDefault="00943FF6">
      <w:pPr>
        <w:widowControl/>
        <w:rPr>
          <w:sz w:val="28"/>
          <w:szCs w:val="28"/>
          <w:lang w:eastAsia="ru-RU"/>
        </w:rPr>
      </w:pPr>
    </w:p>
    <w:p w14:paraId="1B3A8179" w14:textId="77777777" w:rsidR="00943FF6" w:rsidRDefault="00000000">
      <w:pPr>
        <w:widowControl/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Студента Шмидт Антона Владиславовича</w:t>
      </w:r>
    </w:p>
    <w:p w14:paraId="2E85C95D" w14:textId="77777777" w:rsidR="00943FF6" w:rsidRDefault="00000000">
      <w:pPr>
        <w:widowControl/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Группы ИВТ-244</w:t>
      </w:r>
    </w:p>
    <w:p w14:paraId="5D8AB66C" w14:textId="77777777" w:rsidR="00943FF6" w:rsidRDefault="00000000">
      <w:pPr>
        <w:widowControl/>
        <w:spacing w:line="360" w:lineRule="auto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Факультета информационных технологий и компьютерных систем</w:t>
      </w:r>
    </w:p>
    <w:p w14:paraId="2D852B92" w14:textId="77777777" w:rsidR="00943FF6" w:rsidRDefault="00000000">
      <w:pPr>
        <w:widowControl/>
        <w:spacing w:line="360" w:lineRule="auto"/>
        <w:jc w:val="both"/>
        <w:rPr>
          <w:bCs/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 xml:space="preserve">Направление подготовки бакалавров: </w:t>
      </w:r>
      <w:r>
        <w:rPr>
          <w:bCs/>
          <w:sz w:val="28"/>
          <w:szCs w:val="28"/>
          <w:lang w:eastAsia="ru-RU"/>
        </w:rPr>
        <w:t>09.03.01 «Информатика и вычислительная техника»</w:t>
      </w:r>
    </w:p>
    <w:p w14:paraId="68E54DD0" w14:textId="77777777" w:rsidR="00943FF6" w:rsidRDefault="00943FF6">
      <w:pPr>
        <w:widowControl/>
        <w:spacing w:line="360" w:lineRule="auto"/>
        <w:rPr>
          <w:sz w:val="28"/>
          <w:szCs w:val="28"/>
          <w:lang w:eastAsia="ru-RU"/>
        </w:rPr>
      </w:pPr>
    </w:p>
    <w:p w14:paraId="3FE7133B" w14:textId="77777777" w:rsidR="00943FF6" w:rsidRDefault="00943FF6">
      <w:pPr>
        <w:widowControl/>
        <w:spacing w:line="360" w:lineRule="auto"/>
        <w:ind w:left="3540" w:firstLine="708"/>
        <w:jc w:val="both"/>
        <w:rPr>
          <w:rFonts w:eastAsia="Calibri"/>
          <w:sz w:val="28"/>
          <w:szCs w:val="28"/>
        </w:rPr>
      </w:pPr>
    </w:p>
    <w:p w14:paraId="1ED9A324" w14:textId="77777777" w:rsidR="00943FF6" w:rsidRDefault="00943FF6">
      <w:pPr>
        <w:widowControl/>
        <w:spacing w:line="360" w:lineRule="auto"/>
        <w:ind w:left="3540" w:firstLine="708"/>
        <w:jc w:val="both"/>
        <w:rPr>
          <w:rFonts w:eastAsia="Calibri"/>
          <w:sz w:val="28"/>
          <w:szCs w:val="28"/>
        </w:rPr>
      </w:pPr>
    </w:p>
    <w:p w14:paraId="1E54545A" w14:textId="2B80F35B" w:rsidR="00943FF6" w:rsidRDefault="00000000">
      <w:pPr>
        <w:widowControl/>
        <w:spacing w:line="360" w:lineRule="auto"/>
        <w:ind w:left="5954" w:hanging="5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Работу проверил: </w:t>
      </w:r>
    </w:p>
    <w:p w14:paraId="2434C3FC" w14:textId="230CFB54" w:rsidR="00943FF6" w:rsidRDefault="00846A7F">
      <w:pPr>
        <w:widowControl/>
        <w:spacing w:line="360" w:lineRule="auto"/>
        <w:ind w:left="5954" w:hanging="5"/>
        <w:jc w:val="both"/>
        <w:rPr>
          <w:rFonts w:eastAsia="Calibri"/>
          <w:sz w:val="28"/>
          <w:szCs w:val="28"/>
        </w:rPr>
      </w:pPr>
      <w:proofErr w:type="spellStart"/>
      <w:r>
        <w:rPr>
          <w:rFonts w:eastAsia="Calibri"/>
          <w:sz w:val="28"/>
          <w:szCs w:val="28"/>
        </w:rPr>
        <w:t>Болкусов</w:t>
      </w:r>
      <w:proofErr w:type="spellEnd"/>
      <w:r>
        <w:rPr>
          <w:rFonts w:eastAsia="Calibri"/>
          <w:sz w:val="28"/>
          <w:szCs w:val="28"/>
        </w:rPr>
        <w:t xml:space="preserve"> Г.Э.</w:t>
      </w:r>
    </w:p>
    <w:p w14:paraId="174F525F" w14:textId="0F146AFF" w:rsidR="00943FF6" w:rsidRDefault="00846A7F">
      <w:pPr>
        <w:widowControl/>
        <w:spacing w:line="360" w:lineRule="auto"/>
        <w:ind w:left="5954" w:hanging="5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ассистент</w:t>
      </w:r>
    </w:p>
    <w:p w14:paraId="5917C659" w14:textId="77777777" w:rsidR="00943FF6" w:rsidRDefault="00000000">
      <w:pPr>
        <w:widowControl/>
        <w:spacing w:after="200" w:line="360" w:lineRule="auto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                                                        </w:t>
      </w:r>
    </w:p>
    <w:p w14:paraId="00213B3F" w14:textId="77777777" w:rsidR="00943FF6" w:rsidRDefault="00943FF6">
      <w:pPr>
        <w:widowControl/>
        <w:spacing w:after="200" w:line="276" w:lineRule="auto"/>
        <w:rPr>
          <w:rFonts w:eastAsia="Calibri"/>
          <w:sz w:val="28"/>
          <w:szCs w:val="28"/>
        </w:rPr>
      </w:pPr>
    </w:p>
    <w:p w14:paraId="15EA9D7B" w14:textId="77777777" w:rsidR="00943FF6" w:rsidRDefault="00943FF6">
      <w:pPr>
        <w:widowControl/>
        <w:spacing w:after="200" w:line="276" w:lineRule="auto"/>
        <w:rPr>
          <w:rFonts w:eastAsia="Calibri"/>
          <w:sz w:val="28"/>
          <w:szCs w:val="28"/>
        </w:rPr>
      </w:pPr>
    </w:p>
    <w:p w14:paraId="64A836FF" w14:textId="77777777" w:rsidR="00943FF6" w:rsidRDefault="00000000">
      <w:pPr>
        <w:widowControl/>
        <w:spacing w:after="200" w:line="276" w:lineRule="auto"/>
        <w:jc w:val="center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Омск 2026</w:t>
      </w:r>
      <w:r>
        <w:br w:type="page"/>
      </w:r>
    </w:p>
    <w:p w14:paraId="2452CF81" w14:textId="77777777" w:rsidR="00943FF6" w:rsidRDefault="00000000">
      <w:pPr>
        <w:pStyle w:val="aa"/>
        <w:spacing w:line="360" w:lineRule="auto"/>
        <w:ind w:left="170"/>
        <w:jc w:val="center"/>
        <w:rPr>
          <w:b/>
        </w:rPr>
      </w:pPr>
      <w:r>
        <w:rPr>
          <w:b/>
        </w:rPr>
        <w:lastRenderedPageBreak/>
        <w:t>Доклад</w:t>
      </w:r>
    </w:p>
    <w:p w14:paraId="17EF3F03" w14:textId="24027374" w:rsidR="00943FF6" w:rsidRDefault="00000000">
      <w:pPr>
        <w:pStyle w:val="aa"/>
        <w:spacing w:line="360" w:lineRule="auto"/>
        <w:ind w:left="170"/>
        <w:jc w:val="center"/>
        <w:rPr>
          <w:b/>
        </w:rPr>
      </w:pPr>
      <w:r>
        <w:rPr>
          <w:b/>
        </w:rPr>
        <w:t>на тему «</w:t>
      </w:r>
      <w:proofErr w:type="spellStart"/>
      <w:r w:rsidR="00846A7F" w:rsidRPr="00846A7F">
        <w:rPr>
          <w:b/>
        </w:rPr>
        <w:t>Курсообразующие</w:t>
      </w:r>
      <w:proofErr w:type="spellEnd"/>
      <w:r w:rsidR="00846A7F" w:rsidRPr="00846A7F">
        <w:rPr>
          <w:b/>
        </w:rPr>
        <w:t xml:space="preserve"> факторы для российского рубля</w:t>
      </w:r>
      <w:r>
        <w:rPr>
          <w:b/>
        </w:rPr>
        <w:t>»</w:t>
      </w:r>
    </w:p>
    <w:p w14:paraId="505123F1" w14:textId="77777777" w:rsidR="00943FF6" w:rsidRDefault="00000000">
      <w:pPr>
        <w:pStyle w:val="1"/>
        <w:ind w:left="170" w:firstLine="0"/>
      </w:pPr>
      <w:bookmarkStart w:id="0" w:name="__RefHeading___Toc13305_531594522"/>
      <w:bookmarkStart w:id="1" w:name="_Toc216990937"/>
      <w:bookmarkStart w:id="2" w:name="_Toc230367970"/>
      <w:bookmarkEnd w:id="0"/>
      <w:r>
        <w:t>Введение</w:t>
      </w:r>
      <w:bookmarkEnd w:id="1"/>
      <w:bookmarkEnd w:id="2"/>
    </w:p>
    <w:p w14:paraId="5285B63C" w14:textId="3EAD53F1" w:rsidR="00943FF6" w:rsidRDefault="00460E98">
      <w:pPr>
        <w:pStyle w:val="aa"/>
        <w:spacing w:line="360" w:lineRule="auto"/>
        <w:ind w:firstLine="580"/>
        <w:jc w:val="both"/>
      </w:pPr>
      <w:r w:rsidRPr="00460E98">
        <w:t>Валютный курс является одним из важнейших макроэкономических индикаторов, отражающих состояние национальной экономики, её конкурентоспособность на мировых рынках и уровень инвестиционной привлекательности. Для Российской Федерации, экономика которой исторически глубоко интегрирована в международную торговлю (прежде всего как экспортера сырьевых товаров), динамика курса национальной валюты имеет критическое значение.</w:t>
      </w:r>
    </w:p>
    <w:p w14:paraId="4C745EAE" w14:textId="07DD97EF" w:rsidR="00846A7F" w:rsidRDefault="00460E98">
      <w:pPr>
        <w:pStyle w:val="aa"/>
        <w:spacing w:line="360" w:lineRule="auto"/>
        <w:ind w:firstLine="580"/>
        <w:jc w:val="both"/>
      </w:pPr>
      <w:r w:rsidRPr="00460E98">
        <w:t>Колебания курса рубля напрямую влияют на уровень инфляции, доходы федерального бюджета, стоимость импортных товаров для населения и издержки бизнеса. В последние годы механизм курсообразования рубля претерпел существенные изменения: произошел переход от классической модели, зависящей преимущественно от цен на нефть и потоков иностранного капитала, к модели, где ключевую роль играют жесткий торговый баланс, валютные ограничения и геополитические риски.</w:t>
      </w:r>
    </w:p>
    <w:p w14:paraId="6EACFACE" w14:textId="77777777" w:rsidR="00943FF6" w:rsidRDefault="00000000">
      <w:pPr>
        <w:pStyle w:val="1"/>
        <w:ind w:left="170" w:firstLine="0"/>
      </w:pPr>
      <w:bookmarkStart w:id="3" w:name="__RefHeading___Toc13307_531594522"/>
      <w:bookmarkStart w:id="4" w:name="_Toc216990938"/>
      <w:bookmarkStart w:id="5" w:name="_Toc230367971"/>
      <w:bookmarkEnd w:id="3"/>
      <w:r>
        <w:t>Цель работы</w:t>
      </w:r>
      <w:bookmarkEnd w:id="4"/>
      <w:bookmarkEnd w:id="5"/>
    </w:p>
    <w:p w14:paraId="6B60DE59" w14:textId="1D3C7759" w:rsidR="00846A7F" w:rsidRPr="00846A7F" w:rsidRDefault="00460E98" w:rsidP="00460E98">
      <w:pPr>
        <w:pStyle w:val="aa"/>
        <w:spacing w:line="360" w:lineRule="auto"/>
        <w:ind w:firstLine="580"/>
        <w:jc w:val="both"/>
      </w:pPr>
      <w:r w:rsidRPr="00460E98">
        <w:t>Цель данного доклада — проанализировать ключевые фундаментальные и конъюнктурные факторы, определяющие динамику валютного курса российского рубля в современных экономических реалиях.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id w:val="-1717882208"/>
        <w:docPartObj>
          <w:docPartGallery w:val="Table of Contents"/>
          <w:docPartUnique/>
        </w:docPartObj>
      </w:sdtPr>
      <w:sdtContent>
        <w:p w14:paraId="1C62DDB9" w14:textId="77777777" w:rsidR="00943FF6" w:rsidRPr="003E1E8A" w:rsidRDefault="00000000">
          <w:pPr>
            <w:pStyle w:val="af0"/>
            <w:jc w:val="center"/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</w:pPr>
          <w:r w:rsidRPr="003E1E8A">
            <w:rPr>
              <w:sz w:val="28"/>
              <w:szCs w:val="28"/>
            </w:rPr>
            <w:br w:type="page"/>
          </w:r>
          <w:r w:rsidRPr="003E1E8A">
            <w:rPr>
              <w:rFonts w:ascii="Times New Roman" w:hAnsi="Times New Roman"/>
              <w:b/>
              <w:bCs/>
              <w:color w:val="000000"/>
              <w:sz w:val="28"/>
              <w:szCs w:val="28"/>
            </w:rPr>
            <w:lastRenderedPageBreak/>
            <w:t>Содержание</w:t>
          </w:r>
        </w:p>
        <w:p w14:paraId="7363C562" w14:textId="47C0A15A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E1E8A">
            <w:rPr>
              <w:sz w:val="28"/>
              <w:szCs w:val="28"/>
            </w:rPr>
            <w:fldChar w:fldCharType="begin"/>
          </w:r>
          <w:r w:rsidRPr="003E1E8A">
            <w:rPr>
              <w:rStyle w:val="user"/>
              <w:color w:val="000000"/>
              <w:sz w:val="28"/>
              <w:szCs w:val="28"/>
            </w:rPr>
            <w:instrText xml:space="preserve"> TOC \o "1-3" \h</w:instrText>
          </w:r>
          <w:r w:rsidRPr="003E1E8A">
            <w:rPr>
              <w:rStyle w:val="user"/>
            </w:rPr>
            <w:fldChar w:fldCharType="separate"/>
          </w:r>
          <w:hyperlink w:anchor="_Toc230367970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Введение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_Toc230367970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2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55983EEE" w14:textId="174E899A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1" w:history="1">
            <w:r w:rsidR="003E1E8A" w:rsidRPr="003E1E8A">
              <w:rPr>
                <w:rStyle w:val="a9"/>
                <w:noProof/>
                <w:sz w:val="28"/>
                <w:szCs w:val="28"/>
              </w:rPr>
              <w:t>Цель работы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_Toc230367971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2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CB313E4" w14:textId="6A6B3267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2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Глава 1. Состояние торгового баланса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_Toc230367972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4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0D0EED18" w14:textId="6C55BC53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3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Глава 2. Монетарная политика Банка России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_Toc230367973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5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0AA6E57" w14:textId="5CF8C366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4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Глава 3. Движение капитала и административные меры валютного контроля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_Toc230367974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6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557B10E" w14:textId="24CE3208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5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Глава 4. Инфраструктурные риски, санкции и трансформация структуры валютного рынка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_Toc230367975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7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403061CB" w14:textId="1711F380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6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Глава 5. Бюджетное правило и валютные операции государства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_Toc230367976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7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1B247E64" w14:textId="3E1D547A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7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Заключение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_Toc230367977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9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62118D68" w14:textId="26255993" w:rsidR="003E1E8A" w:rsidRPr="003E1E8A" w:rsidRDefault="00000000">
          <w:pPr>
            <w:pStyle w:val="10"/>
            <w:tabs>
              <w:tab w:val="right" w:leader="dot" w:pos="9629"/>
            </w:tabs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30367978" w:history="1">
            <w:r w:rsidR="003E1E8A" w:rsidRPr="003E1E8A">
              <w:rPr>
                <w:rStyle w:val="a9"/>
                <w:noProof/>
                <w:sz w:val="28"/>
                <w:szCs w:val="28"/>
              </w:rPr>
              <w:t>Библиографический список</w:t>
            </w:r>
            <w:r w:rsidR="003E1E8A" w:rsidRPr="003E1E8A">
              <w:rPr>
                <w:noProof/>
                <w:sz w:val="28"/>
                <w:szCs w:val="28"/>
              </w:rPr>
              <w:tab/>
            </w:r>
            <w:r w:rsidR="003E1E8A" w:rsidRPr="003E1E8A">
              <w:rPr>
                <w:noProof/>
                <w:sz w:val="28"/>
                <w:szCs w:val="28"/>
              </w:rPr>
              <w:fldChar w:fldCharType="begin"/>
            </w:r>
            <w:r w:rsidR="003E1E8A" w:rsidRPr="003E1E8A">
              <w:rPr>
                <w:noProof/>
                <w:sz w:val="28"/>
                <w:szCs w:val="28"/>
              </w:rPr>
              <w:instrText xml:space="preserve"> PAGEREF _Toc230367978 \h </w:instrText>
            </w:r>
            <w:r w:rsidR="003E1E8A" w:rsidRPr="003E1E8A">
              <w:rPr>
                <w:noProof/>
                <w:sz w:val="28"/>
                <w:szCs w:val="28"/>
              </w:rPr>
            </w:r>
            <w:r w:rsidR="003E1E8A" w:rsidRPr="003E1E8A">
              <w:rPr>
                <w:noProof/>
                <w:sz w:val="28"/>
                <w:szCs w:val="28"/>
              </w:rPr>
              <w:fldChar w:fldCharType="separate"/>
            </w:r>
            <w:r w:rsidR="003E1E8A" w:rsidRPr="003E1E8A">
              <w:rPr>
                <w:noProof/>
                <w:sz w:val="28"/>
                <w:szCs w:val="28"/>
              </w:rPr>
              <w:t>10</w:t>
            </w:r>
            <w:r w:rsidR="003E1E8A" w:rsidRPr="003E1E8A">
              <w:rPr>
                <w:noProof/>
                <w:sz w:val="28"/>
                <w:szCs w:val="28"/>
              </w:rPr>
              <w:fldChar w:fldCharType="end"/>
            </w:r>
          </w:hyperlink>
        </w:p>
        <w:p w14:paraId="7E0C3C05" w14:textId="566AA8C5" w:rsidR="00943FF6" w:rsidRPr="003E1E8A" w:rsidRDefault="00000000">
          <w:pPr>
            <w:pStyle w:val="10"/>
            <w:tabs>
              <w:tab w:val="right" w:leader="dot" w:pos="9638"/>
            </w:tabs>
            <w:rPr>
              <w:sz w:val="28"/>
              <w:szCs w:val="28"/>
            </w:rPr>
          </w:pPr>
          <w:r w:rsidRPr="003E1E8A">
            <w:rPr>
              <w:color w:val="000000"/>
              <w:sz w:val="28"/>
              <w:szCs w:val="28"/>
            </w:rPr>
            <w:fldChar w:fldCharType="end"/>
          </w:r>
        </w:p>
      </w:sdtContent>
    </w:sdt>
    <w:p w14:paraId="36677C5D" w14:textId="77777777" w:rsidR="00943FF6" w:rsidRPr="003E1E8A" w:rsidRDefault="00000000">
      <w:pPr>
        <w:rPr>
          <w:b/>
          <w:color w:val="000000"/>
          <w:spacing w:val="-2"/>
          <w:sz w:val="28"/>
          <w:szCs w:val="28"/>
        </w:rPr>
      </w:pPr>
      <w:r w:rsidRPr="003E1E8A">
        <w:rPr>
          <w:sz w:val="28"/>
          <w:szCs w:val="28"/>
        </w:rPr>
        <w:br w:type="page"/>
      </w:r>
    </w:p>
    <w:p w14:paraId="3B1ABF99" w14:textId="19EBDC2D" w:rsidR="00943FF6" w:rsidRDefault="00000000">
      <w:pPr>
        <w:pStyle w:val="1"/>
        <w:spacing w:before="0"/>
        <w:ind w:left="113" w:firstLine="0"/>
      </w:pPr>
      <w:bookmarkStart w:id="6" w:name="__RefHeading___Toc13309_531594522"/>
      <w:bookmarkStart w:id="7" w:name="_Toc216990939"/>
      <w:bookmarkStart w:id="8" w:name="_Toc230367972"/>
      <w:bookmarkEnd w:id="6"/>
      <w:r>
        <w:lastRenderedPageBreak/>
        <w:t xml:space="preserve">Глава 1. </w:t>
      </w:r>
      <w:bookmarkEnd w:id="7"/>
      <w:r w:rsidR="00460E98" w:rsidRPr="00460E98">
        <w:t>Состояние торгового баланса</w:t>
      </w:r>
      <w:bookmarkEnd w:id="8"/>
    </w:p>
    <w:p w14:paraId="2A01ABB3" w14:textId="47742BCC" w:rsidR="00460E98" w:rsidRDefault="00460E98" w:rsidP="00460E98">
      <w:pPr>
        <w:pStyle w:val="aa"/>
        <w:spacing w:before="95" w:line="360" w:lineRule="auto"/>
        <w:ind w:right="144" w:firstLine="710"/>
        <w:jc w:val="both"/>
      </w:pPr>
      <w:r>
        <w:t>В условиях жестких ограничений на движение капитала (фактической изоляции от глобальных финансовых рынков) внешнеторговый баланс стал абсолютно доминирующим, фундаментальным фактором курсообразования рубля. В современной российской экономике курс национальной валюты фактически превратился в математическую производную от разницы между притоком валюты от экспортеров и оттоком валюты для оплаты импорта.</w:t>
      </w:r>
    </w:p>
    <w:p w14:paraId="776A2360" w14:textId="1D24BBAF" w:rsidR="00943FF6" w:rsidRDefault="00460E98" w:rsidP="00460E98">
      <w:pPr>
        <w:pStyle w:val="aa"/>
        <w:spacing w:before="95" w:line="360" w:lineRule="auto"/>
        <w:ind w:right="144" w:firstLine="710"/>
        <w:jc w:val="both"/>
      </w:pPr>
      <w:r>
        <w:t>Приток иностранной валюты на внутренний рынок определяется двумя ключевыми параметрами: мировыми ценами на товары российского сырьевого экспорта (нефть, природный газ, металлы, уголь, зерно) и физическими объемами их поставок.</w:t>
      </w:r>
    </w:p>
    <w:p w14:paraId="2BED0F18" w14:textId="61FAF140" w:rsidR="00460E98" w:rsidRDefault="00460E98" w:rsidP="00E52ABA">
      <w:pPr>
        <w:pStyle w:val="aa"/>
        <w:numPr>
          <w:ilvl w:val="0"/>
          <w:numId w:val="5"/>
        </w:numPr>
        <w:spacing w:before="95" w:line="360" w:lineRule="auto"/>
        <w:ind w:left="851" w:right="144" w:hanging="567"/>
        <w:jc w:val="both"/>
      </w:pPr>
      <w:r>
        <w:t>Ценовой фактор и дисконты: В связи с введением эмбарго и механизма «потолка цен» (</w:t>
      </w:r>
      <w:proofErr w:type="spellStart"/>
      <w:r>
        <w:t>price</w:t>
      </w:r>
      <w:proofErr w:type="spellEnd"/>
      <w:r>
        <w:t xml:space="preserve"> </w:t>
      </w:r>
      <w:proofErr w:type="spellStart"/>
      <w:r>
        <w:t>cap</w:t>
      </w:r>
      <w:proofErr w:type="spellEnd"/>
      <w:r>
        <w:t>) со стороны западных стран, российские экспортные товары (в частности, нефть марки Urals) зачастую реализуются с определенным дисконтом к мировым бенчмаркам (например, Brent). Величина этого дисконта напрямую влияет на объем получаемой валютной выручки: его сужение поддерживает рубль, а расширение — оказывает девальвационное давление.</w:t>
      </w:r>
    </w:p>
    <w:p w14:paraId="5C6F593C" w14:textId="4068E482" w:rsidR="00460E98" w:rsidRDefault="00460E98" w:rsidP="00E52ABA">
      <w:pPr>
        <w:pStyle w:val="aa"/>
        <w:numPr>
          <w:ilvl w:val="0"/>
          <w:numId w:val="5"/>
        </w:numPr>
        <w:spacing w:before="95" w:line="360" w:lineRule="auto"/>
        <w:ind w:left="851" w:right="144" w:hanging="567"/>
        <w:jc w:val="both"/>
      </w:pPr>
      <w:r>
        <w:t>Проблема репатриации выручки</w:t>
      </w:r>
      <w:proofErr w:type="gramStart"/>
      <w:r>
        <w:t>: На</w:t>
      </w:r>
      <w:proofErr w:type="gramEnd"/>
      <w:r>
        <w:t xml:space="preserve"> фоне вторичных санкций усложнились расчеты с контрагентами из «дружественных» стран (Китая, Турции, ОАЭ и др.). Удлинение сроков проведения платежей приводит к временным лагам: товар фактически отгружен, но валюта за него поступает на внутренний российский рынок с задержкой в несколько месяцев, что периодически создает локальный дефицит ликвидности и ослабляет рубль.</w:t>
      </w:r>
    </w:p>
    <w:p w14:paraId="769BFEC2" w14:textId="5F7C1F97" w:rsidR="00846A7F" w:rsidRDefault="00E52ABA">
      <w:pPr>
        <w:pStyle w:val="aa"/>
        <w:spacing w:before="95" w:line="360" w:lineRule="auto"/>
        <w:ind w:right="144" w:firstLine="710"/>
        <w:jc w:val="both"/>
      </w:pPr>
      <w:r w:rsidRPr="00E52ABA">
        <w:t>Спрос на иностранную валюту внутри страны формируется преимущественно импортерами.</w:t>
      </w:r>
    </w:p>
    <w:p w14:paraId="0A976BBA" w14:textId="00EB4986" w:rsidR="00E52ABA" w:rsidRDefault="00E52ABA" w:rsidP="00E52ABA">
      <w:pPr>
        <w:pStyle w:val="aa"/>
        <w:numPr>
          <w:ilvl w:val="0"/>
          <w:numId w:val="6"/>
        </w:numPr>
        <w:spacing w:before="95" w:line="360" w:lineRule="auto"/>
        <w:ind w:left="851" w:right="144" w:hanging="567"/>
        <w:jc w:val="both"/>
      </w:pPr>
      <w:r>
        <w:t>Восстановление потребительского и инвестиционного спроса</w:t>
      </w:r>
      <w:proofErr w:type="gramStart"/>
      <w:r>
        <w:t>: На</w:t>
      </w:r>
      <w:proofErr w:type="gramEnd"/>
      <w:r>
        <w:t xml:space="preserve"> фоне бюджетного стимулирования экономики и роста заработных плат </w:t>
      </w:r>
      <w:r>
        <w:lastRenderedPageBreak/>
        <w:t>внутри страны спрос на импортные товары остается высоким. Если объемы импорта растут опережающими темпами по сравнению с экспортными доходами, торговое профицитное сальдо сжимается, что неминуемо ведет к ослаблению национальной валюты.</w:t>
      </w:r>
    </w:p>
    <w:p w14:paraId="7C664ED1" w14:textId="6E0C7544" w:rsidR="00E52ABA" w:rsidRDefault="00E52ABA" w:rsidP="00E52ABA">
      <w:pPr>
        <w:pStyle w:val="aa"/>
        <w:numPr>
          <w:ilvl w:val="0"/>
          <w:numId w:val="6"/>
        </w:numPr>
        <w:spacing w:before="95" w:line="360" w:lineRule="auto"/>
        <w:ind w:left="851" w:right="144" w:hanging="567"/>
        <w:jc w:val="both"/>
      </w:pPr>
      <w:r>
        <w:t>Трансакционные и логистические издержки: Перестройка цепочек поставок и механизм параллельного импорта привели к удорожанию самого процесса ввоза товаров. Импортерам теперь требуются услуги длинной цепи посредников, что увеличивает их потребность в покупке валюты для обеспечения того же физического объема товаров, что и до 2022 года.</w:t>
      </w:r>
    </w:p>
    <w:p w14:paraId="262A19AB" w14:textId="21AD916F" w:rsidR="00E52ABA" w:rsidRDefault="00E52ABA" w:rsidP="00E52ABA">
      <w:pPr>
        <w:pStyle w:val="aa"/>
        <w:spacing w:before="95" w:line="360" w:lineRule="auto"/>
        <w:ind w:right="144" w:firstLine="710"/>
        <w:jc w:val="both"/>
      </w:pPr>
      <w:r w:rsidRPr="00E52ABA">
        <w:t>Таким образом, курсообразование сегодня сводится к простому балансу: сужение профицита торгового баланса (падение экспортных доходов при стабильно высоком или растущем импорте) формирует устойчивый тренд на ослабление рубля. И напротив, рост мировых цен на энергоносители в сочетании с охлаждением внутреннего спроса на импорт создает условия для его укрепления.</w:t>
      </w:r>
    </w:p>
    <w:p w14:paraId="0242D354" w14:textId="7FE0385F" w:rsidR="00943FF6" w:rsidRDefault="00000000" w:rsidP="00535743">
      <w:pPr>
        <w:pStyle w:val="1"/>
        <w:ind w:left="113" w:firstLine="0"/>
      </w:pPr>
      <w:bookmarkStart w:id="9" w:name="__RefHeading___Toc13311_531594522"/>
      <w:bookmarkStart w:id="10" w:name="_Toc216990940"/>
      <w:bookmarkStart w:id="11" w:name="_Toc230367973"/>
      <w:bookmarkEnd w:id="9"/>
      <w:r>
        <w:t xml:space="preserve">Глава 2. </w:t>
      </w:r>
      <w:bookmarkEnd w:id="10"/>
      <w:r w:rsidR="00535743" w:rsidRPr="00535743">
        <w:t>Монетарная политика Банка России</w:t>
      </w:r>
      <w:bookmarkEnd w:id="11"/>
    </w:p>
    <w:p w14:paraId="482C97DA" w14:textId="434DE4F7" w:rsidR="00535743" w:rsidRDefault="00535743" w:rsidP="00535743">
      <w:pPr>
        <w:pStyle w:val="aa"/>
        <w:spacing w:before="95" w:line="360" w:lineRule="auto"/>
        <w:ind w:right="144" w:firstLine="710"/>
        <w:jc w:val="both"/>
      </w:pPr>
      <w:r>
        <w:t>До 2022 года изменение ключевой ставки ЦБ РФ напрямую влияло на курс через механизм кэрри-трейда (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trade</w:t>
      </w:r>
      <w:proofErr w:type="spellEnd"/>
      <w:r>
        <w:t>) — приток или отток спекулятивного иностранного капитала в российские государственные облигации (ОФЗ). В текущих условиях этот канал заблокирован, однако ставка остается важнейшим косвенным регулятором курса через управление внутренним спросом.</w:t>
      </w:r>
    </w:p>
    <w:p w14:paraId="798005B5" w14:textId="274539F5" w:rsidR="00535743" w:rsidRDefault="00535743" w:rsidP="00535743">
      <w:pPr>
        <w:pStyle w:val="aa"/>
        <w:numPr>
          <w:ilvl w:val="0"/>
          <w:numId w:val="7"/>
        </w:numPr>
        <w:spacing w:before="95" w:line="360" w:lineRule="auto"/>
        <w:ind w:left="851" w:right="144" w:hanging="567"/>
        <w:jc w:val="both"/>
      </w:pPr>
      <w:r>
        <w:t xml:space="preserve">Охлаждение внутреннего спроса: Жесткая денежно-кредитная политика (высокая ключевая ставка) ведет к значительному удорожанию кредитов для населения и бизнеса. Снижение кредитного импульса тормозит потребительскую и инвестиционную активность. Как следствие, закономерно сокращается спрос на импортные товары и оборудование, что снижает потребность в покупке иностранной </w:t>
      </w:r>
      <w:r>
        <w:lastRenderedPageBreak/>
        <w:t>валюты и снимает давление с рубля.</w:t>
      </w:r>
    </w:p>
    <w:p w14:paraId="12E129C0" w14:textId="52BF13E7" w:rsidR="00535743" w:rsidRDefault="00535743" w:rsidP="00535743">
      <w:pPr>
        <w:pStyle w:val="aa"/>
        <w:numPr>
          <w:ilvl w:val="0"/>
          <w:numId w:val="7"/>
        </w:numPr>
        <w:spacing w:before="95" w:line="360" w:lineRule="auto"/>
        <w:ind w:left="851" w:right="144" w:hanging="567"/>
        <w:jc w:val="both"/>
      </w:pPr>
      <w:r>
        <w:t>Стимулирование сберегательной модели поведения: Высокие процентные ставки по банковским депозитам делают рублевые активы высокодоходными. Это предотвращает переток рублевой ликвидности в иностранную валюту (граждане и бизнес предпочитают держать деньги на вкладах, а не скупать валюту в качестве защиты от инфляции).</w:t>
      </w:r>
    </w:p>
    <w:p w14:paraId="62A7EE0C" w14:textId="26CC2D37" w:rsidR="00846A7F" w:rsidRDefault="00535743" w:rsidP="00535743">
      <w:pPr>
        <w:pStyle w:val="aa"/>
        <w:numPr>
          <w:ilvl w:val="0"/>
          <w:numId w:val="7"/>
        </w:numPr>
        <w:spacing w:before="95" w:line="360" w:lineRule="auto"/>
        <w:ind w:left="851" w:right="144" w:hanging="567"/>
        <w:jc w:val="both"/>
      </w:pPr>
      <w:r>
        <w:t>Словесные интервенции (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>): Четкие сигналы регулятора о готовности удерживать жесткую монетарную политику продолжительное время формируют ожидания участников рынка, снижая панические настроения и сдерживая спекулятивные атаки на национальную валюту.</w:t>
      </w:r>
    </w:p>
    <w:p w14:paraId="58B1F303" w14:textId="02D4BFEF" w:rsidR="00943FF6" w:rsidRDefault="00000000">
      <w:pPr>
        <w:pStyle w:val="1"/>
        <w:ind w:left="170" w:firstLine="0"/>
      </w:pPr>
      <w:bookmarkStart w:id="12" w:name="__RefHeading___Toc13313_531594522"/>
      <w:bookmarkStart w:id="13" w:name="_Toc216990941"/>
      <w:bookmarkStart w:id="14" w:name="_Toc230367974"/>
      <w:bookmarkEnd w:id="12"/>
      <w:r>
        <w:t xml:space="preserve">Глава 3. </w:t>
      </w:r>
      <w:bookmarkEnd w:id="13"/>
      <w:r w:rsidR="00535743" w:rsidRPr="00535743">
        <w:t>Движение капитала и административные меры валютного контроля</w:t>
      </w:r>
      <w:bookmarkEnd w:id="14"/>
    </w:p>
    <w:p w14:paraId="762D3A5D" w14:textId="2C2FB8AF" w:rsidR="00535743" w:rsidRDefault="00535743" w:rsidP="00535743">
      <w:pPr>
        <w:pStyle w:val="aa"/>
        <w:spacing w:before="95" w:line="360" w:lineRule="auto"/>
        <w:ind w:right="144" w:firstLine="710"/>
        <w:jc w:val="both"/>
      </w:pPr>
      <w:r>
        <w:t>Современный российский валютный рынок функционирует в условиях жестко регламентированного движения капитала. Административные рычаги государства стали одним из главных инструментов ручного управления балансом спроса и предложения валюты.</w:t>
      </w:r>
    </w:p>
    <w:p w14:paraId="683A081A" w14:textId="3DCCE39F" w:rsidR="00535743" w:rsidRDefault="00535743" w:rsidP="00535743">
      <w:pPr>
        <w:pStyle w:val="aa"/>
        <w:numPr>
          <w:ilvl w:val="0"/>
          <w:numId w:val="8"/>
        </w:numPr>
        <w:spacing w:before="95" w:line="360" w:lineRule="auto"/>
        <w:ind w:left="851" w:right="144" w:hanging="567"/>
        <w:jc w:val="both"/>
      </w:pPr>
      <w:r>
        <w:t>Обязательная продажа валютной выручки: Механизм, регулируемый указами Президента РФ, обязывает определенные группы крупнейших экспортеров репатриировать (возвращать в страну) и продавать заданную долю валюты на внутреннем рынке. Это обеспечивает стабильное и гарантированное предложение ликвидности, независимо от текущих корпоративных нужд компаний, что эффективно сглаживает курсовую волатильность.</w:t>
      </w:r>
    </w:p>
    <w:p w14:paraId="730D5B5F" w14:textId="784520A0" w:rsidR="00943FF6" w:rsidRDefault="00535743" w:rsidP="00535743">
      <w:pPr>
        <w:pStyle w:val="aa"/>
        <w:numPr>
          <w:ilvl w:val="0"/>
          <w:numId w:val="8"/>
        </w:numPr>
        <w:spacing w:before="95" w:line="360" w:lineRule="auto"/>
        <w:ind w:left="851" w:right="144" w:hanging="567"/>
        <w:jc w:val="both"/>
      </w:pPr>
      <w:r>
        <w:t xml:space="preserve">Асимметрия оттока капитала: С одной стороны, средства нерезидентов из «недружественных» стран остаются заблокированными (на счетах типа «С»), что предотвращает лавинообразный вывод иностранного капитала из российских активов. С другой стороны, сохраняется </w:t>
      </w:r>
      <w:r>
        <w:lastRenderedPageBreak/>
        <w:t>легальный отток капитала со стороны резидентов (лимитированные переводы на зарубежные счета, выкуп активов у уходящих иностранных компаний с дисконтом), который формирует перманентный, хотя и контролируемый, фон для ослабления рубля.</w:t>
      </w:r>
    </w:p>
    <w:p w14:paraId="62774E53" w14:textId="3147E03F" w:rsidR="00943FF6" w:rsidRDefault="00000000">
      <w:pPr>
        <w:pStyle w:val="1"/>
        <w:ind w:left="170" w:firstLine="0"/>
      </w:pPr>
      <w:bookmarkStart w:id="15" w:name="__RefHeading___Toc13315_531594522"/>
      <w:bookmarkStart w:id="16" w:name="_Toc216990942"/>
      <w:bookmarkStart w:id="17" w:name="_Toc230367975"/>
      <w:bookmarkEnd w:id="15"/>
      <w:r>
        <w:t xml:space="preserve">Глава 4. </w:t>
      </w:r>
      <w:bookmarkEnd w:id="16"/>
      <w:r w:rsidR="00535743" w:rsidRPr="00535743">
        <w:t>Инфраструктурные риски, санкции и трансформация структуры валютного рынка</w:t>
      </w:r>
      <w:bookmarkEnd w:id="17"/>
    </w:p>
    <w:p w14:paraId="3858C5B1" w14:textId="404D6BBF" w:rsidR="00535743" w:rsidRDefault="00535743" w:rsidP="00535743">
      <w:pPr>
        <w:pStyle w:val="aa"/>
        <w:spacing w:before="95" w:line="360" w:lineRule="auto"/>
        <w:ind w:right="144" w:firstLine="711"/>
        <w:jc w:val="both"/>
      </w:pPr>
      <w:r>
        <w:t>Беспрецедентное геополитическое давление привело к полной структурной перестройке валютного рынка России и изменению самих бенчмарков (ориентиров) курсообразования.</w:t>
      </w:r>
    </w:p>
    <w:p w14:paraId="117652C1" w14:textId="22128F37" w:rsidR="00535743" w:rsidRDefault="00535743" w:rsidP="00535743">
      <w:pPr>
        <w:pStyle w:val="aa"/>
        <w:numPr>
          <w:ilvl w:val="0"/>
          <w:numId w:val="9"/>
        </w:numPr>
        <w:spacing w:before="95" w:line="360" w:lineRule="auto"/>
        <w:ind w:left="851" w:right="144" w:hanging="567"/>
        <w:jc w:val="both"/>
      </w:pPr>
      <w:r>
        <w:t xml:space="preserve">Переход на внебиржевые торги и </w:t>
      </w:r>
      <w:proofErr w:type="spellStart"/>
      <w:r>
        <w:t>юанизация</w:t>
      </w:r>
      <w:proofErr w:type="spellEnd"/>
      <w:proofErr w:type="gramStart"/>
      <w:r>
        <w:t>: После</w:t>
      </w:r>
      <w:proofErr w:type="gramEnd"/>
      <w:r>
        <w:t xml:space="preserve"> введения санкций против инфраструктуры финансового рынка (включая Московскую биржу и НКЦ), биржевые торги «токсичными» валютами (доллар США, евро) были остановлены. Их ценообразование перешло на внебиржевой (межбанковский) рынок, став менее прозрачным. Главной биржевой иностранной валютой стал китайский юань (CNY), что сделало кросс-курс рубля существенно зависимым от состояния экономики Китая и колебаний пары USD/CNY на глобальном рынке.</w:t>
      </w:r>
    </w:p>
    <w:p w14:paraId="3307E3C7" w14:textId="162FBCAB" w:rsidR="00846A7F" w:rsidRDefault="00535743" w:rsidP="003E1E8A">
      <w:pPr>
        <w:pStyle w:val="aa"/>
        <w:numPr>
          <w:ilvl w:val="0"/>
          <w:numId w:val="9"/>
        </w:numPr>
        <w:spacing w:before="95" w:line="360" w:lineRule="auto"/>
        <w:ind w:left="851" w:right="144" w:hanging="567"/>
        <w:jc w:val="both"/>
      </w:pPr>
      <w:r>
        <w:t>Угроза вторичных санкций и комплаенс-риски: Растущее давление США и ЕС на финансовые институты «дружественных» юрисдикций (Китая, Турции, ОАЭ) регулярно усложняет проведение трансграничных платежей. Возникающие "платежные узлы" (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bottlenecks</w:t>
      </w:r>
      <w:proofErr w:type="spellEnd"/>
      <w:r>
        <w:t>) приводят к фрагментации курсов (разница между официальным, межбанковским и наличным курсами) и росту трансакционных издержек. Импортеры вынуждены закладывать эти издержки и комиссии посредников в итоговую стоимость валюты.</w:t>
      </w:r>
    </w:p>
    <w:p w14:paraId="7B2AF739" w14:textId="44A98092" w:rsidR="00943FF6" w:rsidRDefault="00000000">
      <w:pPr>
        <w:pStyle w:val="1"/>
        <w:ind w:left="170" w:firstLine="0"/>
      </w:pPr>
      <w:bookmarkStart w:id="18" w:name="__RefHeading___Toc13317_531594522"/>
      <w:bookmarkStart w:id="19" w:name="_Toc216990943"/>
      <w:bookmarkStart w:id="20" w:name="_Toc230367976"/>
      <w:bookmarkEnd w:id="18"/>
      <w:r>
        <w:t xml:space="preserve">Глава 5. </w:t>
      </w:r>
      <w:bookmarkEnd w:id="19"/>
      <w:r w:rsidR="003E1E8A" w:rsidRPr="003E1E8A">
        <w:t>Бюджетное правило и валютные операции государства</w:t>
      </w:r>
      <w:bookmarkEnd w:id="20"/>
    </w:p>
    <w:p w14:paraId="41E85D49" w14:textId="3D10E8EF" w:rsidR="003E1E8A" w:rsidRDefault="003E1E8A" w:rsidP="003E1E8A">
      <w:pPr>
        <w:pStyle w:val="aa"/>
        <w:spacing w:before="95" w:line="360" w:lineRule="auto"/>
        <w:ind w:right="144" w:firstLine="711"/>
        <w:jc w:val="both"/>
      </w:pPr>
      <w:r>
        <w:t xml:space="preserve">Бюджетное правило выступает встроенным макроэкономическим стабилизатором, искусственно снижающим зависимость курса национальной валюты и экономики в целом от резких колебаний мировых цен на </w:t>
      </w:r>
      <w:r>
        <w:lastRenderedPageBreak/>
        <w:t>энергоносители.</w:t>
      </w:r>
    </w:p>
    <w:p w14:paraId="28C10E83" w14:textId="5AD33284" w:rsidR="003E1E8A" w:rsidRDefault="003E1E8A" w:rsidP="003E1E8A">
      <w:pPr>
        <w:pStyle w:val="aa"/>
        <w:numPr>
          <w:ilvl w:val="0"/>
          <w:numId w:val="10"/>
        </w:numPr>
        <w:spacing w:before="95" w:line="360" w:lineRule="auto"/>
        <w:ind w:left="851" w:right="144" w:hanging="567"/>
        <w:jc w:val="both"/>
      </w:pPr>
      <w:r>
        <w:t>Механизм сглаживания конъюнктурных шоков: Алгоритм правила строится вокруг базового уровня нефтегазовых доходов бюджета. При формировании сверхдоходов (высокие цены на нефть) Минфин закупает иностранную валюту и золото в Фонд национального благосостояния (ФНБ), изымая излишнюю ликвидность и сдерживая чрезмерное укрепление рубля. В случае недополучения базовых доходов государство, наоборот, продает валюту из резервов, компенсируя дефицит бюджета и поддерживая курс рубля при неблагоприятной внешней конъюнктуре.</w:t>
      </w:r>
    </w:p>
    <w:p w14:paraId="568D904B" w14:textId="7D758AFC" w:rsidR="00846A7F" w:rsidRDefault="003E1E8A" w:rsidP="003E1E8A">
      <w:pPr>
        <w:pStyle w:val="aa"/>
        <w:numPr>
          <w:ilvl w:val="0"/>
          <w:numId w:val="10"/>
        </w:numPr>
        <w:spacing w:before="95" w:line="360" w:lineRule="auto"/>
        <w:ind w:left="851" w:right="144" w:hanging="567"/>
        <w:jc w:val="both"/>
      </w:pPr>
      <w:r>
        <w:t>Специфика современной реализации: Ключевым отличием текущей конструкции бюджетного правила от версий до 2022 года является полная замена резервных активов: вместо доллара и евро операции проводятся исключительно с китайским юанем и золотом. Регулярные операции Банка России (выступающего агентом Минфина на внутреннем рынке) создают предсказуемый элемент спроса или предложения, позволяя сглаживать краткосрочные рыночные шоки.</w:t>
      </w:r>
    </w:p>
    <w:p w14:paraId="167F994B" w14:textId="77777777" w:rsidR="00943FF6" w:rsidRDefault="00000000">
      <w:pPr>
        <w:rPr>
          <w:sz w:val="28"/>
          <w:szCs w:val="28"/>
        </w:rPr>
      </w:pPr>
      <w:r>
        <w:br w:type="page"/>
      </w:r>
    </w:p>
    <w:p w14:paraId="3828875F" w14:textId="77777777" w:rsidR="00943FF6" w:rsidRDefault="00000000">
      <w:pPr>
        <w:pStyle w:val="1"/>
        <w:spacing w:before="0"/>
        <w:ind w:left="170" w:firstLine="0"/>
      </w:pPr>
      <w:bookmarkStart w:id="21" w:name="__RefHeading___Toc13321_531594522"/>
      <w:bookmarkStart w:id="22" w:name="_Toc216990945"/>
      <w:bookmarkStart w:id="23" w:name="_Toc230367977"/>
      <w:bookmarkEnd w:id="21"/>
      <w:r>
        <w:lastRenderedPageBreak/>
        <w:t>Заключение</w:t>
      </w:r>
      <w:bookmarkEnd w:id="22"/>
      <w:bookmarkEnd w:id="23"/>
    </w:p>
    <w:p w14:paraId="4B311E05" w14:textId="24B6885B" w:rsidR="003E1E8A" w:rsidRDefault="003E1E8A" w:rsidP="003E1E8A">
      <w:pPr>
        <w:pStyle w:val="aa"/>
        <w:spacing w:before="95" w:line="360" w:lineRule="auto"/>
        <w:ind w:right="144" w:firstLine="710"/>
        <w:jc w:val="both"/>
      </w:pPr>
      <w:r>
        <w:t>Подводя итог, можно утверждать, что современная модель формирования курса российского рубля кардинально отличается от классического свободного плавания. Рубль трансформировался из валюты, курс которой определялся глобальными финансовыми потоками и финансовыми спекулянтами, в валюту, курс которой является строгой производной от внешнеторгового баланса.</w:t>
      </w:r>
    </w:p>
    <w:p w14:paraId="6F7C9F7B" w14:textId="0999E25B" w:rsidR="00846A7F" w:rsidRDefault="003E1E8A" w:rsidP="003E1E8A">
      <w:pPr>
        <w:pStyle w:val="aa"/>
        <w:spacing w:before="95" w:line="360" w:lineRule="auto"/>
        <w:ind w:right="144" w:firstLine="710"/>
        <w:jc w:val="both"/>
      </w:pPr>
      <w:r>
        <w:t>Сегодня сила или слабость рубля зависят преимущественно от того, сколько валюты страна зарабатывает на экспорте и сколько тратит на импорт. Дополнительными, но не менее важными балансирами выступают административные меры (указы о продаже валютной выручки), жесткая монетарная политика Банка России и механизмы бюджетного правила, которые в совокупности позволяют абсорбировать внешние геополитические шоки.</w:t>
      </w:r>
    </w:p>
    <w:p w14:paraId="347339B9" w14:textId="77777777" w:rsidR="00943FF6" w:rsidRDefault="00000000">
      <w:pPr>
        <w:rPr>
          <w:sz w:val="28"/>
          <w:szCs w:val="28"/>
        </w:rPr>
      </w:pPr>
      <w:r>
        <w:br w:type="page"/>
      </w:r>
    </w:p>
    <w:p w14:paraId="437A44AD" w14:textId="77777777" w:rsidR="00943FF6" w:rsidRDefault="00000000">
      <w:pPr>
        <w:pStyle w:val="1"/>
        <w:spacing w:before="0"/>
        <w:ind w:left="170" w:firstLine="0"/>
      </w:pPr>
      <w:bookmarkStart w:id="24" w:name="__RefHeading___Toc13323_531594522"/>
      <w:bookmarkStart w:id="25" w:name="_Toc216990946"/>
      <w:bookmarkStart w:id="26" w:name="_Toc230367978"/>
      <w:bookmarkEnd w:id="24"/>
      <w:r>
        <w:lastRenderedPageBreak/>
        <w:t>Библиографический список</w:t>
      </w:r>
      <w:bookmarkEnd w:id="25"/>
      <w:bookmarkEnd w:id="26"/>
    </w:p>
    <w:p w14:paraId="0C75C54B" w14:textId="596FE864" w:rsidR="003E1E8A" w:rsidRPr="003E1E8A" w:rsidRDefault="003E1E8A" w:rsidP="001A107B">
      <w:pPr>
        <w:pStyle w:val="ae"/>
        <w:numPr>
          <w:ilvl w:val="0"/>
          <w:numId w:val="2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3E1E8A">
        <w:rPr>
          <w:sz w:val="28"/>
          <w:szCs w:val="28"/>
        </w:rPr>
        <w:t>Федеральный закон от 10.07.2002 N 86-ФЗ (ред. от текущего года) «О Центральном банке Российской Федерации (Банке России)».</w:t>
      </w:r>
    </w:p>
    <w:p w14:paraId="39DB9FEB" w14:textId="2DFF45B9" w:rsidR="003E1E8A" w:rsidRPr="003E1E8A" w:rsidRDefault="003E1E8A" w:rsidP="0066617D">
      <w:pPr>
        <w:pStyle w:val="ae"/>
        <w:numPr>
          <w:ilvl w:val="0"/>
          <w:numId w:val="2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3E1E8A">
        <w:rPr>
          <w:sz w:val="28"/>
          <w:szCs w:val="28"/>
        </w:rPr>
        <w:t>Банк России. Основные направления единой государственной денежно-кредитной политики. Официальные доклады регулятора. — URL: https://cbr.ru/ (дата обращения: 22.05.2026).</w:t>
      </w:r>
    </w:p>
    <w:p w14:paraId="4FB61ADE" w14:textId="19D3FC1A" w:rsidR="003E1E8A" w:rsidRPr="003E1E8A" w:rsidRDefault="003E1E8A" w:rsidP="00681549">
      <w:pPr>
        <w:pStyle w:val="ae"/>
        <w:numPr>
          <w:ilvl w:val="0"/>
          <w:numId w:val="2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3E1E8A">
        <w:rPr>
          <w:sz w:val="28"/>
          <w:szCs w:val="28"/>
        </w:rPr>
        <w:t>Матвеева Т. Ю. Макроэкономика: учебник для вузов. — М.: Издательский дом НИУ ВШЭ.</w:t>
      </w:r>
    </w:p>
    <w:p w14:paraId="420AAB5D" w14:textId="7E9816FA" w:rsidR="003E1E8A" w:rsidRPr="003E1E8A" w:rsidRDefault="003E1E8A" w:rsidP="0059530C">
      <w:pPr>
        <w:pStyle w:val="ae"/>
        <w:numPr>
          <w:ilvl w:val="0"/>
          <w:numId w:val="2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3E1E8A">
        <w:rPr>
          <w:sz w:val="28"/>
          <w:szCs w:val="28"/>
        </w:rPr>
        <w:t>Кудрин А. Л., Соколов И. А. Бюджетные правила как инструмент сбалансированной макроэкономической политики // Вопросы экономики. — № 11. — С. 5-32.</w:t>
      </w:r>
    </w:p>
    <w:p w14:paraId="78E40A77" w14:textId="2E5CF30A" w:rsidR="00943FF6" w:rsidRDefault="003E1E8A" w:rsidP="003E1E8A">
      <w:pPr>
        <w:pStyle w:val="ae"/>
        <w:numPr>
          <w:ilvl w:val="0"/>
          <w:numId w:val="2"/>
        </w:numPr>
        <w:tabs>
          <w:tab w:val="left" w:pos="1061"/>
        </w:tabs>
        <w:spacing w:before="96" w:line="360" w:lineRule="auto"/>
        <w:jc w:val="both"/>
        <w:rPr>
          <w:sz w:val="28"/>
          <w:szCs w:val="28"/>
        </w:rPr>
      </w:pPr>
      <w:r w:rsidRPr="003E1E8A">
        <w:rPr>
          <w:sz w:val="28"/>
          <w:szCs w:val="28"/>
        </w:rPr>
        <w:t>Министерство финансов Российской Федерации. Ежемесячные отчеты об исполнении федерального бюджета и операциях на валютном рынке. — URL: https://minfin.gov.ru/ (дата обращения: 22.05.2026).</w:t>
      </w:r>
    </w:p>
    <w:sectPr w:rsidR="00943FF6">
      <w:footerReference w:type="even" r:id="rId9"/>
      <w:footerReference w:type="default" r:id="rId10"/>
      <w:footerReference w:type="first" r:id="rId11"/>
      <w:pgSz w:w="11906" w:h="16838"/>
      <w:pgMar w:top="1040" w:right="708" w:bottom="1340" w:left="1559" w:header="0" w:footer="1143" w:gutter="0"/>
      <w:cols w:space="720"/>
      <w:formProt w:val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4E0150" w14:textId="77777777" w:rsidR="007F7286" w:rsidRDefault="007F7286">
      <w:r>
        <w:separator/>
      </w:r>
    </w:p>
  </w:endnote>
  <w:endnote w:type="continuationSeparator" w:id="0">
    <w:p w14:paraId="42E9771B" w14:textId="77777777" w:rsidR="007F7286" w:rsidRDefault="007F72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46F27A" w14:textId="77777777" w:rsidR="00943FF6" w:rsidRDefault="00943FF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36004737"/>
      <w:docPartObj>
        <w:docPartGallery w:val="Page Numbers (Bottom of Page)"/>
        <w:docPartUnique/>
      </w:docPartObj>
    </w:sdtPr>
    <w:sdtContent>
      <w:p w14:paraId="4150611C" w14:textId="77777777" w:rsidR="00943FF6" w:rsidRDefault="00000000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14</w:t>
        </w:r>
        <w:r>
          <w:fldChar w:fldCharType="end"/>
        </w:r>
      </w:p>
    </w:sdtContent>
  </w:sdt>
  <w:p w14:paraId="43AA354E" w14:textId="77777777" w:rsidR="00943FF6" w:rsidRDefault="00943FF6">
    <w:pPr>
      <w:pStyle w:val="aa"/>
      <w:spacing w:line="14" w:lineRule="auto"/>
      <w:ind w:left="0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54DFC" w14:textId="77777777" w:rsidR="00943FF6" w:rsidRDefault="00943FF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18940" w14:textId="77777777" w:rsidR="007F7286" w:rsidRDefault="007F7286">
      <w:r>
        <w:separator/>
      </w:r>
    </w:p>
  </w:footnote>
  <w:footnote w:type="continuationSeparator" w:id="0">
    <w:p w14:paraId="4DD7B9AD" w14:textId="77777777" w:rsidR="007F7286" w:rsidRDefault="007F72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E3CEA"/>
    <w:multiLevelType w:val="hybridMultilevel"/>
    <w:tmpl w:val="4536B9C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CA426BC"/>
    <w:multiLevelType w:val="hybridMultilevel"/>
    <w:tmpl w:val="70F6FCAE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2" w15:restartNumberingAfterBreak="0">
    <w:nsid w:val="26B111CC"/>
    <w:multiLevelType w:val="hybridMultilevel"/>
    <w:tmpl w:val="D1924782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3" w15:restartNumberingAfterBreak="0">
    <w:nsid w:val="27937EA5"/>
    <w:multiLevelType w:val="multilevel"/>
    <w:tmpl w:val="CB8C6A5C"/>
    <w:lvl w:ilvl="0">
      <w:start w:val="1"/>
      <w:numFmt w:val="decimal"/>
      <w:lvlText w:val="%1."/>
      <w:lvlJc w:val="left"/>
      <w:pPr>
        <w:tabs>
          <w:tab w:val="num" w:pos="860"/>
        </w:tabs>
        <w:ind w:left="860" w:hanging="360"/>
      </w:pPr>
    </w:lvl>
    <w:lvl w:ilvl="1">
      <w:start w:val="1"/>
      <w:numFmt w:val="decimal"/>
      <w:lvlText w:val="%2."/>
      <w:lvlJc w:val="left"/>
      <w:pPr>
        <w:tabs>
          <w:tab w:val="num" w:pos="1220"/>
        </w:tabs>
        <w:ind w:left="1220" w:hanging="360"/>
      </w:pPr>
    </w:lvl>
    <w:lvl w:ilvl="2">
      <w:start w:val="1"/>
      <w:numFmt w:val="decimal"/>
      <w:lvlText w:val="%3."/>
      <w:lvlJc w:val="left"/>
      <w:pPr>
        <w:tabs>
          <w:tab w:val="num" w:pos="1580"/>
        </w:tabs>
        <w:ind w:left="1580" w:hanging="360"/>
      </w:pPr>
    </w:lvl>
    <w:lvl w:ilvl="3">
      <w:start w:val="1"/>
      <w:numFmt w:val="decimal"/>
      <w:lvlText w:val="%4."/>
      <w:lvlJc w:val="left"/>
      <w:pPr>
        <w:tabs>
          <w:tab w:val="num" w:pos="1940"/>
        </w:tabs>
        <w:ind w:left="1940" w:hanging="360"/>
      </w:pPr>
    </w:lvl>
    <w:lvl w:ilvl="4">
      <w:start w:val="1"/>
      <w:numFmt w:val="decimal"/>
      <w:lvlText w:val="%5."/>
      <w:lvlJc w:val="left"/>
      <w:pPr>
        <w:tabs>
          <w:tab w:val="num" w:pos="2300"/>
        </w:tabs>
        <w:ind w:left="2300" w:hanging="360"/>
      </w:pPr>
    </w:lvl>
    <w:lvl w:ilvl="5">
      <w:start w:val="1"/>
      <w:numFmt w:val="decimal"/>
      <w:lvlText w:val="%6."/>
      <w:lvlJc w:val="left"/>
      <w:pPr>
        <w:tabs>
          <w:tab w:val="num" w:pos="2660"/>
        </w:tabs>
        <w:ind w:left="2660" w:hanging="360"/>
      </w:pPr>
    </w:lvl>
    <w:lvl w:ilvl="6">
      <w:start w:val="1"/>
      <w:numFmt w:val="decimal"/>
      <w:lvlText w:val="%7."/>
      <w:lvlJc w:val="left"/>
      <w:pPr>
        <w:tabs>
          <w:tab w:val="num" w:pos="3020"/>
        </w:tabs>
        <w:ind w:left="3020" w:hanging="360"/>
      </w:pPr>
    </w:lvl>
    <w:lvl w:ilvl="7">
      <w:start w:val="1"/>
      <w:numFmt w:val="decimal"/>
      <w:lvlText w:val="%8."/>
      <w:lvlJc w:val="left"/>
      <w:pPr>
        <w:tabs>
          <w:tab w:val="num" w:pos="3380"/>
        </w:tabs>
        <w:ind w:left="3380" w:hanging="360"/>
      </w:pPr>
    </w:lvl>
    <w:lvl w:ilvl="8">
      <w:start w:val="1"/>
      <w:numFmt w:val="decimal"/>
      <w:lvlText w:val="%9."/>
      <w:lvlJc w:val="left"/>
      <w:pPr>
        <w:tabs>
          <w:tab w:val="num" w:pos="3740"/>
        </w:tabs>
        <w:ind w:left="3740" w:hanging="360"/>
      </w:pPr>
    </w:lvl>
  </w:abstractNum>
  <w:abstractNum w:abstractNumId="4" w15:restartNumberingAfterBreak="0">
    <w:nsid w:val="2C13124A"/>
    <w:multiLevelType w:val="hybridMultilevel"/>
    <w:tmpl w:val="B5004C8A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5" w15:restartNumberingAfterBreak="0">
    <w:nsid w:val="2FA87953"/>
    <w:multiLevelType w:val="multilevel"/>
    <w:tmpl w:val="807CBA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67E462E"/>
    <w:multiLevelType w:val="hybridMultilevel"/>
    <w:tmpl w:val="2B3ABF8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3E2A119B"/>
    <w:multiLevelType w:val="multilevel"/>
    <w:tmpl w:val="393AF2B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C7C7307"/>
    <w:multiLevelType w:val="hybridMultilevel"/>
    <w:tmpl w:val="6A5CBE56"/>
    <w:lvl w:ilvl="0" w:tplc="04190001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0" w:hanging="360"/>
      </w:pPr>
      <w:rPr>
        <w:rFonts w:ascii="Wingdings" w:hAnsi="Wingdings" w:hint="default"/>
      </w:rPr>
    </w:lvl>
  </w:abstractNum>
  <w:abstractNum w:abstractNumId="9" w15:restartNumberingAfterBreak="0">
    <w:nsid w:val="72AC1124"/>
    <w:multiLevelType w:val="multilevel"/>
    <w:tmpl w:val="695EABC2"/>
    <w:lvl w:ilvl="0">
      <w:start w:val="1"/>
      <w:numFmt w:val="decimal"/>
      <w:lvlText w:val="%1."/>
      <w:lvlJc w:val="left"/>
      <w:pPr>
        <w:tabs>
          <w:tab w:val="num" w:pos="860"/>
        </w:tabs>
        <w:ind w:left="860" w:hanging="360"/>
      </w:pPr>
    </w:lvl>
    <w:lvl w:ilvl="1">
      <w:start w:val="1"/>
      <w:numFmt w:val="decimal"/>
      <w:lvlText w:val="%2."/>
      <w:lvlJc w:val="left"/>
      <w:pPr>
        <w:tabs>
          <w:tab w:val="num" w:pos="1220"/>
        </w:tabs>
        <w:ind w:left="1220" w:hanging="360"/>
      </w:pPr>
    </w:lvl>
    <w:lvl w:ilvl="2">
      <w:start w:val="1"/>
      <w:numFmt w:val="decimal"/>
      <w:lvlText w:val="%3."/>
      <w:lvlJc w:val="left"/>
      <w:pPr>
        <w:tabs>
          <w:tab w:val="num" w:pos="1580"/>
        </w:tabs>
        <w:ind w:left="1580" w:hanging="360"/>
      </w:pPr>
    </w:lvl>
    <w:lvl w:ilvl="3">
      <w:start w:val="1"/>
      <w:numFmt w:val="decimal"/>
      <w:lvlText w:val="%4."/>
      <w:lvlJc w:val="left"/>
      <w:pPr>
        <w:tabs>
          <w:tab w:val="num" w:pos="1940"/>
        </w:tabs>
        <w:ind w:left="1940" w:hanging="360"/>
      </w:pPr>
    </w:lvl>
    <w:lvl w:ilvl="4">
      <w:start w:val="1"/>
      <w:numFmt w:val="decimal"/>
      <w:lvlText w:val="%5."/>
      <w:lvlJc w:val="left"/>
      <w:pPr>
        <w:tabs>
          <w:tab w:val="num" w:pos="2300"/>
        </w:tabs>
        <w:ind w:left="2300" w:hanging="360"/>
      </w:pPr>
    </w:lvl>
    <w:lvl w:ilvl="5">
      <w:start w:val="1"/>
      <w:numFmt w:val="decimal"/>
      <w:lvlText w:val="%6."/>
      <w:lvlJc w:val="left"/>
      <w:pPr>
        <w:tabs>
          <w:tab w:val="num" w:pos="2660"/>
        </w:tabs>
        <w:ind w:left="2660" w:hanging="360"/>
      </w:pPr>
    </w:lvl>
    <w:lvl w:ilvl="6">
      <w:start w:val="1"/>
      <w:numFmt w:val="decimal"/>
      <w:lvlText w:val="%7."/>
      <w:lvlJc w:val="left"/>
      <w:pPr>
        <w:tabs>
          <w:tab w:val="num" w:pos="3020"/>
        </w:tabs>
        <w:ind w:left="3020" w:hanging="360"/>
      </w:pPr>
    </w:lvl>
    <w:lvl w:ilvl="7">
      <w:start w:val="1"/>
      <w:numFmt w:val="decimal"/>
      <w:lvlText w:val="%8."/>
      <w:lvlJc w:val="left"/>
      <w:pPr>
        <w:tabs>
          <w:tab w:val="num" w:pos="3380"/>
        </w:tabs>
        <w:ind w:left="3380" w:hanging="360"/>
      </w:pPr>
    </w:lvl>
    <w:lvl w:ilvl="8">
      <w:start w:val="1"/>
      <w:numFmt w:val="decimal"/>
      <w:lvlText w:val="%9."/>
      <w:lvlJc w:val="left"/>
      <w:pPr>
        <w:tabs>
          <w:tab w:val="num" w:pos="3740"/>
        </w:tabs>
        <w:ind w:left="3740" w:hanging="360"/>
      </w:pPr>
    </w:lvl>
  </w:abstractNum>
  <w:num w:numId="1" w16cid:durableId="630945672">
    <w:abstractNumId w:val="5"/>
  </w:num>
  <w:num w:numId="2" w16cid:durableId="203298625">
    <w:abstractNumId w:val="7"/>
  </w:num>
  <w:num w:numId="3" w16cid:durableId="783811906">
    <w:abstractNumId w:val="3"/>
  </w:num>
  <w:num w:numId="4" w16cid:durableId="1067916334">
    <w:abstractNumId w:val="9"/>
  </w:num>
  <w:num w:numId="5" w16cid:durableId="1392655016">
    <w:abstractNumId w:val="1"/>
  </w:num>
  <w:num w:numId="6" w16cid:durableId="349646334">
    <w:abstractNumId w:val="2"/>
  </w:num>
  <w:num w:numId="7" w16cid:durableId="480077155">
    <w:abstractNumId w:val="8"/>
  </w:num>
  <w:num w:numId="8" w16cid:durableId="1449856865">
    <w:abstractNumId w:val="4"/>
  </w:num>
  <w:num w:numId="9" w16cid:durableId="306861366">
    <w:abstractNumId w:val="6"/>
  </w:num>
  <w:num w:numId="10" w16cid:durableId="16468174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43FF6"/>
    <w:rsid w:val="001D699E"/>
    <w:rsid w:val="003E1E8A"/>
    <w:rsid w:val="00460E98"/>
    <w:rsid w:val="004B6600"/>
    <w:rsid w:val="00535743"/>
    <w:rsid w:val="007F7286"/>
    <w:rsid w:val="00846A7F"/>
    <w:rsid w:val="00943FF6"/>
    <w:rsid w:val="009F74F8"/>
    <w:rsid w:val="00D95C61"/>
    <w:rsid w:val="00E52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E33B5C"/>
  <w15:docId w15:val="{94AAA01C-69B8-4063-9B1C-854128FBB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87247"/>
    <w:pPr>
      <w:widowControl w:val="0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72"/>
      <w:ind w:left="1061" w:hanging="210"/>
      <w:jc w:val="center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4E4761"/>
    <w:rPr>
      <w:rFonts w:ascii="Times New Roman" w:eastAsia="Times New Roman" w:hAnsi="Times New Roman" w:cs="Times New Roman"/>
      <w:lang w:val="ru-RU"/>
    </w:rPr>
  </w:style>
  <w:style w:type="character" w:customStyle="1" w:styleId="a5">
    <w:name w:val="Нижний колонтитул Знак"/>
    <w:basedOn w:val="a0"/>
    <w:link w:val="a6"/>
    <w:uiPriority w:val="99"/>
    <w:qFormat/>
    <w:rsid w:val="004E4761"/>
    <w:rPr>
      <w:rFonts w:ascii="Times New Roman" w:eastAsia="Times New Roman" w:hAnsi="Times New Roman" w:cs="Times New Roman"/>
      <w:lang w:val="ru-RU"/>
    </w:rPr>
  </w:style>
  <w:style w:type="character" w:customStyle="1" w:styleId="a7">
    <w:name w:val="Заголовок Знак"/>
    <w:basedOn w:val="a0"/>
    <w:link w:val="a8"/>
    <w:uiPriority w:val="10"/>
    <w:qFormat/>
    <w:rsid w:val="00870556"/>
    <w:rPr>
      <w:rFonts w:ascii="Times New Roman" w:eastAsiaTheme="majorEastAsia" w:hAnsi="Times New Roman" w:cstheme="majorBidi"/>
      <w:b/>
      <w:spacing w:val="-10"/>
      <w:kern w:val="2"/>
      <w:sz w:val="28"/>
      <w:szCs w:val="56"/>
      <w:lang w:val="ru-RU"/>
    </w:rPr>
  </w:style>
  <w:style w:type="character" w:styleId="a9">
    <w:name w:val="Hyperlink"/>
    <w:basedOn w:val="a0"/>
    <w:uiPriority w:val="99"/>
    <w:unhideWhenUsed/>
    <w:rsid w:val="00870556"/>
    <w:rPr>
      <w:color w:val="0000FF" w:themeColor="hyperlink"/>
      <w:u w:val="single"/>
    </w:rPr>
  </w:style>
  <w:style w:type="character" w:customStyle="1" w:styleId="user">
    <w:name w:val="Ссылка указателя (user)"/>
    <w:qFormat/>
  </w:style>
  <w:style w:type="character" w:customStyle="1" w:styleId="user0">
    <w:name w:val="Символ нумерации (user)"/>
    <w:qFormat/>
  </w:style>
  <w:style w:type="paragraph" w:styleId="a8">
    <w:name w:val="Title"/>
    <w:next w:val="aa"/>
    <w:link w:val="a7"/>
    <w:uiPriority w:val="10"/>
    <w:qFormat/>
    <w:rsid w:val="00870556"/>
    <w:pPr>
      <w:widowControl w:val="0"/>
      <w:spacing w:line="360" w:lineRule="auto"/>
      <w:ind w:firstLine="57"/>
      <w:contextualSpacing/>
      <w:jc w:val="center"/>
    </w:pPr>
    <w:rPr>
      <w:rFonts w:ascii="Times New Roman" w:eastAsiaTheme="majorEastAsia" w:hAnsi="Times New Roman" w:cstheme="majorBidi"/>
      <w:b/>
      <w:spacing w:val="-10"/>
      <w:kern w:val="2"/>
      <w:sz w:val="28"/>
      <w:szCs w:val="56"/>
      <w:lang w:val="ru-RU"/>
    </w:rPr>
  </w:style>
  <w:style w:type="paragraph" w:styleId="aa">
    <w:name w:val="Body Text"/>
    <w:basedOn w:val="a"/>
    <w:uiPriority w:val="1"/>
    <w:qFormat/>
    <w:pPr>
      <w:ind w:left="140"/>
    </w:pPr>
    <w:rPr>
      <w:sz w:val="28"/>
      <w:szCs w:val="28"/>
    </w:rPr>
  </w:style>
  <w:style w:type="paragraph" w:styleId="ab">
    <w:name w:val="List"/>
    <w:basedOn w:val="aa"/>
    <w:rPr>
      <w:rFonts w:cs="Noto Sans Devanagari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d">
    <w:name w:val="index heading"/>
    <w:basedOn w:val="user1"/>
  </w:style>
  <w:style w:type="paragraph" w:customStyle="1" w:styleId="user1">
    <w:name w:val="Заголовок (user)"/>
    <w:basedOn w:val="a"/>
    <w:next w:val="aa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customStyle="1" w:styleId="user2">
    <w:name w:val="Указатель (user)"/>
    <w:basedOn w:val="a"/>
    <w:qFormat/>
    <w:pPr>
      <w:suppressLineNumbers/>
    </w:pPr>
    <w:rPr>
      <w:rFonts w:cs="Noto Sans Devanagari"/>
    </w:rPr>
  </w:style>
  <w:style w:type="paragraph" w:styleId="ae">
    <w:name w:val="List Paragraph"/>
    <w:basedOn w:val="a"/>
    <w:uiPriority w:val="1"/>
    <w:qFormat/>
    <w:pPr>
      <w:spacing w:before="94"/>
      <w:ind w:left="1557" w:hanging="706"/>
    </w:pPr>
  </w:style>
  <w:style w:type="paragraph" w:customStyle="1" w:styleId="TableParagraph">
    <w:name w:val="Table Paragraph"/>
    <w:basedOn w:val="a"/>
    <w:uiPriority w:val="1"/>
    <w:qFormat/>
  </w:style>
  <w:style w:type="paragraph" w:customStyle="1" w:styleId="user3">
    <w:name w:val="Колонтитулы (user)"/>
    <w:basedOn w:val="a"/>
    <w:qFormat/>
  </w:style>
  <w:style w:type="paragraph" w:customStyle="1" w:styleId="af">
    <w:name w:val="Колонтитулы"/>
    <w:basedOn w:val="a"/>
    <w:qFormat/>
  </w:style>
  <w:style w:type="paragraph" w:styleId="a4">
    <w:name w:val="header"/>
    <w:basedOn w:val="a"/>
    <w:link w:val="a3"/>
    <w:uiPriority w:val="99"/>
    <w:unhideWhenUsed/>
    <w:rsid w:val="004E4761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unhideWhenUsed/>
    <w:rsid w:val="004E4761"/>
    <w:pPr>
      <w:tabs>
        <w:tab w:val="center" w:pos="4677"/>
        <w:tab w:val="right" w:pos="9355"/>
      </w:tabs>
    </w:pPr>
  </w:style>
  <w:style w:type="paragraph" w:styleId="af0">
    <w:name w:val="TOC Heading"/>
    <w:basedOn w:val="1"/>
    <w:next w:val="a"/>
    <w:uiPriority w:val="39"/>
    <w:unhideWhenUsed/>
    <w:qFormat/>
    <w:rsid w:val="00870556"/>
    <w:pPr>
      <w:keepNext/>
      <w:keepLines/>
      <w:widowControl/>
      <w:spacing w:before="142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870556"/>
    <w:pPr>
      <w:spacing w:after="100"/>
    </w:pPr>
  </w:style>
  <w:style w:type="numbering" w:customStyle="1" w:styleId="user4">
    <w:name w:val="Без списка (user)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72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A427E-42E7-466B-98A3-39461CB2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</TotalTime>
  <Pages>10</Pages>
  <Words>1769</Words>
  <Characters>10088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dc:description/>
  <cp:lastModifiedBy>ppljc</cp:lastModifiedBy>
  <cp:revision>153</cp:revision>
  <dcterms:created xsi:type="dcterms:W3CDTF">2025-12-10T18:28:00Z</dcterms:created>
  <dcterms:modified xsi:type="dcterms:W3CDTF">2026-05-29T22:58:00Z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2025-12-10T00:00:00Z</vt:filetime>
  </property>
  <property fmtid="{D5CDD505-2E9C-101B-9397-08002B2CF9AE}" pid="5" name="Producer">
    <vt:lpwstr>3-Heights(TM) PDF Security Shell 4.8.25.2 (http://www.pdf-tools.com)</vt:lpwstr>
  </property>
</Properties>
</file>