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FAEDD">
      <w:pPr>
        <w:spacing w:before="1600"/>
        <w:jc w:val="center"/>
      </w:pPr>
      <w:r>
        <w:rPr>
          <w:rFonts w:ascii="微软雅黑" w:hAnsi="微软雅黑" w:eastAsia="微软雅黑"/>
          <w:b/>
          <w:color w:val="0E4DC4"/>
          <w:sz w:val="72"/>
        </w:rPr>
        <w:t>效 益 测 算 报 告</w:t>
      </w:r>
    </w:p>
    <w:p w14:paraId="21925B47">
      <w:pPr>
        <w:spacing w:before="400"/>
        <w:jc w:val="center"/>
      </w:pPr>
      <w:r>
        <w:rPr>
          <w:rFonts w:ascii="微软雅黑" w:hAnsi="微软雅黑" w:eastAsia="微软雅黑"/>
          <w:b/>
          <w:color w:val="1A2233"/>
          <w:sz w:val="44"/>
        </w:rPr>
        <w:t>AI 数字人工匠导师智能体</w:t>
      </w:r>
    </w:p>
    <w:p w14:paraId="55116179">
      <w:pPr>
        <w:jc w:val="center"/>
      </w:pPr>
      <w:r>
        <w:rPr>
          <w:rFonts w:ascii="微软雅黑" w:hAnsi="微软雅黑" w:eastAsia="微软雅黑"/>
          <w:color w:val="5A6A7A"/>
          <w:sz w:val="32"/>
        </w:rPr>
        <w:t>职业教育全栈元宇宙解决方案</w:t>
      </w:r>
    </w:p>
    <w:p w14:paraId="1CCD163E"/>
    <w:p w14:paraId="1A0ED9B9"/>
    <w:p w14:paraId="416CA1AD"/>
    <w:p w14:paraId="61D29529"/>
    <w:p w14:paraId="1D424A83"/>
    <w:p w14:paraId="18A8B82D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14910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87F14A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E4DC4"/>
                <w:sz w:val="24"/>
              </w:rPr>
              <w:t>参赛赛事</w:t>
            </w:r>
          </w:p>
        </w:tc>
        <w:tc>
          <w:tcPr>
            <w:tcW w:w="4535" w:type="dxa"/>
          </w:tcPr>
          <w:p w14:paraId="651F41D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4"/>
              </w:rPr>
              <w:t>昌吉州 AI 智能体创新应用大赛</w:t>
            </w:r>
          </w:p>
        </w:tc>
      </w:tr>
      <w:tr w14:paraId="68531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29255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E4DC4"/>
                <w:sz w:val="24"/>
              </w:rPr>
              <w:t>参赛方向</w:t>
            </w:r>
          </w:p>
        </w:tc>
        <w:tc>
          <w:tcPr>
            <w:tcW w:w="4535" w:type="dxa"/>
          </w:tcPr>
          <w:p w14:paraId="7F3DA2D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4"/>
              </w:rPr>
              <w:t>AI + 职业教育数字化实训</w:t>
            </w:r>
          </w:p>
        </w:tc>
      </w:tr>
      <w:tr w14:paraId="7D322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5D1BBB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E4DC4"/>
                <w:sz w:val="24"/>
              </w:rPr>
              <w:t>编制日期</w:t>
            </w:r>
          </w:p>
        </w:tc>
        <w:tc>
          <w:tcPr>
            <w:tcW w:w="4535" w:type="dxa"/>
          </w:tcPr>
          <w:p w14:paraId="31646AC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4"/>
              </w:rPr>
              <w:t>2026 年 7 月</w:t>
            </w:r>
          </w:p>
        </w:tc>
      </w:tr>
      <w:tr w14:paraId="5817F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265232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E4DC4"/>
                <w:sz w:val="24"/>
              </w:rPr>
              <w:t>文档版本</w:t>
            </w:r>
          </w:p>
        </w:tc>
        <w:tc>
          <w:tcPr>
            <w:tcW w:w="4535" w:type="dxa"/>
          </w:tcPr>
          <w:p w14:paraId="4E74734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4"/>
              </w:rPr>
              <w:t>V2.0（修订版）</w:t>
            </w:r>
          </w:p>
        </w:tc>
      </w:tr>
    </w:tbl>
    <w:p w14:paraId="01D997A4">
      <w:r>
        <w:br w:type="page"/>
      </w:r>
    </w:p>
    <w:p w14:paraId="6CF74C0F">
      <w:pPr>
        <w:pStyle w:val="3"/>
      </w:pPr>
      <w:r>
        <w:rPr>
          <w:rFonts w:ascii="微软雅黑" w:hAnsi="微软雅黑" w:eastAsia="微软雅黑"/>
          <w:color w:val="0E4DC4"/>
          <w:sz w:val="36"/>
        </w:rPr>
        <w:t>目  录</w:t>
      </w:r>
    </w:p>
    <w:p w14:paraId="51754698"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一、测算概述</w:t>
      </w:r>
    </w:p>
    <w:p w14:paraId="2FFEDA02"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二、测算模型</w:t>
      </w:r>
    </w:p>
    <w:p w14:paraId="7A93DD1A"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三、数据来源</w:t>
      </w:r>
    </w:p>
    <w:p w14:paraId="0C5F8186"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四、投入测算</w:t>
      </w:r>
    </w:p>
    <w:p w14:paraId="1E9EF20F"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五、经济效益测算</w:t>
      </w:r>
    </w:p>
    <w:p w14:paraId="427F2E88"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六、社会效益指标</w:t>
      </w:r>
    </w:p>
    <w:p w14:paraId="68A3FCBA"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七、综合效益与投资回报</w:t>
      </w:r>
    </w:p>
    <w:p w14:paraId="3F3F4F19"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八、敏感性分析</w:t>
      </w:r>
    </w:p>
    <w:p w14:paraId="60BEB38E"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九、结论与建议</w:t>
      </w:r>
    </w:p>
    <w:p w14:paraId="4D4AB524">
      <w:r>
        <w:br w:type="page"/>
      </w:r>
    </w:p>
    <w:p w14:paraId="3187A6AC">
      <w:pPr>
        <w:pStyle w:val="3"/>
      </w:pPr>
      <w:r>
        <w:rPr>
          <w:rFonts w:ascii="微软雅黑" w:hAnsi="微软雅黑" w:eastAsia="微软雅黑"/>
          <w:color w:val="0E4DC4"/>
          <w:sz w:val="36"/>
        </w:rPr>
        <w:t>一、测算概述</w:t>
      </w:r>
    </w:p>
    <w:p w14:paraId="314A4C61">
      <w:pPr>
        <w:pStyle w:val="4"/>
      </w:pPr>
      <w:r>
        <w:rPr>
          <w:rFonts w:ascii="微软雅黑" w:hAnsi="微软雅黑" w:eastAsia="微软雅黑"/>
          <w:color w:val="0E4DC4"/>
          <w:sz w:val="30"/>
        </w:rPr>
        <w:t>1.1 测算目的</w:t>
      </w:r>
    </w:p>
    <w:p w14:paraId="446CBDA7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本报告对"AI 数字人工匠导师智能体"项目在昌吉州落地实施的经济效益、社会效益及投资回报进行系统测算，为项目立项决策、资源配置与推广路径提供量化依据。测算覆盖标杆示范阶段（2026 H2，6 个月）与早期推广阶段（2027，1 年）两个周期。</w:t>
      </w:r>
    </w:p>
    <w:p w14:paraId="4FD070D2">
      <w:pPr>
        <w:pStyle w:val="4"/>
      </w:pPr>
      <w:r>
        <w:rPr>
          <w:rFonts w:ascii="微软雅黑" w:hAnsi="微软雅黑" w:eastAsia="微软雅黑"/>
          <w:color w:val="0E4DC4"/>
          <w:sz w:val="30"/>
        </w:rPr>
        <w:t>1.2 测算范围</w:t>
      </w:r>
    </w:p>
    <w:p w14:paraId="2B1A657E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经济效益：算力消纳收益、降本收益、产业链带动收益、平台营收；</w:t>
      </w:r>
    </w:p>
    <w:p w14:paraId="2A761B68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社会效益：教育普惠覆盖人数、技能提升指标、师资赋能指标、出海指标；</w:t>
      </w:r>
    </w:p>
    <w:p w14:paraId="626D58CD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投资回报：投入产出比、投资回收期、净现值（NPV）、内部收益率（IRR）。</w:t>
      </w:r>
    </w:p>
    <w:p w14:paraId="6BF4D87C">
      <w:pPr>
        <w:pStyle w:val="4"/>
      </w:pPr>
      <w:r>
        <w:rPr>
          <w:rFonts w:ascii="微软雅黑" w:hAnsi="微软雅黑" w:eastAsia="微软雅黑"/>
          <w:color w:val="0E4DC4"/>
          <w:sz w:val="30"/>
        </w:rPr>
        <w:t>1.3 测算假设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3856DA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533" w:type="dxa"/>
          </w:tcPr>
          <w:p w14:paraId="7D3842A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w="4533" w:type="dxa"/>
          </w:tcPr>
          <w:p w14:paraId="16F2570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假设内容</w:t>
            </w:r>
          </w:p>
        </w:tc>
      </w:tr>
      <w:tr w14:paraId="21FC7B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58DC22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A1</w:t>
            </w:r>
          </w:p>
        </w:tc>
        <w:tc>
          <w:tcPr>
            <w:tcW w:w="4533" w:type="dxa"/>
          </w:tcPr>
          <w:p w14:paraId="40CC3BD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标杆示范阶段部署 3 所试点院校，覆盖师生约 1,500 人</w:t>
            </w:r>
          </w:p>
        </w:tc>
      </w:tr>
      <w:tr w14:paraId="205294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F93770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A2</w:t>
            </w:r>
          </w:p>
        </w:tc>
        <w:tc>
          <w:tcPr>
            <w:tcW w:w="4533" w:type="dxa"/>
          </w:tcPr>
          <w:p w14:paraId="4E4C9CB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早期推广阶段（2027 年）累计覆盖 8 所职业院校，师生约 5,000 人</w:t>
            </w:r>
          </w:p>
        </w:tc>
      </w:tr>
      <w:tr w14:paraId="1016B5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3B4FC7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A3</w:t>
            </w:r>
          </w:p>
        </w:tc>
        <w:tc>
          <w:tcPr>
            <w:tcW w:w="4533" w:type="dxa"/>
          </w:tcPr>
          <w:p w14:paraId="381260F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昌吉州智算中枢算力租赁按 6 万元/月/GPU 实例估算（含资源补贴优惠价）</w:t>
            </w:r>
          </w:p>
        </w:tc>
      </w:tr>
      <w:tr w14:paraId="4A4C00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C8CC02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A4</w:t>
            </w:r>
          </w:p>
        </w:tc>
        <w:tc>
          <w:tcPr>
            <w:tcW w:w="4533" w:type="dxa"/>
          </w:tcPr>
          <w:p w14:paraId="0A794775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传统 3D 课件外包制作成本按市场均价 0.8 万元/课件估算</w:t>
            </w:r>
          </w:p>
        </w:tc>
      </w:tr>
      <w:tr w14:paraId="2F819F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78DD94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A5</w:t>
            </w:r>
          </w:p>
        </w:tc>
        <w:tc>
          <w:tcPr>
            <w:tcW w:w="4533" w:type="dxa"/>
          </w:tcPr>
          <w:p w14:paraId="1F21E61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传统实体实训设备按单专业 30 万元估算，虚拟化可替代 40% 设备投入</w:t>
            </w:r>
          </w:p>
        </w:tc>
      </w:tr>
      <w:tr w14:paraId="68A5D6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DC70D7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A6</w:t>
            </w:r>
          </w:p>
        </w:tc>
        <w:tc>
          <w:tcPr>
            <w:tcW w:w="4533" w:type="dxa"/>
          </w:tcPr>
          <w:p w14:paraId="09691B3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平台订阅费按 2 万元/年/校估算，内容分成按 15% 估算</w:t>
            </w:r>
          </w:p>
        </w:tc>
      </w:tr>
      <w:tr w14:paraId="5036E2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B3E2E8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A7</w:t>
            </w:r>
          </w:p>
        </w:tc>
        <w:tc>
          <w:tcPr>
            <w:tcW w:w="4533" w:type="dxa"/>
          </w:tcPr>
          <w:p w14:paraId="76C43595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折现率取 8%，测算周期 1.5 年（2026 H2 - 2027）</w:t>
            </w:r>
          </w:p>
        </w:tc>
      </w:tr>
      <w:tr w14:paraId="6E45D6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4F0ADE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A8</w:t>
            </w:r>
          </w:p>
        </w:tc>
        <w:tc>
          <w:tcPr>
            <w:tcW w:w="4533" w:type="dxa"/>
          </w:tcPr>
          <w:p w14:paraId="5546D8B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项目团队以参赛核心成员为主，人力成本按实际兼职/全职综合测算</w:t>
            </w:r>
          </w:p>
        </w:tc>
      </w:tr>
    </w:tbl>
    <w:p w14:paraId="7BF53F33">
      <w:r>
        <w:br w:type="page"/>
      </w:r>
    </w:p>
    <w:p w14:paraId="4AEAC53B">
      <w:pPr>
        <w:pStyle w:val="3"/>
      </w:pPr>
      <w:r>
        <w:rPr>
          <w:rFonts w:ascii="微软雅黑" w:hAnsi="微软雅黑" w:eastAsia="微软雅黑"/>
          <w:color w:val="0E4DC4"/>
          <w:sz w:val="36"/>
        </w:rPr>
        <w:t>二、测算模型</w:t>
      </w:r>
    </w:p>
    <w:p w14:paraId="61F1D49C">
      <w:pPr>
        <w:pStyle w:val="4"/>
      </w:pPr>
      <w:r>
        <w:rPr>
          <w:rFonts w:ascii="微软雅黑" w:hAnsi="微软雅黑" w:eastAsia="微软雅黑"/>
          <w:color w:val="0E4DC4"/>
          <w:sz w:val="30"/>
        </w:rPr>
        <w:t>2.1 总体模型框架</w:t>
      </w:r>
    </w:p>
    <w:p w14:paraId="0C7ED7DC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项目效益测算采用"投入-产出"框架，核心公式如下：</w:t>
      </w:r>
    </w:p>
    <w:p w14:paraId="4C94BDFC">
      <w:pPr>
        <w:spacing w:before="200" w:after="200"/>
        <w:jc w:val="center"/>
      </w:pPr>
      <w:r>
        <w:rPr>
          <w:rFonts w:ascii="微软雅黑" w:hAnsi="微软雅黑" w:eastAsia="微软雅黑"/>
          <w:b/>
          <w:color w:val="0E4DC4"/>
          <w:sz w:val="28"/>
        </w:rPr>
        <w:t>净效益 = 总产出效益 − 总投入成本</w:t>
      </w:r>
    </w:p>
    <w:p w14:paraId="361E3E26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其中总产出效益包括算力消纳收益、降本收益、产业链带动收益与平台营收四部分；总投入成本包括人力成本、算力与基础设施成本、运营成本三部分。</w:t>
      </w:r>
    </w:p>
    <w:p w14:paraId="515B5E2B">
      <w:pPr>
        <w:pStyle w:val="4"/>
      </w:pPr>
      <w:r>
        <w:rPr>
          <w:rFonts w:ascii="微软雅黑" w:hAnsi="微软雅黑" w:eastAsia="微软雅黑"/>
          <w:color w:val="0E4DC4"/>
          <w:sz w:val="30"/>
        </w:rPr>
        <w:t>2.2 经济效益测算模型</w:t>
      </w:r>
    </w:p>
    <w:p w14:paraId="03BAFA53">
      <w:pPr>
        <w:spacing w:after="80" w:line="360" w:lineRule="auto"/>
      </w:pPr>
      <w:r>
        <w:rPr>
          <w:rFonts w:ascii="微软雅黑" w:hAnsi="微软雅黑" w:eastAsia="微软雅黑"/>
          <w:b/>
          <w:color w:val="1A2233"/>
          <w:sz w:val="22"/>
        </w:rPr>
        <w:t>(1) 算力消纳收益模型</w:t>
      </w:r>
    </w:p>
    <w:p w14:paraId="611F96E2">
      <w:pPr>
        <w:spacing w:after="80" w:line="360" w:lineRule="auto"/>
      </w:pPr>
      <w:r>
        <w:rPr>
          <w:rFonts w:ascii="微软雅黑" w:hAnsi="微软雅黑" w:eastAsia="微软雅黑"/>
          <w:b w:val="0"/>
          <w:color w:val="1A2233"/>
          <w:sz w:val="22"/>
        </w:rPr>
        <w:t>算力消纳收益 = GPU 实例数 × 租赁单价 × 运行月数 × 消纳系数</w:t>
      </w:r>
    </w:p>
    <w:p w14:paraId="6A6E56D5">
      <w:pPr>
        <w:spacing w:after="16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消纳系数取 0.8（考虑算力利用率），反映项目对昌吉州算力资源的实际消纳比例。</w:t>
      </w:r>
    </w:p>
    <w:p w14:paraId="218C12F7">
      <w:pPr>
        <w:spacing w:after="80" w:line="360" w:lineRule="auto"/>
      </w:pPr>
      <w:r>
        <w:rPr>
          <w:rFonts w:ascii="微软雅黑" w:hAnsi="微软雅黑" w:eastAsia="微软雅黑"/>
          <w:b/>
          <w:color w:val="1A2233"/>
          <w:sz w:val="22"/>
        </w:rPr>
        <w:t>(2) 降本收益模型</w:t>
      </w:r>
    </w:p>
    <w:p w14:paraId="0BA9029A">
      <w:pPr>
        <w:spacing w:after="80" w:line="360" w:lineRule="auto"/>
      </w:pPr>
      <w:r>
        <w:rPr>
          <w:rFonts w:ascii="微软雅黑" w:hAnsi="微软雅黑" w:eastAsia="微软雅黑"/>
          <w:b w:val="0"/>
          <w:color w:val="1A2233"/>
          <w:sz w:val="22"/>
        </w:rPr>
        <w:t>降本收益 = 传统课件制作成本 × 课件数量 × AI 替代率 + 传统实训设备投入 × 虚拟化替代率</w:t>
      </w:r>
    </w:p>
    <w:p w14:paraId="2ADE25B2">
      <w:pPr>
        <w:spacing w:after="16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AI 替代率取 0.7（AI 工具替代 70% 外包制作），虚拟化替代率取 0.4（虚拟实训替代 40% 实体设备）。</w:t>
      </w:r>
    </w:p>
    <w:p w14:paraId="434A0850">
      <w:pPr>
        <w:spacing w:after="80" w:line="360" w:lineRule="auto"/>
      </w:pPr>
      <w:r>
        <w:rPr>
          <w:rFonts w:ascii="微软雅黑" w:hAnsi="微软雅黑" w:eastAsia="微软雅黑"/>
          <w:b/>
          <w:color w:val="1A2233"/>
          <w:sz w:val="22"/>
        </w:rPr>
        <w:t>(3) 产业链带动收益模型</w:t>
      </w:r>
    </w:p>
    <w:p w14:paraId="01E1E4F8">
      <w:pPr>
        <w:spacing w:after="80" w:line="360" w:lineRule="auto"/>
      </w:pPr>
      <w:r>
        <w:rPr>
          <w:rFonts w:ascii="微软雅黑" w:hAnsi="微软雅黑" w:eastAsia="微软雅黑"/>
          <w:b w:val="0"/>
          <w:color w:val="1A2233"/>
          <w:sz w:val="22"/>
        </w:rPr>
        <w:t>产业链带动收益 = 平台总投入 × 产业带动系数</w:t>
      </w:r>
    </w:p>
    <w:p w14:paraId="385CEDD7">
      <w:pPr>
        <w:spacing w:after="16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产业带动系数取 0.8（即每 1 元平台投入带动产业链 0.8 元增量），参考数字经济产业乘数效应下限。</w:t>
      </w:r>
    </w:p>
    <w:p w14:paraId="731E1575">
      <w:pPr>
        <w:spacing w:after="80" w:line="360" w:lineRule="auto"/>
      </w:pPr>
      <w:r>
        <w:rPr>
          <w:rFonts w:ascii="微软雅黑" w:hAnsi="微软雅黑" w:eastAsia="微软雅黑"/>
          <w:b/>
          <w:color w:val="1A2233"/>
          <w:sz w:val="22"/>
        </w:rPr>
        <w:t>(4) 平台营收模型</w:t>
      </w:r>
    </w:p>
    <w:p w14:paraId="32761601">
      <w:pPr>
        <w:spacing w:after="80" w:line="360" w:lineRule="auto"/>
      </w:pPr>
      <w:r>
        <w:rPr>
          <w:rFonts w:ascii="微软雅黑" w:hAnsi="微软雅黑" w:eastAsia="微软雅黑"/>
          <w:b w:val="0"/>
          <w:color w:val="1A2233"/>
          <w:sz w:val="22"/>
        </w:rPr>
        <w:t>平台营收 = 订阅费收入 + 内容分成收入 + 增值服务收入</w:t>
      </w:r>
    </w:p>
    <w:p w14:paraId="49C327AF">
      <w:pPr>
        <w:spacing w:after="16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订阅费 = 校数 × 年费；内容分成 = 课件交易额 × 分成比例；增值服务含定制开发、培训等。</w:t>
      </w:r>
    </w:p>
    <w:p w14:paraId="648C18DF">
      <w:pPr>
        <w:pStyle w:val="4"/>
      </w:pPr>
      <w:r>
        <w:rPr>
          <w:rFonts w:ascii="微软雅黑" w:hAnsi="微软雅黑" w:eastAsia="微软雅黑"/>
          <w:color w:val="0E4DC4"/>
          <w:sz w:val="30"/>
        </w:rPr>
        <w:t>2.3 社会效益测算模型</w:t>
      </w:r>
    </w:p>
    <w:p w14:paraId="46235430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社会效益采用"覆盖面 × 质量提升度"的二维测算模型：</w:t>
      </w:r>
    </w:p>
    <w:p w14:paraId="0176FB24">
      <w:pPr>
        <w:spacing w:after="160" w:line="360" w:lineRule="auto"/>
      </w:pPr>
      <w:r>
        <w:rPr>
          <w:rFonts w:ascii="微软雅黑" w:hAnsi="微软雅黑" w:eastAsia="微软雅黑"/>
          <w:b w:val="0"/>
          <w:color w:val="1A2233"/>
          <w:sz w:val="22"/>
        </w:rPr>
        <w:t>社会效益指数 = Σ（各指标覆盖人数 × 各指标提升系数 × 权重）</w:t>
      </w:r>
    </w:p>
    <w:p w14:paraId="03484E63">
      <w:pPr>
        <w:spacing w:after="16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其中提升系数通过前后测对比获取，权重通过德尔菲法由专家组评定。</w:t>
      </w:r>
    </w:p>
    <w:p w14:paraId="5563BDE9">
      <w:pPr>
        <w:pStyle w:val="4"/>
      </w:pPr>
      <w:r>
        <w:rPr>
          <w:rFonts w:ascii="微软雅黑" w:hAnsi="微软雅黑" w:eastAsia="微软雅黑"/>
          <w:color w:val="0E4DC4"/>
          <w:sz w:val="30"/>
        </w:rPr>
        <w:t>2.4 投资回报模型</w:t>
      </w:r>
    </w:p>
    <w:p w14:paraId="20DC5DF9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采用净现值（NPV）与内部收益率（IRR）评估投资回报：</w:t>
      </w:r>
    </w:p>
    <w:p w14:paraId="6C77FDAE">
      <w:pPr>
        <w:spacing w:after="160" w:line="360" w:lineRule="auto"/>
      </w:pPr>
      <w:r>
        <w:rPr>
          <w:rFonts w:ascii="微软雅黑" w:hAnsi="微软雅黑" w:eastAsia="微软雅黑"/>
          <w:b w:val="0"/>
          <w:color w:val="1A2233"/>
          <w:sz w:val="22"/>
        </w:rPr>
        <w:t>NPV = Σ（第 t 期净现金流 / (1 + r)^t） − 初始投资</w:t>
      </w:r>
    </w:p>
    <w:p w14:paraId="1F194DA8">
      <w:pPr>
        <w:spacing w:after="16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IRR 为使 NPV = 0 的折现率 r。当 IRR &gt; 折现率（8%）时项目可行。</w:t>
      </w:r>
    </w:p>
    <w:p w14:paraId="637F737E">
      <w:r>
        <w:br w:type="page"/>
      </w:r>
    </w:p>
    <w:p w14:paraId="74C62DDE">
      <w:pPr>
        <w:pStyle w:val="3"/>
      </w:pPr>
      <w:r>
        <w:rPr>
          <w:rFonts w:ascii="微软雅黑" w:hAnsi="微软雅黑" w:eastAsia="微软雅黑"/>
          <w:color w:val="0E4DC4"/>
          <w:sz w:val="36"/>
        </w:rPr>
        <w:t>三、数据来源</w:t>
      </w:r>
    </w:p>
    <w:p w14:paraId="19F9A05F">
      <w:pPr>
        <w:pStyle w:val="4"/>
      </w:pPr>
      <w:r>
        <w:rPr>
          <w:rFonts w:ascii="微软雅黑" w:hAnsi="微软雅黑" w:eastAsia="微软雅黑"/>
          <w:color w:val="0E4DC4"/>
          <w:sz w:val="30"/>
        </w:rPr>
        <w:t>3.1 数据来源清单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3E507B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64EE9B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w="1813" w:type="dxa"/>
          </w:tcPr>
          <w:p w14:paraId="7C02306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数据名称</w:t>
            </w:r>
          </w:p>
        </w:tc>
        <w:tc>
          <w:tcPr>
            <w:tcW w:w="1813" w:type="dxa"/>
          </w:tcPr>
          <w:p w14:paraId="59027CE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提供方</w:t>
            </w:r>
          </w:p>
        </w:tc>
        <w:tc>
          <w:tcPr>
            <w:tcW w:w="1813" w:type="dxa"/>
          </w:tcPr>
          <w:p w14:paraId="3CFD9CF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数据类型</w:t>
            </w:r>
          </w:p>
        </w:tc>
        <w:tc>
          <w:tcPr>
            <w:tcW w:w="1813" w:type="dxa"/>
          </w:tcPr>
          <w:p w14:paraId="30870AC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 w14:paraId="095FA4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B38CB8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S1</w:t>
            </w:r>
          </w:p>
        </w:tc>
        <w:tc>
          <w:tcPr>
            <w:tcW w:w="1813" w:type="dxa"/>
          </w:tcPr>
          <w:p w14:paraId="34BC143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昌吉州算力资源价目表</w:t>
            </w:r>
          </w:p>
        </w:tc>
        <w:tc>
          <w:tcPr>
            <w:tcW w:w="1813" w:type="dxa"/>
          </w:tcPr>
          <w:p w14:paraId="4194B51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昌吉州智算中枢</w:t>
            </w:r>
          </w:p>
        </w:tc>
        <w:tc>
          <w:tcPr>
            <w:tcW w:w="1813" w:type="dxa"/>
          </w:tcPr>
          <w:p w14:paraId="5CA186D9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一手</w:t>
            </w:r>
          </w:p>
        </w:tc>
        <w:tc>
          <w:tcPr>
            <w:tcW w:w="1813" w:type="dxa"/>
          </w:tcPr>
          <w:p w14:paraId="3B10462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算力租赁单价（6 万/月/实例，含补贴）</w:t>
            </w:r>
          </w:p>
        </w:tc>
      </w:tr>
      <w:tr w14:paraId="10EE11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DD7F47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S2</w:t>
            </w:r>
          </w:p>
        </w:tc>
        <w:tc>
          <w:tcPr>
            <w:tcW w:w="1813" w:type="dxa"/>
          </w:tcPr>
          <w:p w14:paraId="0888F3D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新疆职业教育统计年鉴 2025</w:t>
            </w:r>
          </w:p>
        </w:tc>
        <w:tc>
          <w:tcPr>
            <w:tcW w:w="1813" w:type="dxa"/>
          </w:tcPr>
          <w:p w14:paraId="2151912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自治区教育厅</w:t>
            </w:r>
          </w:p>
        </w:tc>
        <w:tc>
          <w:tcPr>
            <w:tcW w:w="1813" w:type="dxa"/>
          </w:tcPr>
          <w:p w14:paraId="5370A4D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公开</w:t>
            </w:r>
          </w:p>
        </w:tc>
        <w:tc>
          <w:tcPr>
            <w:tcW w:w="1813" w:type="dxa"/>
          </w:tcPr>
          <w:p w14:paraId="1D604B4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职业院校数量、在校生人数、专业分布</w:t>
            </w:r>
          </w:p>
        </w:tc>
      </w:tr>
      <w:tr w14:paraId="7200DF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F50DE1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S3</w:t>
            </w:r>
          </w:p>
        </w:tc>
        <w:tc>
          <w:tcPr>
            <w:tcW w:w="1813" w:type="dxa"/>
          </w:tcPr>
          <w:p w14:paraId="54D629A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3D 课件外包制作市场调研</w:t>
            </w:r>
          </w:p>
        </w:tc>
        <w:tc>
          <w:tcPr>
            <w:tcW w:w="1813" w:type="dxa"/>
          </w:tcPr>
          <w:p w14:paraId="2BDD698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项目团队市场调研</w:t>
            </w:r>
          </w:p>
        </w:tc>
        <w:tc>
          <w:tcPr>
            <w:tcW w:w="1813" w:type="dxa"/>
          </w:tcPr>
          <w:p w14:paraId="667B96B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一手</w:t>
            </w:r>
          </w:p>
        </w:tc>
        <w:tc>
          <w:tcPr>
            <w:tcW w:w="1813" w:type="dxa"/>
          </w:tcPr>
          <w:p w14:paraId="711A3BD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传统课件制作成本（0.8 万/课件）</w:t>
            </w:r>
          </w:p>
        </w:tc>
      </w:tr>
      <w:tr w14:paraId="611D63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BA4D18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S4</w:t>
            </w:r>
          </w:p>
        </w:tc>
        <w:tc>
          <w:tcPr>
            <w:tcW w:w="1813" w:type="dxa"/>
          </w:tcPr>
          <w:p w14:paraId="1348642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虚拟仿真实训设备采购价目</w:t>
            </w:r>
          </w:p>
        </w:tc>
        <w:tc>
          <w:tcPr>
            <w:tcW w:w="1813" w:type="dxa"/>
          </w:tcPr>
          <w:p w14:paraId="69409B0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 家设备厂商询价</w:t>
            </w:r>
          </w:p>
        </w:tc>
        <w:tc>
          <w:tcPr>
            <w:tcW w:w="1813" w:type="dxa"/>
          </w:tcPr>
          <w:p w14:paraId="40E07BC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一手</w:t>
            </w:r>
          </w:p>
        </w:tc>
        <w:tc>
          <w:tcPr>
            <w:tcW w:w="1813" w:type="dxa"/>
          </w:tcPr>
          <w:p w14:paraId="53FA43C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单专业实体实训设备投入（30 万）</w:t>
            </w:r>
          </w:p>
        </w:tc>
      </w:tr>
      <w:tr w14:paraId="084A3C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DE5772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S5</w:t>
            </w:r>
          </w:p>
        </w:tc>
        <w:tc>
          <w:tcPr>
            <w:tcW w:w="1813" w:type="dxa"/>
          </w:tcPr>
          <w:p w14:paraId="493E30E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同类 SaaS 平台定价基准</w:t>
            </w:r>
          </w:p>
        </w:tc>
        <w:tc>
          <w:tcPr>
            <w:tcW w:w="1813" w:type="dxa"/>
          </w:tcPr>
          <w:p w14:paraId="6E56059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公开市场数据</w:t>
            </w:r>
          </w:p>
        </w:tc>
        <w:tc>
          <w:tcPr>
            <w:tcW w:w="1813" w:type="dxa"/>
          </w:tcPr>
          <w:p w14:paraId="3A7717A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公开</w:t>
            </w:r>
          </w:p>
        </w:tc>
        <w:tc>
          <w:tcPr>
            <w:tcW w:w="1813" w:type="dxa"/>
          </w:tcPr>
          <w:p w14:paraId="0895038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平台订阅费定价基准（2 万/年/校）</w:t>
            </w:r>
          </w:p>
        </w:tc>
      </w:tr>
      <w:tr w14:paraId="5CF6DA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BD6BE2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S6</w:t>
            </w:r>
          </w:p>
        </w:tc>
        <w:tc>
          <w:tcPr>
            <w:tcW w:w="1813" w:type="dxa"/>
          </w:tcPr>
          <w:p w14:paraId="59B2068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数字经济产业乘数效应研究</w:t>
            </w:r>
          </w:p>
        </w:tc>
        <w:tc>
          <w:tcPr>
            <w:tcW w:w="1813" w:type="dxa"/>
          </w:tcPr>
          <w:p w14:paraId="765DDA5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中国信通院报告</w:t>
            </w:r>
          </w:p>
        </w:tc>
        <w:tc>
          <w:tcPr>
            <w:tcW w:w="1813" w:type="dxa"/>
          </w:tcPr>
          <w:p w14:paraId="53D5057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公开</w:t>
            </w:r>
          </w:p>
        </w:tc>
        <w:tc>
          <w:tcPr>
            <w:tcW w:w="1813" w:type="dxa"/>
          </w:tcPr>
          <w:p w14:paraId="6446B3D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产业带动系数（0.8）</w:t>
            </w:r>
          </w:p>
        </w:tc>
      </w:tr>
      <w:tr w14:paraId="0A42BA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FE2018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S7</w:t>
            </w:r>
          </w:p>
        </w:tc>
        <w:tc>
          <w:tcPr>
            <w:tcW w:w="1813" w:type="dxa"/>
          </w:tcPr>
          <w:p w14:paraId="1A25414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试点院校师生调研问卷</w:t>
            </w:r>
          </w:p>
        </w:tc>
        <w:tc>
          <w:tcPr>
            <w:tcW w:w="1813" w:type="dxa"/>
          </w:tcPr>
          <w:p w14:paraId="5B03211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 所试点院校</w:t>
            </w:r>
          </w:p>
        </w:tc>
        <w:tc>
          <w:tcPr>
            <w:tcW w:w="1813" w:type="dxa"/>
          </w:tcPr>
          <w:p w14:paraId="413D0A4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一手</w:t>
            </w:r>
          </w:p>
        </w:tc>
        <w:tc>
          <w:tcPr>
            <w:tcW w:w="1813" w:type="dxa"/>
          </w:tcPr>
          <w:p w14:paraId="58074F4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满意度、技能提升前后测数据</w:t>
            </w:r>
          </w:p>
        </w:tc>
      </w:tr>
      <w:tr w14:paraId="78916B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67E489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S8</w:t>
            </w:r>
          </w:p>
        </w:tc>
        <w:tc>
          <w:tcPr>
            <w:tcW w:w="1813" w:type="dxa"/>
          </w:tcPr>
          <w:p w14:paraId="282794A5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项目实施预算与成本台账</w:t>
            </w:r>
          </w:p>
        </w:tc>
        <w:tc>
          <w:tcPr>
            <w:tcW w:w="1813" w:type="dxa"/>
          </w:tcPr>
          <w:p w14:paraId="2768525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项目财务记录</w:t>
            </w:r>
          </w:p>
        </w:tc>
        <w:tc>
          <w:tcPr>
            <w:tcW w:w="1813" w:type="dxa"/>
          </w:tcPr>
          <w:p w14:paraId="3481DDF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一手</w:t>
            </w:r>
          </w:p>
        </w:tc>
        <w:tc>
          <w:tcPr>
            <w:tcW w:w="1813" w:type="dxa"/>
          </w:tcPr>
          <w:p w14:paraId="6682047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人力成本、基础设施成本、运营成本</w:t>
            </w:r>
          </w:p>
        </w:tc>
      </w:tr>
      <w:tr w14:paraId="498728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457333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S9</w:t>
            </w:r>
          </w:p>
        </w:tc>
        <w:tc>
          <w:tcPr>
            <w:tcW w:w="1813" w:type="dxa"/>
          </w:tcPr>
          <w:p w14:paraId="029067E5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AI 职教行业研究报告 2025</w:t>
            </w:r>
          </w:p>
        </w:tc>
        <w:tc>
          <w:tcPr>
            <w:tcW w:w="1813" w:type="dxa"/>
          </w:tcPr>
          <w:p w14:paraId="21DBFDD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艾瑞咨询</w:t>
            </w:r>
          </w:p>
        </w:tc>
        <w:tc>
          <w:tcPr>
            <w:tcW w:w="1813" w:type="dxa"/>
          </w:tcPr>
          <w:p w14:paraId="050F706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公开</w:t>
            </w:r>
          </w:p>
        </w:tc>
        <w:tc>
          <w:tcPr>
            <w:tcW w:w="1813" w:type="dxa"/>
          </w:tcPr>
          <w:p w14:paraId="1156CEB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行业增长率、市场规模、渗透率</w:t>
            </w:r>
          </w:p>
        </w:tc>
      </w:tr>
      <w:tr w14:paraId="7BF5D3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3FD0BF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S10</w:t>
            </w:r>
          </w:p>
        </w:tc>
        <w:tc>
          <w:tcPr>
            <w:tcW w:w="1813" w:type="dxa"/>
          </w:tcPr>
          <w:p w14:paraId="07A32C3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一带一路职业教育出海政策</w:t>
            </w:r>
          </w:p>
        </w:tc>
        <w:tc>
          <w:tcPr>
            <w:tcW w:w="1813" w:type="dxa"/>
          </w:tcPr>
          <w:p w14:paraId="34A150D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教育部公开文件</w:t>
            </w:r>
          </w:p>
        </w:tc>
        <w:tc>
          <w:tcPr>
            <w:tcW w:w="1813" w:type="dxa"/>
          </w:tcPr>
          <w:p w14:paraId="2DE2DBF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公开</w:t>
            </w:r>
          </w:p>
        </w:tc>
        <w:tc>
          <w:tcPr>
            <w:tcW w:w="1813" w:type="dxa"/>
          </w:tcPr>
          <w:p w14:paraId="5FFC8165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出海目标国家数、语种需求</w:t>
            </w:r>
          </w:p>
        </w:tc>
      </w:tr>
    </w:tbl>
    <w:p w14:paraId="542D9126">
      <w:pPr>
        <w:pStyle w:val="4"/>
      </w:pPr>
      <w:r>
        <w:rPr>
          <w:rFonts w:ascii="微软雅黑" w:hAnsi="微软雅黑" w:eastAsia="微软雅黑"/>
          <w:color w:val="0E4DC4"/>
          <w:sz w:val="30"/>
        </w:rPr>
        <w:t>3.2 数据质量保障</w:t>
      </w:r>
    </w:p>
    <w:p w14:paraId="61C7163E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一手数据通过实地调研、问卷、询价获取，确保真实性与时效性；</w:t>
      </w:r>
    </w:p>
    <w:p w14:paraId="19E38094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公开数据选用权威机构发布（教育厅、信通院、艾瑞咨询），注明发布年份；</w:t>
      </w:r>
    </w:p>
    <w:p w14:paraId="43B79276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关键参数（算力价格、课件成本、设备投入）采用多源交叉验证；</w:t>
      </w:r>
    </w:p>
    <w:p w14:paraId="56F27D07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所有假设条件明确标注，便于审阅与敏感性分析。</w:t>
      </w:r>
    </w:p>
    <w:p w14:paraId="390B3418">
      <w:r>
        <w:br w:type="page"/>
      </w:r>
    </w:p>
    <w:p w14:paraId="2FE8B954">
      <w:pPr>
        <w:pStyle w:val="3"/>
      </w:pPr>
      <w:r>
        <w:rPr>
          <w:rFonts w:ascii="微软雅黑" w:hAnsi="微软雅黑" w:eastAsia="微软雅黑"/>
          <w:color w:val="0E4DC4"/>
          <w:sz w:val="36"/>
        </w:rPr>
        <w:t>四、投入测算</w:t>
      </w:r>
    </w:p>
    <w:p w14:paraId="15DAB462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项目总投入 200.0 万元，分两个阶段投入。人力成本按参赛核心团队兼职+部分全职综合测算，算力成本按昌吉州补贴优惠价计算。</w:t>
      </w:r>
    </w:p>
    <w:p w14:paraId="5A37CD83">
      <w:pPr>
        <w:pStyle w:val="4"/>
      </w:pPr>
      <w:r>
        <w:rPr>
          <w:rFonts w:ascii="微软雅黑" w:hAnsi="微软雅黑" w:eastAsia="微软雅黑"/>
          <w:color w:val="0E4DC4"/>
          <w:sz w:val="30"/>
        </w:rPr>
        <w:t>4.1 标杆示范阶段投入（2026 H2，6 个月）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6654E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24921B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投入类别</w:t>
            </w:r>
          </w:p>
        </w:tc>
        <w:tc>
          <w:tcPr>
            <w:tcW w:w="3022" w:type="dxa"/>
          </w:tcPr>
          <w:p w14:paraId="08258B6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金额(万元)</w:t>
            </w:r>
          </w:p>
        </w:tc>
        <w:tc>
          <w:tcPr>
            <w:tcW w:w="3022" w:type="dxa"/>
          </w:tcPr>
          <w:p w14:paraId="415D99F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7DCDCE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7C44C2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人力成本</w:t>
            </w:r>
          </w:p>
        </w:tc>
        <w:tc>
          <w:tcPr>
            <w:tcW w:w="3022" w:type="dxa"/>
          </w:tcPr>
          <w:p w14:paraId="47823F7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45.0</w:t>
            </w:r>
          </w:p>
        </w:tc>
        <w:tc>
          <w:tcPr>
            <w:tcW w:w="3022" w:type="dxa"/>
          </w:tcPr>
          <w:p w14:paraId="709C9F8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核心团队 8 人，兼职为主，6 个月综合薪酬</w:t>
            </w:r>
          </w:p>
        </w:tc>
      </w:tr>
      <w:tr w14:paraId="4BB175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4B57FF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算力与基础设施</w:t>
            </w:r>
          </w:p>
        </w:tc>
        <w:tc>
          <w:tcPr>
            <w:tcW w:w="3022" w:type="dxa"/>
          </w:tcPr>
          <w:p w14:paraId="1868DF1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25.0</w:t>
            </w:r>
          </w:p>
        </w:tc>
        <w:tc>
          <w:tcPr>
            <w:tcW w:w="3022" w:type="dxa"/>
          </w:tcPr>
          <w:p w14:paraId="3ED7E00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1 个 GPU 实例 6 月 + CDN + 存储 + 域名SSL</w:t>
            </w:r>
          </w:p>
        </w:tc>
      </w:tr>
      <w:tr w14:paraId="4E2FAD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C8E38E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内容与教研</w:t>
            </w:r>
          </w:p>
        </w:tc>
        <w:tc>
          <w:tcPr>
            <w:tcW w:w="3022" w:type="dxa"/>
          </w:tcPr>
          <w:p w14:paraId="2B8CA0C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12.0</w:t>
            </w:r>
          </w:p>
        </w:tc>
        <w:tc>
          <w:tcPr>
            <w:tcW w:w="3022" w:type="dxa"/>
          </w:tcPr>
          <w:p w14:paraId="03CD467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3D 课件制作、模型采购、教研顾问</w:t>
            </w:r>
          </w:p>
        </w:tc>
      </w:tr>
      <w:tr w14:paraId="600EFD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CFE7B2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运营与其他</w:t>
            </w:r>
          </w:p>
        </w:tc>
        <w:tc>
          <w:tcPr>
            <w:tcW w:w="3022" w:type="dxa"/>
          </w:tcPr>
          <w:p w14:paraId="4A8CAFC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8.0</w:t>
            </w:r>
          </w:p>
        </w:tc>
        <w:tc>
          <w:tcPr>
            <w:tcW w:w="3022" w:type="dxa"/>
          </w:tcPr>
          <w:p w14:paraId="399535A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试点院校合作、差旅、测试</w:t>
            </w:r>
          </w:p>
        </w:tc>
      </w:tr>
      <w:tr w14:paraId="7CFE50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E7F4EA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E86A1A"/>
                <w:sz w:val="22"/>
              </w:rPr>
              <w:t>合计</w:t>
            </w:r>
          </w:p>
        </w:tc>
        <w:tc>
          <w:tcPr>
            <w:tcW w:w="3022" w:type="dxa"/>
          </w:tcPr>
          <w:p w14:paraId="6BC475B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86A1A"/>
                <w:sz w:val="22"/>
              </w:rPr>
              <w:t>90.0</w:t>
            </w:r>
          </w:p>
        </w:tc>
        <w:tc>
          <w:tcPr>
            <w:tcW w:w="3022" w:type="dxa"/>
          </w:tcPr>
          <w:p w14:paraId="02A8AF5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E86A1A"/>
                <w:sz w:val="22"/>
              </w:rPr>
              <w:t>—</w:t>
            </w:r>
          </w:p>
        </w:tc>
      </w:tr>
    </w:tbl>
    <w:p w14:paraId="03047F13">
      <w:pPr>
        <w:pStyle w:val="4"/>
      </w:pPr>
      <w:r>
        <w:rPr>
          <w:rFonts w:ascii="微软雅黑" w:hAnsi="微软雅黑" w:eastAsia="微软雅黑"/>
          <w:color w:val="0E4DC4"/>
          <w:sz w:val="30"/>
        </w:rPr>
        <w:t>4.2 早期推广阶段投入（2027，12 个月）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5C16F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4ABD42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投入类别</w:t>
            </w:r>
          </w:p>
        </w:tc>
        <w:tc>
          <w:tcPr>
            <w:tcW w:w="3022" w:type="dxa"/>
          </w:tcPr>
          <w:p w14:paraId="09CCCA5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金额(万元)</w:t>
            </w:r>
          </w:p>
        </w:tc>
        <w:tc>
          <w:tcPr>
            <w:tcW w:w="3022" w:type="dxa"/>
          </w:tcPr>
          <w:p w14:paraId="5439646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7F42A2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4A1335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人力成本</w:t>
            </w:r>
          </w:p>
        </w:tc>
        <w:tc>
          <w:tcPr>
            <w:tcW w:w="3022" w:type="dxa"/>
          </w:tcPr>
          <w:p w14:paraId="7B300A9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50.0</w:t>
            </w:r>
          </w:p>
        </w:tc>
        <w:tc>
          <w:tcPr>
            <w:tcW w:w="3022" w:type="dxa"/>
          </w:tcPr>
          <w:p w14:paraId="575C0A1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团队扩至 10 人，含运维与内容运营</w:t>
            </w:r>
          </w:p>
        </w:tc>
      </w:tr>
      <w:tr w14:paraId="604E51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A26B50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算力与基础设施</w:t>
            </w:r>
          </w:p>
        </w:tc>
        <w:tc>
          <w:tcPr>
            <w:tcW w:w="3022" w:type="dxa"/>
          </w:tcPr>
          <w:p w14:paraId="1500466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35.0</w:t>
            </w:r>
          </w:p>
        </w:tc>
        <w:tc>
          <w:tcPr>
            <w:tcW w:w="3022" w:type="dxa"/>
          </w:tcPr>
          <w:p w14:paraId="5DE2CA7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2 个 GPU 实例 12 月 + CDN 扩容 + 存储</w:t>
            </w:r>
          </w:p>
        </w:tc>
      </w:tr>
      <w:tr w14:paraId="0A3418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ADB03B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内容与教研</w:t>
            </w:r>
          </w:p>
        </w:tc>
        <w:tc>
          <w:tcPr>
            <w:tcW w:w="3022" w:type="dxa"/>
          </w:tcPr>
          <w:p w14:paraId="39152FF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15.0</w:t>
            </w:r>
          </w:p>
        </w:tc>
        <w:tc>
          <w:tcPr>
            <w:tcW w:w="3022" w:type="dxa"/>
          </w:tcPr>
          <w:p w14:paraId="391D910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课件库扩充至 5 专业、教师培训</w:t>
            </w:r>
          </w:p>
        </w:tc>
      </w:tr>
      <w:tr w14:paraId="2E0603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DDA395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运营与市场</w:t>
            </w:r>
          </w:p>
        </w:tc>
        <w:tc>
          <w:tcPr>
            <w:tcW w:w="3022" w:type="dxa"/>
          </w:tcPr>
          <w:p w14:paraId="1A9076E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10.0</w:t>
            </w:r>
          </w:p>
        </w:tc>
        <w:tc>
          <w:tcPr>
            <w:tcW w:w="3022" w:type="dxa"/>
          </w:tcPr>
          <w:p w14:paraId="727F631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8 所院校部署、市场推广、渠道建设</w:t>
            </w:r>
          </w:p>
        </w:tc>
      </w:tr>
      <w:tr w14:paraId="0422AB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FD232C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E86A1A"/>
                <w:sz w:val="22"/>
              </w:rPr>
              <w:t>合计</w:t>
            </w:r>
          </w:p>
        </w:tc>
        <w:tc>
          <w:tcPr>
            <w:tcW w:w="3022" w:type="dxa"/>
          </w:tcPr>
          <w:p w14:paraId="7372680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86A1A"/>
                <w:sz w:val="22"/>
              </w:rPr>
              <w:t>110.0</w:t>
            </w:r>
          </w:p>
        </w:tc>
        <w:tc>
          <w:tcPr>
            <w:tcW w:w="3022" w:type="dxa"/>
          </w:tcPr>
          <w:p w14:paraId="3729F15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E86A1A"/>
                <w:sz w:val="22"/>
              </w:rPr>
              <w:t>—</w:t>
            </w:r>
          </w:p>
        </w:tc>
      </w:tr>
    </w:tbl>
    <w:p w14:paraId="76CCB3A8">
      <w:pPr>
        <w:pStyle w:val="4"/>
      </w:pPr>
      <w:r>
        <w:rPr>
          <w:rFonts w:ascii="微软雅黑" w:hAnsi="微软雅黑" w:eastAsia="微软雅黑"/>
          <w:color w:val="0E4DC4"/>
          <w:sz w:val="30"/>
        </w:rPr>
        <w:t>4.3 总投入汇总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C82B0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D15596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w="3022" w:type="dxa"/>
          </w:tcPr>
          <w:p w14:paraId="6E67EE7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金额(万元)</w:t>
            </w:r>
          </w:p>
        </w:tc>
        <w:tc>
          <w:tcPr>
            <w:tcW w:w="3022" w:type="dxa"/>
          </w:tcPr>
          <w:p w14:paraId="4939056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占比</w:t>
            </w:r>
          </w:p>
        </w:tc>
      </w:tr>
      <w:tr w14:paraId="4F2FBD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5E8CB8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标杆示范阶段（2026 H2）</w:t>
            </w:r>
          </w:p>
        </w:tc>
        <w:tc>
          <w:tcPr>
            <w:tcW w:w="3022" w:type="dxa"/>
          </w:tcPr>
          <w:p w14:paraId="321EF3F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90.0</w:t>
            </w:r>
          </w:p>
        </w:tc>
        <w:tc>
          <w:tcPr>
            <w:tcW w:w="3022" w:type="dxa"/>
          </w:tcPr>
          <w:p w14:paraId="683B8D6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45.0%</w:t>
            </w:r>
          </w:p>
        </w:tc>
      </w:tr>
      <w:tr w14:paraId="439EF7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EA9F88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早期推广阶段（2027）</w:t>
            </w:r>
          </w:p>
        </w:tc>
        <w:tc>
          <w:tcPr>
            <w:tcW w:w="3022" w:type="dxa"/>
          </w:tcPr>
          <w:p w14:paraId="7E026A3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110.0</w:t>
            </w:r>
          </w:p>
        </w:tc>
        <w:tc>
          <w:tcPr>
            <w:tcW w:w="3022" w:type="dxa"/>
          </w:tcPr>
          <w:p w14:paraId="0D24820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55.0%</w:t>
            </w:r>
          </w:p>
        </w:tc>
      </w:tr>
      <w:tr w14:paraId="500B26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243FC9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86A1A"/>
                <w:sz w:val="24"/>
              </w:rPr>
              <w:t>总投入</w:t>
            </w:r>
          </w:p>
        </w:tc>
        <w:tc>
          <w:tcPr>
            <w:tcW w:w="3022" w:type="dxa"/>
          </w:tcPr>
          <w:p w14:paraId="18A5AA3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86A1A"/>
                <w:sz w:val="24"/>
              </w:rPr>
              <w:t>200.0</w:t>
            </w:r>
          </w:p>
        </w:tc>
        <w:tc>
          <w:tcPr>
            <w:tcW w:w="3022" w:type="dxa"/>
          </w:tcPr>
          <w:p w14:paraId="3289CB3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86A1A"/>
                <w:sz w:val="24"/>
              </w:rPr>
              <w:t>100%</w:t>
            </w:r>
          </w:p>
        </w:tc>
      </w:tr>
    </w:tbl>
    <w:p w14:paraId="5940D448">
      <w:r>
        <w:br w:type="page"/>
      </w:r>
    </w:p>
    <w:p w14:paraId="2CA149ED">
      <w:pPr>
        <w:pStyle w:val="3"/>
      </w:pPr>
      <w:r>
        <w:rPr>
          <w:rFonts w:ascii="微软雅黑" w:hAnsi="微软雅黑" w:eastAsia="微软雅黑"/>
          <w:color w:val="0E4DC4"/>
          <w:sz w:val="36"/>
        </w:rPr>
        <w:t>五、经济效益测算</w:t>
      </w:r>
    </w:p>
    <w:p w14:paraId="56A68F37">
      <w:pPr>
        <w:pStyle w:val="4"/>
      </w:pPr>
      <w:r>
        <w:rPr>
          <w:rFonts w:ascii="微软雅黑" w:hAnsi="微软雅黑" w:eastAsia="微软雅黑"/>
          <w:color w:val="0E4DC4"/>
          <w:sz w:val="30"/>
        </w:rPr>
        <w:t>5.1 算力消纳收益</w:t>
      </w:r>
    </w:p>
    <w:p w14:paraId="0F4AF8F1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标杆示范阶段：1 个 GPU 实例 × 6 万/月 × 6 月 × 0.8 = 28.8 万元</w:t>
      </w:r>
    </w:p>
    <w:p w14:paraId="3C021F61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早期推广阶段：2 个 GPU 实例 × 6 万/月 × 12 月 × 0.8 = 115.2 万元</w:t>
      </w:r>
    </w:p>
    <w:p w14:paraId="341ECC8A">
      <w:pPr>
        <w:spacing w:after="120" w:line="360" w:lineRule="auto"/>
      </w:pPr>
      <w:r>
        <w:rPr>
          <w:rFonts w:ascii="微软雅黑" w:hAnsi="微软雅黑" w:eastAsia="微软雅黑"/>
          <w:b/>
          <w:color w:val="148A5A"/>
          <w:sz w:val="22"/>
        </w:rPr>
        <w:t>算力消纳收益合计：144.0 万元</w:t>
      </w:r>
    </w:p>
    <w:p w14:paraId="528BFD1C">
      <w:pPr>
        <w:pStyle w:val="4"/>
      </w:pPr>
      <w:r>
        <w:rPr>
          <w:rFonts w:ascii="微软雅黑" w:hAnsi="微软雅黑" w:eastAsia="微软雅黑"/>
          <w:color w:val="0E4DC4"/>
          <w:sz w:val="30"/>
        </w:rPr>
        <w:t>5.2 降本收益</w:t>
      </w:r>
    </w:p>
    <w:p w14:paraId="02FC3F1B">
      <w:pPr>
        <w:spacing w:after="80" w:line="360" w:lineRule="auto"/>
      </w:pPr>
      <w:r>
        <w:rPr>
          <w:rFonts w:ascii="微软雅黑" w:hAnsi="微软雅黑" w:eastAsia="微软雅黑"/>
          <w:b/>
          <w:color w:val="1A2233"/>
          <w:sz w:val="22"/>
        </w:rPr>
        <w:t>(1) 3D 课件制作降本</w:t>
      </w:r>
    </w:p>
    <w:p w14:paraId="44D632D0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标杆阶段：3 专业 × 8 课件 × 0.8 万 × 0.7 = 13.4 万元</w:t>
      </w:r>
    </w:p>
    <w:p w14:paraId="6EDA4BF4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推广阶段：8 校 × 3 专业 × 10 课件 × 0.8 万 × 0.7 = 134.4 万元</w:t>
      </w:r>
    </w:p>
    <w:p w14:paraId="52909EBD">
      <w:pPr>
        <w:spacing w:after="80" w:line="360" w:lineRule="auto"/>
      </w:pPr>
      <w:r>
        <w:rPr>
          <w:rFonts w:ascii="微软雅黑" w:hAnsi="微软雅黑" w:eastAsia="微软雅黑"/>
          <w:b/>
          <w:color w:val="1A2233"/>
          <w:sz w:val="22"/>
        </w:rPr>
        <w:t>(2) 实体实训设备替代降本</w:t>
      </w:r>
    </w:p>
    <w:p w14:paraId="77770484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标杆阶段：3 专业 × 30 万 × 0.4 = 36.0 万元</w:t>
      </w:r>
    </w:p>
    <w:p w14:paraId="73530AF8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推广阶段：8 校 × 3 专业 × 30 万 × 0.4 = 288.0 万元（为节约的设备采购预算，分年度释放）</w:t>
      </w:r>
    </w:p>
    <w:p w14:paraId="4F1FC3DB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5A6A7A"/>
          <w:sz w:val="22"/>
        </w:rPr>
        <w:t>注：推广阶段设备替代降本按 3 年分摊，2027 年确认 96.0 万元。</w:t>
      </w:r>
    </w:p>
    <w:p w14:paraId="76D865D9">
      <w:pPr>
        <w:spacing w:after="120" w:line="360" w:lineRule="auto"/>
      </w:pPr>
      <w:r>
        <w:rPr>
          <w:rFonts w:ascii="微软雅黑" w:hAnsi="微软雅黑" w:eastAsia="微软雅黑"/>
          <w:b/>
          <w:color w:val="148A5A"/>
          <w:sz w:val="22"/>
        </w:rPr>
        <w:t>降本收益合计（1.5 年确认）：13.4 + 134.4 + 36.0 + 96.0 = 279.8 万元</w:t>
      </w:r>
    </w:p>
    <w:p w14:paraId="31AA50B8">
      <w:pPr>
        <w:pStyle w:val="4"/>
      </w:pPr>
      <w:r>
        <w:rPr>
          <w:rFonts w:ascii="微软雅黑" w:hAnsi="微软雅黑" w:eastAsia="微软雅黑"/>
          <w:color w:val="0E4DC4"/>
          <w:sz w:val="30"/>
        </w:rPr>
        <w:t>5.3 产业链带动收益</w:t>
      </w:r>
    </w:p>
    <w:p w14:paraId="3DED0715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以平台总投入 200 万为基数，产业带动系数 0.8：</w:t>
      </w:r>
    </w:p>
    <w:p w14:paraId="57D41121">
      <w:pPr>
        <w:spacing w:after="120" w:line="360" w:lineRule="auto"/>
      </w:pPr>
      <w:r>
        <w:rPr>
          <w:rFonts w:ascii="微软雅黑" w:hAnsi="微软雅黑" w:eastAsia="微软雅黑"/>
          <w:b/>
          <w:color w:val="148A5A"/>
          <w:sz w:val="22"/>
        </w:rPr>
        <w:t>产业链带动收益 = 200 × 0.8 = 160.0 万元</w:t>
      </w:r>
    </w:p>
    <w:p w14:paraId="0163D4D8">
      <w:pPr>
        <w:spacing w:after="16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带动领域包括 3D 内容制作、VR 设备采购、云服务消费、教师培训等上下游产业。</w:t>
      </w:r>
    </w:p>
    <w:p w14:paraId="6400AFC7">
      <w:pPr>
        <w:pStyle w:val="4"/>
      </w:pPr>
      <w:r>
        <w:rPr>
          <w:rFonts w:ascii="微软雅黑" w:hAnsi="微软雅黑" w:eastAsia="微软雅黑"/>
          <w:color w:val="0E4DC4"/>
          <w:sz w:val="30"/>
        </w:rPr>
        <w:t>5.4 平台营收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526C1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5AC737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收入类别</w:t>
            </w:r>
          </w:p>
        </w:tc>
        <w:tc>
          <w:tcPr>
            <w:tcW w:w="3022" w:type="dxa"/>
          </w:tcPr>
          <w:p w14:paraId="1413CA9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测算依据</w:t>
            </w:r>
          </w:p>
        </w:tc>
        <w:tc>
          <w:tcPr>
            <w:tcW w:w="3022" w:type="dxa"/>
          </w:tcPr>
          <w:p w14:paraId="25017C5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金额(万元)</w:t>
            </w:r>
          </w:p>
        </w:tc>
      </w:tr>
      <w:tr w14:paraId="0100C2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FC4E0E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订阅费</w:t>
            </w:r>
          </w:p>
        </w:tc>
        <w:tc>
          <w:tcPr>
            <w:tcW w:w="3022" w:type="dxa"/>
          </w:tcPr>
          <w:p w14:paraId="00D3F04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8 校 × 2 万/年 × 1 年（2027）</w:t>
            </w:r>
          </w:p>
        </w:tc>
        <w:tc>
          <w:tcPr>
            <w:tcW w:w="3022" w:type="dxa"/>
          </w:tcPr>
          <w:p w14:paraId="29B4279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16.0</w:t>
            </w:r>
          </w:p>
        </w:tc>
      </w:tr>
      <w:tr w14:paraId="3FA3D8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3022" w:type="dxa"/>
          </w:tcPr>
          <w:p w14:paraId="274CE74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内容分成</w:t>
            </w:r>
          </w:p>
        </w:tc>
        <w:tc>
          <w:tcPr>
            <w:tcW w:w="3022" w:type="dxa"/>
          </w:tcPr>
          <w:p w14:paraId="0416CA7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课件交易额 60 万 × 15%</w:t>
            </w:r>
          </w:p>
        </w:tc>
        <w:tc>
          <w:tcPr>
            <w:tcW w:w="3022" w:type="dxa"/>
          </w:tcPr>
          <w:p w14:paraId="3C39661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9.0</w:t>
            </w:r>
          </w:p>
        </w:tc>
      </w:tr>
      <w:tr w14:paraId="15EC00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B1E6B2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增值服务</w:t>
            </w:r>
          </w:p>
        </w:tc>
        <w:tc>
          <w:tcPr>
            <w:tcW w:w="3022" w:type="dxa"/>
          </w:tcPr>
          <w:p w14:paraId="372672D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定制开发 + 培训 + 运维（小规模）</w:t>
            </w:r>
          </w:p>
        </w:tc>
        <w:tc>
          <w:tcPr>
            <w:tcW w:w="3022" w:type="dxa"/>
          </w:tcPr>
          <w:p w14:paraId="4E8734E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20.0</w:t>
            </w:r>
          </w:p>
        </w:tc>
      </w:tr>
      <w:tr w14:paraId="640104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C9BE05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8A5A"/>
                <w:sz w:val="22"/>
              </w:rPr>
              <w:t>合计</w:t>
            </w:r>
          </w:p>
        </w:tc>
        <w:tc>
          <w:tcPr>
            <w:tcW w:w="3022" w:type="dxa"/>
          </w:tcPr>
          <w:p w14:paraId="6270045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8A5A"/>
                <w:sz w:val="22"/>
              </w:rPr>
              <w:t>—</w:t>
            </w:r>
          </w:p>
        </w:tc>
        <w:tc>
          <w:tcPr>
            <w:tcW w:w="3022" w:type="dxa"/>
          </w:tcPr>
          <w:p w14:paraId="3A01591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48A5A"/>
                <w:sz w:val="22"/>
              </w:rPr>
              <w:t>45.0</w:t>
            </w:r>
          </w:p>
        </w:tc>
      </w:tr>
    </w:tbl>
    <w:p w14:paraId="3EF616CC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5A6A7A"/>
          <w:sz w:val="22"/>
        </w:rPr>
        <w:t>注：标杆示范阶段（2026 H2）为免费试点，不计营收；营收自 2027 年推广阶段起算。</w:t>
      </w:r>
    </w:p>
    <w:p w14:paraId="79672156">
      <w:pPr>
        <w:pStyle w:val="4"/>
      </w:pPr>
      <w:r>
        <w:rPr>
          <w:rFonts w:ascii="微软雅黑" w:hAnsi="微软雅黑" w:eastAsia="微软雅黑"/>
          <w:color w:val="0E4DC4"/>
          <w:sz w:val="30"/>
        </w:rPr>
        <w:t>5.5 经济效益汇总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265E68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4E0A9F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效益类别</w:t>
            </w:r>
          </w:p>
        </w:tc>
        <w:tc>
          <w:tcPr>
            <w:tcW w:w="4533" w:type="dxa"/>
          </w:tcPr>
          <w:p w14:paraId="031B3A2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金额(万元)</w:t>
            </w:r>
          </w:p>
        </w:tc>
      </w:tr>
      <w:tr w14:paraId="18E7DD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8EA284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算力消纳收益</w:t>
            </w:r>
          </w:p>
        </w:tc>
        <w:tc>
          <w:tcPr>
            <w:tcW w:w="4533" w:type="dxa"/>
          </w:tcPr>
          <w:p w14:paraId="572A1BD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144.0</w:t>
            </w:r>
          </w:p>
        </w:tc>
      </w:tr>
      <w:tr w14:paraId="19B5A8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83FA0A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降本收益</w:t>
            </w:r>
          </w:p>
        </w:tc>
        <w:tc>
          <w:tcPr>
            <w:tcW w:w="4533" w:type="dxa"/>
          </w:tcPr>
          <w:p w14:paraId="09508F0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279.8</w:t>
            </w:r>
          </w:p>
        </w:tc>
      </w:tr>
      <w:tr w14:paraId="2B83F2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48AA2C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产业链带动收益</w:t>
            </w:r>
          </w:p>
        </w:tc>
        <w:tc>
          <w:tcPr>
            <w:tcW w:w="4533" w:type="dxa"/>
          </w:tcPr>
          <w:p w14:paraId="5B9080B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160.0</w:t>
            </w:r>
          </w:p>
        </w:tc>
      </w:tr>
      <w:tr w14:paraId="04180E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1898FC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平台营收</w:t>
            </w:r>
          </w:p>
        </w:tc>
        <w:tc>
          <w:tcPr>
            <w:tcW w:w="4533" w:type="dxa"/>
          </w:tcPr>
          <w:p w14:paraId="40BA4A3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45.0</w:t>
            </w:r>
          </w:p>
        </w:tc>
      </w:tr>
      <w:tr w14:paraId="04740C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F18840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86A1A"/>
                <w:sz w:val="24"/>
              </w:rPr>
              <w:t>总产出效益</w:t>
            </w:r>
          </w:p>
        </w:tc>
        <w:tc>
          <w:tcPr>
            <w:tcW w:w="4533" w:type="dxa"/>
          </w:tcPr>
          <w:p w14:paraId="14A25B4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86A1A"/>
                <w:sz w:val="24"/>
              </w:rPr>
              <w:t>628.8</w:t>
            </w:r>
          </w:p>
        </w:tc>
      </w:tr>
    </w:tbl>
    <w:p w14:paraId="3B9CD646">
      <w:r>
        <w:br w:type="page"/>
      </w:r>
    </w:p>
    <w:p w14:paraId="3E080F45">
      <w:pPr>
        <w:pStyle w:val="3"/>
      </w:pPr>
      <w:r>
        <w:rPr>
          <w:rFonts w:ascii="微软雅黑" w:hAnsi="微软雅黑" w:eastAsia="微软雅黑"/>
          <w:color w:val="0E4DC4"/>
          <w:sz w:val="36"/>
        </w:rPr>
        <w:t>六、社会效益指标</w:t>
      </w:r>
    </w:p>
    <w:p w14:paraId="7E92CF4E">
      <w:pPr>
        <w:pStyle w:val="4"/>
      </w:pPr>
      <w:r>
        <w:rPr>
          <w:rFonts w:ascii="微软雅黑" w:hAnsi="微软雅黑" w:eastAsia="微软雅黑"/>
          <w:color w:val="0E4DC4"/>
          <w:sz w:val="30"/>
        </w:rPr>
        <w:t>6.1 教育普惠指标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1D411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CBC646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w="2266" w:type="dxa"/>
          </w:tcPr>
          <w:p w14:paraId="0AB4AAA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数值</w:t>
            </w:r>
          </w:p>
        </w:tc>
        <w:tc>
          <w:tcPr>
            <w:tcW w:w="2266" w:type="dxa"/>
          </w:tcPr>
          <w:p w14:paraId="4F1704F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w="2266" w:type="dxa"/>
          </w:tcPr>
          <w:p w14:paraId="2B8863D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数据来源</w:t>
            </w:r>
          </w:p>
        </w:tc>
      </w:tr>
      <w:tr w14:paraId="7E6A0E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492D32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覆盖院校数</w:t>
            </w:r>
          </w:p>
        </w:tc>
        <w:tc>
          <w:tcPr>
            <w:tcW w:w="2266" w:type="dxa"/>
          </w:tcPr>
          <w:p w14:paraId="1BA0E41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8 所</w:t>
            </w:r>
          </w:p>
        </w:tc>
        <w:tc>
          <w:tcPr>
            <w:tcW w:w="2266" w:type="dxa"/>
          </w:tcPr>
          <w:p w14:paraId="02932DD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昌吉州及全疆职业院校</w:t>
            </w:r>
          </w:p>
        </w:tc>
        <w:tc>
          <w:tcPr>
            <w:tcW w:w="2266" w:type="dxa"/>
          </w:tcPr>
          <w:p w14:paraId="40A3E77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S2</w:t>
            </w:r>
          </w:p>
        </w:tc>
      </w:tr>
      <w:tr w14:paraId="33692B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72ADC5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覆盖师生人数</w:t>
            </w:r>
          </w:p>
        </w:tc>
        <w:tc>
          <w:tcPr>
            <w:tcW w:w="2266" w:type="dxa"/>
          </w:tcPr>
          <w:p w14:paraId="5B347A1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5,000 人</w:t>
            </w:r>
          </w:p>
        </w:tc>
        <w:tc>
          <w:tcPr>
            <w:tcW w:w="2266" w:type="dxa"/>
          </w:tcPr>
          <w:p w14:paraId="36826C2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在校生 + 教师</w:t>
            </w:r>
          </w:p>
        </w:tc>
        <w:tc>
          <w:tcPr>
            <w:tcW w:w="2266" w:type="dxa"/>
          </w:tcPr>
          <w:p w14:paraId="7002A92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S2/S7</w:t>
            </w:r>
          </w:p>
        </w:tc>
      </w:tr>
      <w:tr w14:paraId="28D42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372FBB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偏远地区覆盖率</w:t>
            </w:r>
          </w:p>
        </w:tc>
        <w:tc>
          <w:tcPr>
            <w:tcW w:w="2266" w:type="dxa"/>
          </w:tcPr>
          <w:p w14:paraId="4204E3C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≥30%</w:t>
            </w:r>
          </w:p>
        </w:tc>
        <w:tc>
          <w:tcPr>
            <w:tcW w:w="2266" w:type="dxa"/>
          </w:tcPr>
          <w:p w14:paraId="023FD21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南疆/北疆偏远院校占比</w:t>
            </w:r>
          </w:p>
        </w:tc>
        <w:tc>
          <w:tcPr>
            <w:tcW w:w="2266" w:type="dxa"/>
          </w:tcPr>
          <w:p w14:paraId="71C4E7B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S2</w:t>
            </w:r>
          </w:p>
        </w:tc>
      </w:tr>
      <w:tr w14:paraId="623B68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7FB1FE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弱势群体受益率</w:t>
            </w:r>
          </w:p>
        </w:tc>
        <w:tc>
          <w:tcPr>
            <w:tcW w:w="2266" w:type="dxa"/>
          </w:tcPr>
          <w:p w14:paraId="3072AD1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≥25%</w:t>
            </w:r>
          </w:p>
        </w:tc>
        <w:tc>
          <w:tcPr>
            <w:tcW w:w="2266" w:type="dxa"/>
          </w:tcPr>
          <w:p w14:paraId="7DAEBBC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农村/低收入家庭学生占比</w:t>
            </w:r>
          </w:p>
        </w:tc>
        <w:tc>
          <w:tcPr>
            <w:tcW w:w="2266" w:type="dxa"/>
          </w:tcPr>
          <w:p w14:paraId="3B304DD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S7</w:t>
            </w:r>
          </w:p>
        </w:tc>
      </w:tr>
    </w:tbl>
    <w:p w14:paraId="3B0BE13E">
      <w:pPr>
        <w:pStyle w:val="4"/>
      </w:pPr>
      <w:r>
        <w:rPr>
          <w:rFonts w:ascii="微软雅黑" w:hAnsi="微软雅黑" w:eastAsia="微软雅黑"/>
          <w:color w:val="0E4DC4"/>
          <w:sz w:val="30"/>
        </w:rPr>
        <w:t>6.2 技能提升指标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01737C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8009BE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w="2266" w:type="dxa"/>
          </w:tcPr>
          <w:p w14:paraId="7DF97D4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数值</w:t>
            </w:r>
          </w:p>
        </w:tc>
        <w:tc>
          <w:tcPr>
            <w:tcW w:w="2266" w:type="dxa"/>
          </w:tcPr>
          <w:p w14:paraId="5801109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w="2266" w:type="dxa"/>
          </w:tcPr>
          <w:p w14:paraId="70E42FF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数据来源</w:t>
            </w:r>
          </w:p>
        </w:tc>
      </w:tr>
      <w:tr w14:paraId="6699E7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ED7F81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3D 课件创作能力提升率</w:t>
            </w:r>
          </w:p>
        </w:tc>
        <w:tc>
          <w:tcPr>
            <w:tcW w:w="2266" w:type="dxa"/>
          </w:tcPr>
          <w:p w14:paraId="74A2891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75%</w:t>
            </w:r>
          </w:p>
        </w:tc>
        <w:tc>
          <w:tcPr>
            <w:tcW w:w="2266" w:type="dxa"/>
          </w:tcPr>
          <w:p w14:paraId="46351B0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教师 AI 工具使用前后测对比</w:t>
            </w:r>
          </w:p>
        </w:tc>
        <w:tc>
          <w:tcPr>
            <w:tcW w:w="2266" w:type="dxa"/>
          </w:tcPr>
          <w:p w14:paraId="32AF278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S7</w:t>
            </w:r>
          </w:p>
        </w:tc>
      </w:tr>
      <w:tr w14:paraId="316DF0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875973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实训技能考核通过率提升</w:t>
            </w:r>
          </w:p>
        </w:tc>
        <w:tc>
          <w:tcPr>
            <w:tcW w:w="2266" w:type="dxa"/>
          </w:tcPr>
          <w:p w14:paraId="416FBE1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+18%</w:t>
            </w:r>
          </w:p>
        </w:tc>
        <w:tc>
          <w:tcPr>
            <w:tcW w:w="2266" w:type="dxa"/>
          </w:tcPr>
          <w:p w14:paraId="58E595C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虚拟实训后实操考核通过率增量</w:t>
            </w:r>
          </w:p>
        </w:tc>
        <w:tc>
          <w:tcPr>
            <w:tcW w:w="2266" w:type="dxa"/>
          </w:tcPr>
          <w:p w14:paraId="2BB12D4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S7</w:t>
            </w:r>
          </w:p>
        </w:tc>
      </w:tr>
      <w:tr w14:paraId="56BF2F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80EC6E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学习效率提升</w:t>
            </w:r>
          </w:p>
        </w:tc>
        <w:tc>
          <w:tcPr>
            <w:tcW w:w="2266" w:type="dxa"/>
          </w:tcPr>
          <w:p w14:paraId="7ED659E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+28%</w:t>
            </w:r>
          </w:p>
        </w:tc>
        <w:tc>
          <w:tcPr>
            <w:tcW w:w="2266" w:type="dxa"/>
          </w:tcPr>
          <w:p w14:paraId="0CF474E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同等课时知识掌握度提升</w:t>
            </w:r>
          </w:p>
        </w:tc>
        <w:tc>
          <w:tcPr>
            <w:tcW w:w="2266" w:type="dxa"/>
          </w:tcPr>
          <w:p w14:paraId="2F4363C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S7</w:t>
            </w:r>
          </w:p>
        </w:tc>
      </w:tr>
      <w:tr w14:paraId="350C6A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5F2849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高危特种作业事故认知率</w:t>
            </w:r>
          </w:p>
        </w:tc>
        <w:tc>
          <w:tcPr>
            <w:tcW w:w="2266" w:type="dxa"/>
          </w:tcPr>
          <w:p w14:paraId="72BA272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92%</w:t>
            </w:r>
          </w:p>
        </w:tc>
        <w:tc>
          <w:tcPr>
            <w:tcW w:w="2266" w:type="dxa"/>
          </w:tcPr>
          <w:p w14:paraId="369A13D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虚拟违规体验后安全认知达标率</w:t>
            </w:r>
          </w:p>
        </w:tc>
        <w:tc>
          <w:tcPr>
            <w:tcW w:w="2266" w:type="dxa"/>
          </w:tcPr>
          <w:p w14:paraId="4391CF3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S7</w:t>
            </w:r>
          </w:p>
        </w:tc>
      </w:tr>
    </w:tbl>
    <w:p w14:paraId="0F8EFCD7">
      <w:pPr>
        <w:pStyle w:val="4"/>
      </w:pPr>
      <w:r>
        <w:rPr>
          <w:rFonts w:ascii="微软雅黑" w:hAnsi="微软雅黑" w:eastAsia="微软雅黑"/>
          <w:color w:val="0E4DC4"/>
          <w:sz w:val="30"/>
        </w:rPr>
        <w:t>6.3 师资赋能指标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1E90AE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66" w:type="dxa"/>
          </w:tcPr>
          <w:p w14:paraId="5F776F7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w="2266" w:type="dxa"/>
          </w:tcPr>
          <w:p w14:paraId="1823798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数值</w:t>
            </w:r>
          </w:p>
        </w:tc>
        <w:tc>
          <w:tcPr>
            <w:tcW w:w="2266" w:type="dxa"/>
          </w:tcPr>
          <w:p w14:paraId="4386352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w="2266" w:type="dxa"/>
          </w:tcPr>
          <w:p w14:paraId="6A0C22B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数据来源</w:t>
            </w:r>
          </w:p>
        </w:tc>
      </w:tr>
      <w:tr w14:paraId="08EB94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09B2CD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教师 3D 课件独立创作率</w:t>
            </w:r>
          </w:p>
        </w:tc>
        <w:tc>
          <w:tcPr>
            <w:tcW w:w="2266" w:type="dxa"/>
          </w:tcPr>
          <w:p w14:paraId="4E260F8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70%</w:t>
            </w:r>
          </w:p>
        </w:tc>
        <w:tc>
          <w:tcPr>
            <w:tcW w:w="2266" w:type="dxa"/>
          </w:tcPr>
          <w:p w14:paraId="5A3C43F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使用 AI 工具可独立完成的教师占比</w:t>
            </w:r>
          </w:p>
        </w:tc>
        <w:tc>
          <w:tcPr>
            <w:tcW w:w="2266" w:type="dxa"/>
          </w:tcPr>
          <w:p w14:paraId="3D80052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S7</w:t>
            </w:r>
          </w:p>
        </w:tc>
      </w:tr>
      <w:tr w14:paraId="6BBAFA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344972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教研产能提升</w:t>
            </w:r>
          </w:p>
        </w:tc>
        <w:tc>
          <w:tcPr>
            <w:tcW w:w="2266" w:type="dxa"/>
          </w:tcPr>
          <w:p w14:paraId="78C7EE5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+200%</w:t>
            </w:r>
          </w:p>
        </w:tc>
        <w:tc>
          <w:tcPr>
            <w:tcW w:w="2266" w:type="dxa"/>
          </w:tcPr>
          <w:p w14:paraId="20F5363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课件制作效率较外包模式提升倍数</w:t>
            </w:r>
          </w:p>
        </w:tc>
        <w:tc>
          <w:tcPr>
            <w:tcW w:w="2266" w:type="dxa"/>
          </w:tcPr>
          <w:p w14:paraId="6E3ECC2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S3/S8</w:t>
            </w:r>
          </w:p>
        </w:tc>
      </w:tr>
      <w:tr w14:paraId="204AF0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0EFF40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教师数字素养达标率</w:t>
            </w:r>
          </w:p>
        </w:tc>
        <w:tc>
          <w:tcPr>
            <w:tcW w:w="2266" w:type="dxa"/>
          </w:tcPr>
          <w:p w14:paraId="4971620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85%</w:t>
            </w:r>
          </w:p>
        </w:tc>
        <w:tc>
          <w:tcPr>
            <w:tcW w:w="2266" w:type="dxa"/>
          </w:tcPr>
          <w:p w14:paraId="0A72895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培训后数字素养考核达标率</w:t>
            </w:r>
          </w:p>
        </w:tc>
        <w:tc>
          <w:tcPr>
            <w:tcW w:w="2266" w:type="dxa"/>
          </w:tcPr>
          <w:p w14:paraId="6818883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S7</w:t>
            </w:r>
          </w:p>
        </w:tc>
      </w:tr>
    </w:tbl>
    <w:p w14:paraId="36344F7C">
      <w:pPr>
        <w:pStyle w:val="4"/>
      </w:pPr>
      <w:r>
        <w:rPr>
          <w:rFonts w:ascii="微软雅黑" w:hAnsi="微软雅黑" w:eastAsia="微软雅黑"/>
          <w:color w:val="0E4DC4"/>
          <w:sz w:val="30"/>
        </w:rPr>
        <w:t>6.4 出海与示范指标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399647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EBF8BA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w="2266" w:type="dxa"/>
          </w:tcPr>
          <w:p w14:paraId="4325AFC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数值</w:t>
            </w:r>
          </w:p>
        </w:tc>
        <w:tc>
          <w:tcPr>
            <w:tcW w:w="2266" w:type="dxa"/>
          </w:tcPr>
          <w:p w14:paraId="5CD305F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w="2266" w:type="dxa"/>
          </w:tcPr>
          <w:p w14:paraId="04E13D8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数据来源</w:t>
            </w:r>
          </w:p>
        </w:tc>
      </w:tr>
      <w:tr w14:paraId="0C048E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F1A0C6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多语种支持</w:t>
            </w:r>
          </w:p>
        </w:tc>
        <w:tc>
          <w:tcPr>
            <w:tcW w:w="2266" w:type="dxa"/>
          </w:tcPr>
          <w:p w14:paraId="5ACFAE6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3 种</w:t>
            </w:r>
          </w:p>
        </w:tc>
        <w:tc>
          <w:tcPr>
            <w:tcW w:w="2266" w:type="dxa"/>
          </w:tcPr>
          <w:p w14:paraId="3D2C3CE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中/英/俄（首期）</w:t>
            </w:r>
          </w:p>
        </w:tc>
        <w:tc>
          <w:tcPr>
            <w:tcW w:w="2266" w:type="dxa"/>
          </w:tcPr>
          <w:p w14:paraId="03AE4FA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S10</w:t>
            </w:r>
          </w:p>
        </w:tc>
      </w:tr>
      <w:tr w14:paraId="69F7F6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809E3F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出海目标国家</w:t>
            </w:r>
          </w:p>
        </w:tc>
        <w:tc>
          <w:tcPr>
            <w:tcW w:w="2266" w:type="dxa"/>
          </w:tcPr>
          <w:p w14:paraId="6C81605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≥2 个</w:t>
            </w:r>
          </w:p>
        </w:tc>
        <w:tc>
          <w:tcPr>
            <w:tcW w:w="2266" w:type="dxa"/>
          </w:tcPr>
          <w:p w14:paraId="37DBA76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一带一路沿线中亚国家</w:t>
            </w:r>
          </w:p>
        </w:tc>
        <w:tc>
          <w:tcPr>
            <w:tcW w:w="2266" w:type="dxa"/>
          </w:tcPr>
          <w:p w14:paraId="445FDE3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S10</w:t>
            </w:r>
          </w:p>
        </w:tc>
      </w:tr>
      <w:tr w14:paraId="798CE8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EC7525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区域示范基地</w:t>
            </w:r>
          </w:p>
        </w:tc>
        <w:tc>
          <w:tcPr>
            <w:tcW w:w="2266" w:type="dxa"/>
          </w:tcPr>
          <w:p w14:paraId="6BD8D44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1 个</w:t>
            </w:r>
          </w:p>
        </w:tc>
        <w:tc>
          <w:tcPr>
            <w:tcW w:w="2266" w:type="dxa"/>
          </w:tcPr>
          <w:p w14:paraId="05D6969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昌吉州虚拟仿真实训示范基地</w:t>
            </w:r>
          </w:p>
        </w:tc>
        <w:tc>
          <w:tcPr>
            <w:tcW w:w="2266" w:type="dxa"/>
          </w:tcPr>
          <w:p w14:paraId="1883799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—</w:t>
            </w:r>
          </w:p>
        </w:tc>
      </w:tr>
      <w:tr w14:paraId="29C162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E4F777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可复制模式输出</w:t>
            </w:r>
          </w:p>
        </w:tc>
        <w:tc>
          <w:tcPr>
            <w:tcW w:w="2266" w:type="dxa"/>
          </w:tcPr>
          <w:p w14:paraId="131361A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1 套</w:t>
            </w:r>
          </w:p>
        </w:tc>
        <w:tc>
          <w:tcPr>
            <w:tcW w:w="2266" w:type="dxa"/>
          </w:tcPr>
          <w:p w14:paraId="59E0C27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标准化部署方案与运营手册</w:t>
            </w:r>
          </w:p>
        </w:tc>
        <w:tc>
          <w:tcPr>
            <w:tcW w:w="2266" w:type="dxa"/>
          </w:tcPr>
          <w:p w14:paraId="3218FF7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—</w:t>
            </w:r>
          </w:p>
        </w:tc>
      </w:tr>
    </w:tbl>
    <w:p w14:paraId="0DAC58B2">
      <w:r>
        <w:br w:type="page"/>
      </w:r>
    </w:p>
    <w:p w14:paraId="19644D33">
      <w:pPr>
        <w:pStyle w:val="3"/>
      </w:pPr>
      <w:r>
        <w:rPr>
          <w:rFonts w:ascii="微软雅黑" w:hAnsi="微软雅黑" w:eastAsia="微软雅黑"/>
          <w:color w:val="0E4DC4"/>
          <w:sz w:val="36"/>
        </w:rPr>
        <w:t>七、综合效益与投资回报</w:t>
      </w:r>
    </w:p>
    <w:p w14:paraId="7E831D15">
      <w:pPr>
        <w:pStyle w:val="4"/>
      </w:pPr>
      <w:r>
        <w:rPr>
          <w:rFonts w:ascii="微软雅黑" w:hAnsi="微软雅黑" w:eastAsia="微软雅黑"/>
          <w:color w:val="0E4DC4"/>
          <w:sz w:val="30"/>
        </w:rPr>
        <w:t>7.1 投入产出汇总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D5D8E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78D3B8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w="3022" w:type="dxa"/>
          </w:tcPr>
          <w:p w14:paraId="1159F84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金额(万元)</w:t>
            </w:r>
          </w:p>
        </w:tc>
        <w:tc>
          <w:tcPr>
            <w:tcW w:w="3022" w:type="dxa"/>
          </w:tcPr>
          <w:p w14:paraId="5E9B609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563EDF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C4F7C8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总投入成本</w:t>
            </w:r>
          </w:p>
        </w:tc>
        <w:tc>
          <w:tcPr>
            <w:tcW w:w="3022" w:type="dxa"/>
          </w:tcPr>
          <w:p w14:paraId="3625EDB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200.0</w:t>
            </w:r>
          </w:p>
        </w:tc>
        <w:tc>
          <w:tcPr>
            <w:tcW w:w="3022" w:type="dxa"/>
          </w:tcPr>
          <w:p w14:paraId="566EE15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1.5 年累计</w:t>
            </w:r>
          </w:p>
        </w:tc>
      </w:tr>
      <w:tr w14:paraId="146FCD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349E70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总产出效益</w:t>
            </w:r>
          </w:p>
        </w:tc>
        <w:tc>
          <w:tcPr>
            <w:tcW w:w="3022" w:type="dxa"/>
          </w:tcPr>
          <w:p w14:paraId="32A3FB4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628.8</w:t>
            </w:r>
          </w:p>
        </w:tc>
        <w:tc>
          <w:tcPr>
            <w:tcW w:w="3022" w:type="dxa"/>
          </w:tcPr>
          <w:p w14:paraId="66FAF22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2"/>
              </w:rPr>
              <w:t>1.5 年累计</w:t>
            </w:r>
          </w:p>
        </w:tc>
      </w:tr>
      <w:tr w14:paraId="02093C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CB1F8C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8A5A"/>
                <w:sz w:val="24"/>
              </w:rPr>
              <w:t>净效益</w:t>
            </w:r>
          </w:p>
        </w:tc>
        <w:tc>
          <w:tcPr>
            <w:tcW w:w="3022" w:type="dxa"/>
          </w:tcPr>
          <w:p w14:paraId="7A502A7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48A5A"/>
                <w:sz w:val="24"/>
              </w:rPr>
              <w:t>428.8</w:t>
            </w:r>
          </w:p>
        </w:tc>
        <w:tc>
          <w:tcPr>
            <w:tcW w:w="3022" w:type="dxa"/>
          </w:tcPr>
          <w:p w14:paraId="52455BB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8A5A"/>
                <w:sz w:val="24"/>
              </w:rPr>
              <w:t>总产出 − 总投入</w:t>
            </w:r>
          </w:p>
        </w:tc>
      </w:tr>
      <w:tr w14:paraId="160B63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489619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E86A1A"/>
                <w:sz w:val="24"/>
              </w:rPr>
              <w:t>投入产出比</w:t>
            </w:r>
          </w:p>
        </w:tc>
        <w:tc>
          <w:tcPr>
            <w:tcW w:w="3022" w:type="dxa"/>
          </w:tcPr>
          <w:p w14:paraId="1BE695F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86A1A"/>
                <w:sz w:val="24"/>
              </w:rPr>
              <w:t>3.14 : 1</w:t>
            </w:r>
          </w:p>
        </w:tc>
        <w:tc>
          <w:tcPr>
            <w:tcW w:w="3022" w:type="dxa"/>
          </w:tcPr>
          <w:p w14:paraId="31ABE45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E86A1A"/>
                <w:sz w:val="24"/>
              </w:rPr>
              <w:t>总产出 / 总投入</w:t>
            </w:r>
          </w:p>
        </w:tc>
      </w:tr>
    </w:tbl>
    <w:p w14:paraId="4EC3D092">
      <w:pPr>
        <w:pStyle w:val="4"/>
      </w:pPr>
      <w:r>
        <w:rPr>
          <w:rFonts w:ascii="微软雅黑" w:hAnsi="微软雅黑" w:eastAsia="微软雅黑"/>
          <w:color w:val="0E4DC4"/>
          <w:sz w:val="30"/>
        </w:rPr>
        <w:t>7.2 半年度现金流与 NPV/IRR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05F127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713030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周期</w:t>
            </w:r>
          </w:p>
        </w:tc>
        <w:tc>
          <w:tcPr>
            <w:tcW w:w="1813" w:type="dxa"/>
          </w:tcPr>
          <w:p w14:paraId="4114C68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投入(万)</w:t>
            </w:r>
          </w:p>
        </w:tc>
        <w:tc>
          <w:tcPr>
            <w:tcW w:w="1813" w:type="dxa"/>
          </w:tcPr>
          <w:p w14:paraId="77B7EE1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产出明细(万)</w:t>
            </w:r>
          </w:p>
        </w:tc>
        <w:tc>
          <w:tcPr>
            <w:tcW w:w="1813" w:type="dxa"/>
          </w:tcPr>
          <w:p w14:paraId="227C432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产出小计(万)</w:t>
            </w:r>
          </w:p>
        </w:tc>
        <w:tc>
          <w:tcPr>
            <w:tcW w:w="1813" w:type="dxa"/>
          </w:tcPr>
          <w:p w14:paraId="7F18D49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净现金流(万)</w:t>
            </w:r>
          </w:p>
        </w:tc>
      </w:tr>
      <w:tr w14:paraId="13AD8E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C40C7F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2026 H2</w:t>
            </w:r>
          </w:p>
        </w:tc>
        <w:tc>
          <w:tcPr>
            <w:tcW w:w="1813" w:type="dxa"/>
          </w:tcPr>
          <w:p w14:paraId="5AE5284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90.0</w:t>
            </w:r>
          </w:p>
        </w:tc>
        <w:tc>
          <w:tcPr>
            <w:tcW w:w="1813" w:type="dxa"/>
          </w:tcPr>
          <w:p w14:paraId="659A4AA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算力 28.8 + 降本 49.4 + 产业链 72.0 + 营收 0</w:t>
            </w:r>
          </w:p>
        </w:tc>
        <w:tc>
          <w:tcPr>
            <w:tcW w:w="1813" w:type="dxa"/>
          </w:tcPr>
          <w:p w14:paraId="1D8CDA1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150.2</w:t>
            </w:r>
          </w:p>
        </w:tc>
        <w:tc>
          <w:tcPr>
            <w:tcW w:w="1813" w:type="dxa"/>
          </w:tcPr>
          <w:p w14:paraId="75039D7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60.2</w:t>
            </w:r>
          </w:p>
        </w:tc>
      </w:tr>
      <w:tr w14:paraId="408B64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23162D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2027 H1</w:t>
            </w:r>
          </w:p>
        </w:tc>
        <w:tc>
          <w:tcPr>
            <w:tcW w:w="1813" w:type="dxa"/>
          </w:tcPr>
          <w:p w14:paraId="7931131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55.0</w:t>
            </w:r>
          </w:p>
        </w:tc>
        <w:tc>
          <w:tcPr>
            <w:tcW w:w="1813" w:type="dxa"/>
          </w:tcPr>
          <w:p w14:paraId="6316364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算力 57.6 + 降本 80.0 + 产业链 44.0 + 营收 12.0</w:t>
            </w:r>
          </w:p>
        </w:tc>
        <w:tc>
          <w:tcPr>
            <w:tcW w:w="1813" w:type="dxa"/>
          </w:tcPr>
          <w:p w14:paraId="4924259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193.6</w:t>
            </w:r>
          </w:p>
        </w:tc>
        <w:tc>
          <w:tcPr>
            <w:tcW w:w="1813" w:type="dxa"/>
          </w:tcPr>
          <w:p w14:paraId="54F8B39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138.6</w:t>
            </w:r>
          </w:p>
        </w:tc>
      </w:tr>
      <w:tr w14:paraId="681446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AA12FD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2027 H2</w:t>
            </w:r>
          </w:p>
        </w:tc>
        <w:tc>
          <w:tcPr>
            <w:tcW w:w="1813" w:type="dxa"/>
          </w:tcPr>
          <w:p w14:paraId="44FA7CA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55.0</w:t>
            </w:r>
          </w:p>
        </w:tc>
        <w:tc>
          <w:tcPr>
            <w:tcW w:w="1813" w:type="dxa"/>
          </w:tcPr>
          <w:p w14:paraId="60B3AA8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算力 57.6 + 降本 150.4 + 产业链 44.0 + 营收 33.0</w:t>
            </w:r>
          </w:p>
        </w:tc>
        <w:tc>
          <w:tcPr>
            <w:tcW w:w="1813" w:type="dxa"/>
          </w:tcPr>
          <w:p w14:paraId="1435FA9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285.0</w:t>
            </w:r>
          </w:p>
        </w:tc>
        <w:tc>
          <w:tcPr>
            <w:tcW w:w="1813" w:type="dxa"/>
          </w:tcPr>
          <w:p w14:paraId="3F2960E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230.0</w:t>
            </w:r>
          </w:p>
        </w:tc>
      </w:tr>
      <w:tr w14:paraId="609D78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70A215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48A5A"/>
                <w:sz w:val="22"/>
              </w:rPr>
              <w:t>合计</w:t>
            </w:r>
          </w:p>
        </w:tc>
        <w:tc>
          <w:tcPr>
            <w:tcW w:w="1813" w:type="dxa"/>
          </w:tcPr>
          <w:p w14:paraId="2AD6878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48A5A"/>
                <w:sz w:val="22"/>
              </w:rPr>
              <w:t>200.0</w:t>
            </w:r>
          </w:p>
        </w:tc>
        <w:tc>
          <w:tcPr>
            <w:tcW w:w="1813" w:type="dxa"/>
          </w:tcPr>
          <w:p w14:paraId="7A2449A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8A5A"/>
                <w:sz w:val="22"/>
              </w:rPr>
              <w:t>—</w:t>
            </w:r>
          </w:p>
        </w:tc>
        <w:tc>
          <w:tcPr>
            <w:tcW w:w="1813" w:type="dxa"/>
          </w:tcPr>
          <w:p w14:paraId="196640A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48A5A"/>
                <w:sz w:val="22"/>
              </w:rPr>
              <w:t>628.8</w:t>
            </w:r>
          </w:p>
        </w:tc>
        <w:tc>
          <w:tcPr>
            <w:tcW w:w="1813" w:type="dxa"/>
          </w:tcPr>
          <w:p w14:paraId="3A24412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48A5A"/>
                <w:sz w:val="22"/>
              </w:rPr>
              <w:t>428.8</w:t>
            </w:r>
          </w:p>
        </w:tc>
      </w:tr>
    </w:tbl>
    <w:p w14:paraId="501636AF">
      <w:pPr>
        <w:pStyle w:val="4"/>
      </w:pPr>
      <w:r>
        <w:rPr>
          <w:rFonts w:ascii="微软雅黑" w:hAnsi="微软雅黑" w:eastAsia="微软雅黑"/>
          <w:color w:val="0E4DC4"/>
          <w:sz w:val="30"/>
        </w:rPr>
        <w:t>7.3 NPV 与 IRR 计算</w:t>
      </w:r>
    </w:p>
    <w:p w14:paraId="6E013B2A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折现率 r = 8%，按半年为一个周期（半年折现因子 = 1/(1.08^0.5) ≈ 0.962）：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1D0E0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EBE616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w="3022" w:type="dxa"/>
          </w:tcPr>
          <w:p w14:paraId="11BCE4C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计算</w:t>
            </w:r>
          </w:p>
        </w:tc>
        <w:tc>
          <w:tcPr>
            <w:tcW w:w="3022" w:type="dxa"/>
          </w:tcPr>
          <w:p w14:paraId="62CA644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结果</w:t>
            </w:r>
          </w:p>
        </w:tc>
      </w:tr>
      <w:tr w14:paraId="51C715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21F88E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NPV</w:t>
            </w:r>
          </w:p>
        </w:tc>
        <w:tc>
          <w:tcPr>
            <w:tcW w:w="3022" w:type="dxa"/>
          </w:tcPr>
          <w:p w14:paraId="710ACAD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60.2×0.962 + 138.6×0.925 + 230.0×0.889 − 90.0×0.962（注：投入期初）</w:t>
            </w:r>
          </w:p>
        </w:tc>
        <w:tc>
          <w:tcPr>
            <w:tcW w:w="3022" w:type="dxa"/>
          </w:tcPr>
          <w:p w14:paraId="33FAA75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约 318.5 万元</w:t>
            </w:r>
          </w:p>
        </w:tc>
      </w:tr>
      <w:tr w14:paraId="72A662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23E43C5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IRR</w:t>
            </w:r>
          </w:p>
        </w:tc>
        <w:tc>
          <w:tcPr>
            <w:tcW w:w="3022" w:type="dxa"/>
          </w:tcPr>
          <w:p w14:paraId="047DDED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使 NPV = 0 的折现率</w:t>
            </w:r>
          </w:p>
        </w:tc>
        <w:tc>
          <w:tcPr>
            <w:tcW w:w="3022" w:type="dxa"/>
          </w:tcPr>
          <w:p w14:paraId="03207EB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&gt; 80%</w:t>
            </w:r>
          </w:p>
        </w:tc>
      </w:tr>
      <w:tr w14:paraId="02F2C2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4C8036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投资回收期</w:t>
            </w:r>
          </w:p>
        </w:tc>
        <w:tc>
          <w:tcPr>
            <w:tcW w:w="3022" w:type="dxa"/>
          </w:tcPr>
          <w:p w14:paraId="7FF2AA2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累计净现金流首次转正的时点</w:t>
            </w:r>
          </w:p>
        </w:tc>
        <w:tc>
          <w:tcPr>
            <w:tcW w:w="3022" w:type="dxa"/>
          </w:tcPr>
          <w:p w14:paraId="3D4A241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约 6 个月（2027 年初即转正）</w:t>
            </w:r>
          </w:p>
        </w:tc>
      </w:tr>
    </w:tbl>
    <w:p w14:paraId="7BAA5C1B">
      <w:pPr>
        <w:spacing w:after="160" w:line="360" w:lineRule="auto"/>
        <w:ind w:firstLine="440"/>
      </w:pPr>
      <w:r>
        <w:rPr>
          <w:rFonts w:ascii="微软雅黑" w:hAnsi="微软雅黑" w:eastAsia="微软雅黑"/>
          <w:b/>
          <w:color w:val="148A5A"/>
          <w:sz w:val="22"/>
        </w:rPr>
        <w:t>结论：NPV ≈ 318.5 万元 &gt; 0，IRR &gt; 80% &gt; 8%（折现率），投资回收期约 6 个月，项目经济效益良好，投资可行性高。</w:t>
      </w:r>
    </w:p>
    <w:p w14:paraId="099EC9B3">
      <w:r>
        <w:br w:type="page"/>
      </w:r>
    </w:p>
    <w:p w14:paraId="1FF9DDD4">
      <w:pPr>
        <w:pStyle w:val="3"/>
      </w:pPr>
      <w:r>
        <w:rPr>
          <w:rFonts w:ascii="微软雅黑" w:hAnsi="微软雅黑" w:eastAsia="微软雅黑"/>
          <w:color w:val="0E4DC4"/>
          <w:sz w:val="36"/>
        </w:rPr>
        <w:t>八、敏感性分析</w:t>
      </w:r>
    </w:p>
    <w:p w14:paraId="0F9003BD"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对关键参数进行敏感性分析，评估参数变动对净效益的影响。</w:t>
      </w:r>
    </w:p>
    <w:p w14:paraId="070E9BD1">
      <w:pPr>
        <w:pStyle w:val="4"/>
      </w:pPr>
      <w:r>
        <w:rPr>
          <w:rFonts w:ascii="微软雅黑" w:hAnsi="微软雅黑" w:eastAsia="微软雅黑"/>
          <w:color w:val="0E4DC4"/>
          <w:sz w:val="30"/>
        </w:rPr>
        <w:t>8.1 单因素敏感性分析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3B0458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AB82749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敏感因素</w:t>
            </w:r>
          </w:p>
        </w:tc>
        <w:tc>
          <w:tcPr>
            <w:tcW w:w="1813" w:type="dxa"/>
          </w:tcPr>
          <w:p w14:paraId="422C711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变动幅度</w:t>
            </w:r>
          </w:p>
        </w:tc>
        <w:tc>
          <w:tcPr>
            <w:tcW w:w="1813" w:type="dxa"/>
          </w:tcPr>
          <w:p w14:paraId="69B422D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净效益变动(万)</w:t>
            </w:r>
          </w:p>
        </w:tc>
        <w:tc>
          <w:tcPr>
            <w:tcW w:w="1813" w:type="dxa"/>
          </w:tcPr>
          <w:p w14:paraId="5A0A009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变动比例</w:t>
            </w:r>
          </w:p>
        </w:tc>
        <w:tc>
          <w:tcPr>
            <w:tcW w:w="1813" w:type="dxa"/>
          </w:tcPr>
          <w:p w14:paraId="31F1749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敏感度</w:t>
            </w:r>
          </w:p>
        </w:tc>
      </w:tr>
      <w:tr w14:paraId="2B25E3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C20BFE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算力租赁单价</w:t>
            </w:r>
          </w:p>
        </w:tc>
        <w:tc>
          <w:tcPr>
            <w:tcW w:w="1813" w:type="dxa"/>
          </w:tcPr>
          <w:p w14:paraId="1B489AA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+20%</w:t>
            </w:r>
          </w:p>
        </w:tc>
        <w:tc>
          <w:tcPr>
            <w:tcW w:w="1813" w:type="dxa"/>
          </w:tcPr>
          <w:p w14:paraId="4902F44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+28.8</w:t>
            </w:r>
          </w:p>
        </w:tc>
        <w:tc>
          <w:tcPr>
            <w:tcW w:w="1813" w:type="dxa"/>
          </w:tcPr>
          <w:p w14:paraId="2E68057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+6.7%</w:t>
            </w:r>
          </w:p>
        </w:tc>
        <w:tc>
          <w:tcPr>
            <w:tcW w:w="1813" w:type="dxa"/>
          </w:tcPr>
          <w:p w14:paraId="2D87582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E4DC4"/>
                <w:sz w:val="19"/>
              </w:rPr>
              <w:t>中</w:t>
            </w:r>
          </w:p>
        </w:tc>
      </w:tr>
      <w:tr w14:paraId="61C40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259211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算力租赁单价</w:t>
            </w:r>
          </w:p>
        </w:tc>
        <w:tc>
          <w:tcPr>
            <w:tcW w:w="1813" w:type="dxa"/>
          </w:tcPr>
          <w:p w14:paraId="7739970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-20%</w:t>
            </w:r>
          </w:p>
        </w:tc>
        <w:tc>
          <w:tcPr>
            <w:tcW w:w="1813" w:type="dxa"/>
          </w:tcPr>
          <w:p w14:paraId="4E357BC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-28.8</w:t>
            </w:r>
          </w:p>
        </w:tc>
        <w:tc>
          <w:tcPr>
            <w:tcW w:w="1813" w:type="dxa"/>
          </w:tcPr>
          <w:p w14:paraId="64404F0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-6.7%</w:t>
            </w:r>
          </w:p>
        </w:tc>
        <w:tc>
          <w:tcPr>
            <w:tcW w:w="1813" w:type="dxa"/>
          </w:tcPr>
          <w:p w14:paraId="62783749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E4DC4"/>
                <w:sz w:val="19"/>
              </w:rPr>
              <w:t>中</w:t>
            </w:r>
          </w:p>
        </w:tc>
      </w:tr>
      <w:tr w14:paraId="1973EF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17C505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课件制作成本</w:t>
            </w:r>
          </w:p>
        </w:tc>
        <w:tc>
          <w:tcPr>
            <w:tcW w:w="1813" w:type="dxa"/>
          </w:tcPr>
          <w:p w14:paraId="5013C16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+20%</w:t>
            </w:r>
          </w:p>
        </w:tc>
        <w:tc>
          <w:tcPr>
            <w:tcW w:w="1813" w:type="dxa"/>
          </w:tcPr>
          <w:p w14:paraId="759DA38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+39.2</w:t>
            </w:r>
          </w:p>
        </w:tc>
        <w:tc>
          <w:tcPr>
            <w:tcW w:w="1813" w:type="dxa"/>
          </w:tcPr>
          <w:p w14:paraId="72D9852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+9.1%</w:t>
            </w:r>
          </w:p>
        </w:tc>
        <w:tc>
          <w:tcPr>
            <w:tcW w:w="1813" w:type="dxa"/>
          </w:tcPr>
          <w:p w14:paraId="09100F8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86A1A"/>
                <w:sz w:val="19"/>
              </w:rPr>
              <w:t>高</w:t>
            </w:r>
          </w:p>
        </w:tc>
      </w:tr>
      <w:tr w14:paraId="228AA5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2A486A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课件制作成本</w:t>
            </w:r>
          </w:p>
        </w:tc>
        <w:tc>
          <w:tcPr>
            <w:tcW w:w="1813" w:type="dxa"/>
          </w:tcPr>
          <w:p w14:paraId="1926F8E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-20%</w:t>
            </w:r>
          </w:p>
        </w:tc>
        <w:tc>
          <w:tcPr>
            <w:tcW w:w="1813" w:type="dxa"/>
          </w:tcPr>
          <w:p w14:paraId="0D69D12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-39.2</w:t>
            </w:r>
          </w:p>
        </w:tc>
        <w:tc>
          <w:tcPr>
            <w:tcW w:w="1813" w:type="dxa"/>
          </w:tcPr>
          <w:p w14:paraId="1EB3E27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-9.1%</w:t>
            </w:r>
          </w:p>
        </w:tc>
        <w:tc>
          <w:tcPr>
            <w:tcW w:w="1813" w:type="dxa"/>
          </w:tcPr>
          <w:p w14:paraId="669CB09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86A1A"/>
                <w:sz w:val="19"/>
              </w:rPr>
              <w:t>高</w:t>
            </w:r>
          </w:p>
        </w:tc>
      </w:tr>
      <w:tr w14:paraId="4955CF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4EE5CB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覆盖院校数</w:t>
            </w:r>
          </w:p>
        </w:tc>
        <w:tc>
          <w:tcPr>
            <w:tcW w:w="1813" w:type="dxa"/>
          </w:tcPr>
          <w:p w14:paraId="393E87D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+50%</w:t>
            </w:r>
          </w:p>
        </w:tc>
        <w:tc>
          <w:tcPr>
            <w:tcW w:w="1813" w:type="dxa"/>
          </w:tcPr>
          <w:p w14:paraId="68D2EC3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+146.0</w:t>
            </w:r>
          </w:p>
        </w:tc>
        <w:tc>
          <w:tcPr>
            <w:tcW w:w="1813" w:type="dxa"/>
          </w:tcPr>
          <w:p w14:paraId="509A8C3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+34.0%</w:t>
            </w:r>
          </w:p>
        </w:tc>
        <w:tc>
          <w:tcPr>
            <w:tcW w:w="1813" w:type="dxa"/>
          </w:tcPr>
          <w:p w14:paraId="0134338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86A1A"/>
                <w:sz w:val="19"/>
              </w:rPr>
              <w:t>高</w:t>
            </w:r>
          </w:p>
        </w:tc>
      </w:tr>
      <w:tr w14:paraId="47649B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DDAAFA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覆盖院校数</w:t>
            </w:r>
          </w:p>
        </w:tc>
        <w:tc>
          <w:tcPr>
            <w:tcW w:w="1813" w:type="dxa"/>
          </w:tcPr>
          <w:p w14:paraId="6617D74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-50%</w:t>
            </w:r>
          </w:p>
        </w:tc>
        <w:tc>
          <w:tcPr>
            <w:tcW w:w="1813" w:type="dxa"/>
          </w:tcPr>
          <w:p w14:paraId="39CDC08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-146.0</w:t>
            </w:r>
          </w:p>
        </w:tc>
        <w:tc>
          <w:tcPr>
            <w:tcW w:w="1813" w:type="dxa"/>
          </w:tcPr>
          <w:p w14:paraId="551ECDA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-34.0%</w:t>
            </w:r>
          </w:p>
        </w:tc>
        <w:tc>
          <w:tcPr>
            <w:tcW w:w="1813" w:type="dxa"/>
          </w:tcPr>
          <w:p w14:paraId="51F6D41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86A1A"/>
                <w:sz w:val="19"/>
              </w:rPr>
              <w:t>高</w:t>
            </w:r>
          </w:p>
        </w:tc>
      </w:tr>
      <w:tr w14:paraId="74B865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DAC4A8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产业带动系数</w:t>
            </w:r>
          </w:p>
        </w:tc>
        <w:tc>
          <w:tcPr>
            <w:tcW w:w="1813" w:type="dxa"/>
          </w:tcPr>
          <w:p w14:paraId="4167E4E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+20%</w:t>
            </w:r>
          </w:p>
        </w:tc>
        <w:tc>
          <w:tcPr>
            <w:tcW w:w="1813" w:type="dxa"/>
          </w:tcPr>
          <w:p w14:paraId="27081B8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+32.0</w:t>
            </w:r>
          </w:p>
        </w:tc>
        <w:tc>
          <w:tcPr>
            <w:tcW w:w="1813" w:type="dxa"/>
          </w:tcPr>
          <w:p w14:paraId="0ACB799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+7.5%</w:t>
            </w:r>
          </w:p>
        </w:tc>
        <w:tc>
          <w:tcPr>
            <w:tcW w:w="1813" w:type="dxa"/>
          </w:tcPr>
          <w:p w14:paraId="743CD06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E4DC4"/>
                <w:sz w:val="19"/>
              </w:rPr>
              <w:t>中</w:t>
            </w:r>
          </w:p>
        </w:tc>
      </w:tr>
      <w:tr w14:paraId="194FD4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F17CF2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产业带动系数</w:t>
            </w:r>
          </w:p>
        </w:tc>
        <w:tc>
          <w:tcPr>
            <w:tcW w:w="1813" w:type="dxa"/>
          </w:tcPr>
          <w:p w14:paraId="2648E51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-20%</w:t>
            </w:r>
          </w:p>
        </w:tc>
        <w:tc>
          <w:tcPr>
            <w:tcW w:w="1813" w:type="dxa"/>
          </w:tcPr>
          <w:p w14:paraId="7E8D993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-32.0</w:t>
            </w:r>
          </w:p>
        </w:tc>
        <w:tc>
          <w:tcPr>
            <w:tcW w:w="1813" w:type="dxa"/>
          </w:tcPr>
          <w:p w14:paraId="40C16D9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-7.5%</w:t>
            </w:r>
          </w:p>
        </w:tc>
        <w:tc>
          <w:tcPr>
            <w:tcW w:w="1813" w:type="dxa"/>
          </w:tcPr>
          <w:p w14:paraId="650CCB9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E4DC4"/>
                <w:sz w:val="19"/>
              </w:rPr>
              <w:t>中</w:t>
            </w:r>
          </w:p>
        </w:tc>
      </w:tr>
      <w:tr w14:paraId="2F0CC7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C74C71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平台订阅费</w:t>
            </w:r>
          </w:p>
        </w:tc>
        <w:tc>
          <w:tcPr>
            <w:tcW w:w="1813" w:type="dxa"/>
          </w:tcPr>
          <w:p w14:paraId="49716CA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+50%</w:t>
            </w:r>
          </w:p>
        </w:tc>
        <w:tc>
          <w:tcPr>
            <w:tcW w:w="1813" w:type="dxa"/>
          </w:tcPr>
          <w:p w14:paraId="75AFE32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+11.25</w:t>
            </w:r>
          </w:p>
        </w:tc>
        <w:tc>
          <w:tcPr>
            <w:tcW w:w="1813" w:type="dxa"/>
          </w:tcPr>
          <w:p w14:paraId="21E5354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+2.6%</w:t>
            </w:r>
          </w:p>
        </w:tc>
        <w:tc>
          <w:tcPr>
            <w:tcW w:w="1813" w:type="dxa"/>
          </w:tcPr>
          <w:p w14:paraId="07E9C9A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低</w:t>
            </w:r>
          </w:p>
        </w:tc>
      </w:tr>
      <w:tr w14:paraId="44AE6F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47C630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平台订阅费</w:t>
            </w:r>
          </w:p>
        </w:tc>
        <w:tc>
          <w:tcPr>
            <w:tcW w:w="1813" w:type="dxa"/>
          </w:tcPr>
          <w:p w14:paraId="682A6BA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-50%</w:t>
            </w:r>
          </w:p>
        </w:tc>
        <w:tc>
          <w:tcPr>
            <w:tcW w:w="1813" w:type="dxa"/>
          </w:tcPr>
          <w:p w14:paraId="794D461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-11.25</w:t>
            </w:r>
          </w:p>
        </w:tc>
        <w:tc>
          <w:tcPr>
            <w:tcW w:w="1813" w:type="dxa"/>
          </w:tcPr>
          <w:p w14:paraId="557DD92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-2.6%</w:t>
            </w:r>
          </w:p>
        </w:tc>
        <w:tc>
          <w:tcPr>
            <w:tcW w:w="1813" w:type="dxa"/>
          </w:tcPr>
          <w:p w14:paraId="5A76E14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低</w:t>
            </w:r>
          </w:p>
        </w:tc>
      </w:tr>
    </w:tbl>
    <w:p w14:paraId="1842A00F">
      <w:pPr>
        <w:pStyle w:val="4"/>
      </w:pPr>
      <w:r>
        <w:rPr>
          <w:rFonts w:ascii="微软雅黑" w:hAnsi="微软雅黑" w:eastAsia="微软雅黑"/>
          <w:color w:val="0E4DC4"/>
          <w:sz w:val="30"/>
        </w:rPr>
        <w:t>8.2 敏感性分析结论</w:t>
      </w:r>
    </w:p>
    <w:p w14:paraId="5AE85337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最敏感因素为"覆盖院校数"（±34%），其次为"课件制作成本"（±9.1%），需重点保障推广规模与课件替代率；</w:t>
      </w:r>
    </w:p>
    <w:p w14:paraId="632EE23B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算力租赁单价与产业带动系数敏感度中等（±6-7%），对效益有一定影响但可控；</w:t>
      </w:r>
    </w:p>
    <w:p w14:paraId="49FDD6E0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平台订阅费敏感度较低（±2.6%），对效益影响有限；</w:t>
      </w:r>
    </w:p>
    <w:p w14:paraId="236A3C45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在悲观情景（覆盖院校数 -50%）下，净效益仍约 282.8 万元，项目保持正收益，具备抗风险能力。</w:t>
      </w:r>
    </w:p>
    <w:p w14:paraId="4468E99E">
      <w:pPr>
        <w:pStyle w:val="3"/>
      </w:pPr>
      <w:r>
        <w:rPr>
          <w:rFonts w:ascii="微软雅黑" w:hAnsi="微软雅黑" w:eastAsia="微软雅黑"/>
          <w:color w:val="0E4DC4"/>
          <w:sz w:val="36"/>
        </w:rPr>
        <w:t>九、结论与建议</w:t>
      </w:r>
    </w:p>
    <w:p w14:paraId="2EFCA8FF">
      <w:pPr>
        <w:pStyle w:val="4"/>
      </w:pPr>
      <w:r>
        <w:rPr>
          <w:rFonts w:ascii="微软雅黑" w:hAnsi="微软雅黑" w:eastAsia="微软雅黑"/>
          <w:color w:val="0E4DC4"/>
          <w:sz w:val="30"/>
        </w:rPr>
        <w:t>9.1 测算结论</w:t>
      </w:r>
    </w:p>
    <w:p w14:paraId="77961098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项目 1.5 年总投入 200.0 万元，总产出效益 628.8 万元，净效益 428.8 万元，投入产出比 3.14:1；</w:t>
      </w:r>
    </w:p>
    <w:p w14:paraId="3F858FC1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NPV ≈ 318.5 万元，IRR &gt; 80%，投资回收期约 6 个月，经济效益良好；</w:t>
      </w:r>
    </w:p>
    <w:p w14:paraId="61D0AF73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社会效益覆盖 8 所院校、5,000 师生，技能提升率 18%-28%，有效填平地域与师资鸿沟；</w:t>
      </w:r>
    </w:p>
    <w:p w14:paraId="741E52E4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有效消纳昌吉州算力资源 144.0 万元，推动"东数西算"价值变现；</w:t>
      </w:r>
    </w:p>
    <w:p w14:paraId="3E1CA262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带动产业链 160.0 万元，形成"算力 + AI 职教"创新产业生态雏形。</w:t>
      </w:r>
    </w:p>
    <w:p w14:paraId="22B04BE9">
      <w:pPr>
        <w:pStyle w:val="4"/>
      </w:pPr>
      <w:r>
        <w:rPr>
          <w:rFonts w:ascii="微软雅黑" w:hAnsi="微软雅黑" w:eastAsia="微软雅黑"/>
          <w:color w:val="0E4DC4"/>
          <w:sz w:val="30"/>
        </w:rPr>
        <w:t>9.2 实施建议</w:t>
      </w:r>
    </w:p>
    <w:p w14:paraId="29AA5261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优先保障推广规模：覆盖院校数是最大敏感因素，建议加大市场拓展力度，确保 2027 年达 8 所；</w:t>
      </w:r>
    </w:p>
    <w:p w14:paraId="6FF2B63A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强化课件替代率：课件制作降本是核心收益来源，建议持续优化 AI 工具易用性，提升教师独立创作率；</w:t>
      </w:r>
    </w:p>
    <w:p w14:paraId="49958E5B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深化算力合作：与昌吉州智算中枢建立长期战略合作，争取算力资源倾斜与价格优惠；</w:t>
      </w:r>
    </w:p>
    <w:p w14:paraId="41611AAB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控制人力成本：以参赛核心团队为基础，采用兼职+全职结合模式，避免过度扩张；</w:t>
      </w:r>
    </w:p>
    <w:p w14:paraId="20F82CF1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加快出海布局：依托"一带一路"核心区优势，提前启动多语种平台建设，抢占技能出海先机；</w:t>
      </w:r>
    </w:p>
    <w:p w14:paraId="53AA7E31">
      <w:pPr>
        <w:pStyle w:val="16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建立持续监测：定期复盘效益指标，动态调整推广策略与资源配置。</w:t>
      </w:r>
    </w:p>
    <w:p w14:paraId="71B875B8"/>
    <w:p w14:paraId="3426846F">
      <w:pPr>
        <w:spacing w:before="600"/>
        <w:jc w:val="center"/>
      </w:pPr>
      <w:bookmarkStart w:id="0" w:name="_GoBack"/>
      <w:bookmarkEnd w:id="0"/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56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2566</Words>
  <Characters>2956</Characters>
  <Lines>0</Lines>
  <Paragraphs>0</Paragraphs>
  <TotalTime>0</TotalTime>
  <ScaleCrop>false</ScaleCrop>
  <LinksUpToDate>false</LinksUpToDate>
  <CharactersWithSpaces>3285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爱飘飘的糖</cp:lastModifiedBy>
  <dcterms:modified xsi:type="dcterms:W3CDTF">2026-07-13T01:51:12Z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eyJoZGlkIjoiZGQ5OTE3NDVlYzk5NjkzNzY3YzM0NTFiN2FmZGMyYmEiLCJ1c2VySWQiOiIxMTM2OTgzNzkwIn0=</vt:lpwstr>
  </property>
  <property fmtid="{D5CDD505-2E9C-101B-9397-08002B2CF9AE}" pid="3" name="KSOProductBuildVer">
    <vt:lpwstr>2052-12.1.0.26895</vt:lpwstr>
  </property>
  <property fmtid="{D5CDD505-2E9C-101B-9397-08002B2CF9AE}" pid="4" name="ICV">
    <vt:lpwstr>7F91E730843F43A8816267C8CE6CD61B_12</vt:lpwstr>
  </property>
</Properties>
</file>