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0E4DC4"/>
          <w:sz w:val="72"/>
        </w:rPr>
        <w:t>落 地 实 施 方 案</w:t>
      </w:r>
    </w:p>
    <w:p>
      <w:pPr>
        <w:spacing w:before="400"/>
        <w:jc w:val="center"/>
      </w:pPr>
      <w:r>
        <w:rPr>
          <w:rFonts w:ascii="微软雅黑" w:hAnsi="微软雅黑" w:eastAsia="微软雅黑"/>
          <w:b/>
          <w:color w:val="1A2233"/>
          <w:sz w:val="44"/>
        </w:rPr>
        <w:t>AI 数字人工匠导师智能体</w:t>
      </w:r>
    </w:p>
    <w:p>
      <w:pPr>
        <w:jc w:val="center"/>
      </w:pPr>
      <w:r>
        <w:rPr>
          <w:rFonts w:ascii="微软雅黑" w:hAnsi="微软雅黑" w:eastAsia="微软雅黑"/>
          <w:color w:val="5A6A7A"/>
          <w:sz w:val="32"/>
        </w:rPr>
        <w:t>职业教育全栈元宇宙解决方案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0E4DC4"/>
                <w:sz w:val="24"/>
              </w:rPr>
              <w:t>参赛赛事</w:t>
            </w:r>
          </w:p>
        </w:tc>
        <w:tc>
          <w:tcPr>
            <w:tcW w:type="dxa" w:w="4535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4"/>
              </w:rPr>
              <w:t>昌吉州 AI 智能体创新应用大赛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0E4DC4"/>
                <w:sz w:val="24"/>
              </w:rPr>
              <w:t>参赛方向</w:t>
            </w:r>
          </w:p>
        </w:tc>
        <w:tc>
          <w:tcPr>
            <w:tcW w:type="dxa" w:w="4535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4"/>
              </w:rPr>
              <w:t>AI + 职业教育数字化实训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0E4DC4"/>
                <w:sz w:val="24"/>
              </w:rPr>
              <w:t>编制日期</w:t>
            </w:r>
          </w:p>
        </w:tc>
        <w:tc>
          <w:tcPr>
            <w:tcW w:type="dxa" w:w="4535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4"/>
              </w:rPr>
              <w:t>2026 年 7 月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0E4DC4"/>
                <w:sz w:val="24"/>
              </w:rPr>
              <w:t>文档版本</w:t>
            </w:r>
          </w:p>
        </w:tc>
        <w:tc>
          <w:tcPr>
            <w:tcW w:type="dxa" w:w="4535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4"/>
              </w:rPr>
              <w:t>V1.0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E4DC4"/>
          <w:sz w:val="36"/>
        </w:rPr>
        <w:t>目  录</w:t>
      </w:r>
    </w:p>
    <w:p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一、项目概述</w:t>
      </w:r>
    </w:p>
    <w:p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二、实施目标与原则</w:t>
      </w:r>
    </w:p>
    <w:p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三、总体实施路线</w:t>
      </w:r>
    </w:p>
    <w:p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四、实施时间表</w:t>
      </w:r>
    </w:p>
    <w:p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五、资源预算</w:t>
      </w:r>
    </w:p>
    <w:p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六、风险应对</w:t>
      </w:r>
    </w:p>
    <w:p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七、组织保障与分工</w:t>
      </w:r>
    </w:p>
    <w:p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八、质量管控与验收</w:t>
      </w:r>
    </w:p>
    <w:p>
      <w:pPr>
        <w:spacing w:after="160"/>
        <w:ind w:left="400"/>
      </w:pPr>
      <w:r>
        <w:rPr>
          <w:rFonts w:ascii="微软雅黑" w:hAnsi="微软雅黑" w:eastAsia="微软雅黑"/>
          <w:color w:val="1A2233"/>
          <w:sz w:val="26"/>
        </w:rPr>
        <w:t>九、可持续发展机制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E4DC4"/>
          <w:sz w:val="36"/>
        </w:rPr>
        <w:t>一、项目概述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1.1 项目背景</w:t>
      </w:r>
    </w:p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本项目紧扣昌吉州 AI 智能体创新应用大赛主题，结合昌吉州作为国家"东数西算"枢纽、国际融合算力中心的定位，聚焦现代职业教育数字化实训的核心痛点立项。当前职业教育与企业技能培训中，3D 实训内容创作门槛高，非专业教师难以独立完成；虚拟仿真教学局限于单机体验，缺乏高并发低延迟的多人协同机制，且交互刻板无个性化指导。</w:t>
      </w:r>
    </w:p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项目将 AI 技术与空间计算、WebGL2.0 渲染技术融合，打造 AI 数字人工匠导师智能体，既契合昌吉州算力资源优势，又能为本地职教和企业输送沉浸式实训平台，赋能数字经济与产业升级。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1.2 项目定位</w:t>
      </w:r>
    </w:p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项目定位为"一中心 · 三角色 · 全栈闭环"的 AI 职教元宇宙解决方案：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一中心：AI 工匠导师智能体，具备"感知-推理-执行"闭环能力；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三角色：智能讲师（AI 数字人授课）、智能助教（个性化伴学）、智能教研员（零门槛 3D 课件创作）；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全栈闭环：Web · Unity · VR 三端数据格式统一，创作-发布-学习-考核全流程闭环。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1.3 适用范围</w:t>
      </w:r>
    </w:p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本方案适用于昌吉州及全疆职业院校数字化实训建设、企业技能内训、高危特种作业虚拟实操等场景，并可作为"一带一路"技能出海的数字化载体。</w:t>
      </w:r>
    </w:p>
    <w:p>
      <w:pPr>
        <w:pStyle w:val="Heading1"/>
      </w:pPr>
      <w:r>
        <w:rPr>
          <w:rFonts w:ascii="微软雅黑" w:hAnsi="微软雅黑" w:eastAsia="微软雅黑"/>
          <w:color w:val="0E4DC4"/>
          <w:sz w:val="36"/>
        </w:rPr>
        <w:t>二、实施目标与原则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2.1 实施目标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color w:val="E86A1A"/>
          <w:sz w:val="22"/>
        </w:rPr>
        <w:t xml:space="preserve">目标 1：平台部署 —— </w:t>
      </w:r>
      <w:r>
        <w:rPr>
          <w:rFonts w:ascii="微软雅黑" w:hAnsi="微软雅黑" w:eastAsia="微软雅黑"/>
          <w:color w:val="1A2233"/>
          <w:sz w:val="22"/>
        </w:rPr>
        <w:t>完成 AI 智能体平台在昌吉州智算中枢的部署，实现云-边-端协同架构落地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color w:val="E86A1A"/>
          <w:sz w:val="22"/>
        </w:rPr>
        <w:t xml:space="preserve">目标 2：场景落地 —— </w:t>
      </w:r>
      <w:r>
        <w:rPr>
          <w:rFonts w:ascii="微软雅黑" w:hAnsi="微软雅黑" w:eastAsia="微软雅黑"/>
          <w:color w:val="1A2233"/>
          <w:sz w:val="22"/>
        </w:rPr>
        <w:t>遴选 2-3 所昌吉州职业院校作为试点，完成不少于 3 个专业的 3D 课件库建设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color w:val="E86A1A"/>
          <w:sz w:val="22"/>
        </w:rPr>
        <w:t xml:space="preserve">目标 3：能力验证 —— </w:t>
      </w:r>
      <w:r>
        <w:rPr>
          <w:rFonts w:ascii="微软雅黑" w:hAnsi="微软雅黑" w:eastAsia="微软雅黑"/>
          <w:color w:val="1A2233"/>
          <w:sz w:val="22"/>
        </w:rPr>
        <w:t>验证 50 人高并发协同、100ms 内音频延迟、分钟级 3D 课件生成等核心指标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color w:val="E86A1A"/>
          <w:sz w:val="22"/>
        </w:rPr>
        <w:t xml:space="preserve">目标 4：算力消纳 —— </w:t>
      </w:r>
      <w:r>
        <w:rPr>
          <w:rFonts w:ascii="微软雅黑" w:hAnsi="微软雅黑" w:eastAsia="微软雅黑"/>
          <w:color w:val="1A2233"/>
          <w:sz w:val="22"/>
        </w:rPr>
        <w:t>有效消纳昌吉州融合算力资源，形成"算力 + AI 职教"创新产业链雏形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color w:val="E86A1A"/>
          <w:sz w:val="22"/>
        </w:rPr>
        <w:t xml:space="preserve">目标 5：模式成型 —— </w:t>
      </w:r>
      <w:r>
        <w:rPr>
          <w:rFonts w:ascii="微软雅黑" w:hAnsi="微软雅黑" w:eastAsia="微软雅黑"/>
          <w:color w:val="1A2233"/>
          <w:sz w:val="22"/>
        </w:rPr>
        <w:t>形成可复制、可推广的职教数字化模式，2027 年推广至 8 所院校，为全疆推广奠定基础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2.2 实施原则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color w:val="0E4DC4"/>
          <w:sz w:val="22"/>
        </w:rPr>
        <w:t>● 算力优先：</w:t>
      </w:r>
      <w:r>
        <w:rPr>
          <w:rFonts w:ascii="微软雅黑" w:hAnsi="微软雅黑" w:eastAsia="微软雅黑"/>
          <w:color w:val="1A2233"/>
          <w:sz w:val="22"/>
        </w:rPr>
        <w:t>优先依托昌吉州本地算力底座，推动算力与职教场景深度融合，体现"东数西算"枢纽价值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color w:val="0E4DC4"/>
          <w:sz w:val="22"/>
        </w:rPr>
        <w:t>● 试点先行：</w:t>
      </w:r>
      <w:r>
        <w:rPr>
          <w:rFonts w:ascii="微软雅黑" w:hAnsi="微软雅黑" w:eastAsia="微软雅黑"/>
          <w:color w:val="1A2233"/>
          <w:sz w:val="22"/>
        </w:rPr>
        <w:t>以昌吉州本地职业院校为试点，验证模式后再规模化推广，降低实施风险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color w:val="0E4DC4"/>
          <w:sz w:val="22"/>
        </w:rPr>
        <w:t>● 安全合规：</w:t>
      </w:r>
      <w:r>
        <w:rPr>
          <w:rFonts w:ascii="微软雅黑" w:hAnsi="微软雅黑" w:eastAsia="微软雅黑"/>
          <w:color w:val="1A2233"/>
          <w:sz w:val="22"/>
        </w:rPr>
        <w:t>建立算法伦理围栏与人机协同管控机制，保障数据安全与系统合规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color w:val="0E4DC4"/>
          <w:sz w:val="22"/>
        </w:rPr>
        <w:t>● 普惠开放：</w:t>
      </w:r>
      <w:r>
        <w:rPr>
          <w:rFonts w:ascii="微软雅黑" w:hAnsi="微软雅黑" w:eastAsia="微软雅黑"/>
          <w:color w:val="1A2233"/>
          <w:sz w:val="22"/>
        </w:rPr>
        <w:t>全终端浏览器接入，无高端硬件依赖，确保偏远地区师生均可享受优质资源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color w:val="0E4DC4"/>
          <w:sz w:val="22"/>
        </w:rPr>
        <w:t>● 持续迭代：</w:t>
      </w:r>
      <w:r>
        <w:rPr>
          <w:rFonts w:ascii="微软雅黑" w:hAnsi="微软雅黑" w:eastAsia="微软雅黑"/>
          <w:color w:val="1A2233"/>
          <w:sz w:val="22"/>
        </w:rPr>
        <w:t>采用敏捷开发与持续交付模式，根据教学反馈快速迭代产品能力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E4DC4"/>
          <w:sz w:val="36"/>
        </w:rPr>
        <w:t>三、总体实施路线</w:t>
      </w:r>
    </w:p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项目总体采用"三阶段递进"实施路线，从标杆试点到区域复制再到出海输出，逐步扩大应用规模与影响力。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3.1 第一阶段：标杆示范（2026 H2）</w:t>
      </w:r>
    </w:p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以昌吉州本地职业院校为试点，完成平台部署与核心功能验证，打造区域数字职教标杆案例。重点完成云层智算中枢对接、3D 课件库建设、AI 智能体能力调优，并验证多人协同、低延迟通信等核心指标。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3.2 第二阶段：早期推广（2027）</w:t>
      </w:r>
    </w:p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在标杆案例验证成功的基础上，推广至 8 所昌吉州及全疆职业院校，完善多专业场景库，形成标准化部署方案。同步建立"政校企"协同生态雏形，为后续规模化推广奠定基础。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3.3 第三阶段：规模复制与出海（2028+）</w:t>
      </w:r>
    </w:p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在 8 所院校推广验证基础上，复制至全疆及西北更多职业院校，并依托新疆"一带一路"核心区定位，建设多语种实训平台，输出中国职业技能标准。</w:t>
      </w:r>
    </w:p>
    <w:p>
      <w:pPr>
        <w:pStyle w:val="Heading1"/>
      </w:pPr>
      <w:r>
        <w:rPr>
          <w:rFonts w:ascii="微软雅黑" w:hAnsi="微软雅黑" w:eastAsia="微软雅黑"/>
          <w:color w:val="0E4DC4"/>
          <w:sz w:val="36"/>
        </w:rPr>
        <w:t>四、实施时间表</w:t>
      </w:r>
    </w:p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以下为第一阶段（标杆示范阶段）的详细实施时间表，总周期 6 个月，分四个子阶段推进。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4.1 总体里程碑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266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时间区间</w:t>
            </w:r>
          </w:p>
        </w:tc>
        <w:tc>
          <w:tcPr>
            <w:tcW w:type="dxa" w:w="2266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核心任务</w:t>
            </w:r>
          </w:p>
        </w:tc>
        <w:tc>
          <w:tcPr>
            <w:tcW w:type="dxa" w:w="2266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交付物</w:t>
            </w:r>
          </w:p>
        </w:tc>
      </w:tr>
      <w:tr>
        <w:tc>
          <w:tcPr>
            <w:tcW w:type="dxa" w:w="2266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启动筹备</w:t>
            </w:r>
          </w:p>
        </w:tc>
        <w:tc>
          <w:tcPr>
            <w:tcW w:type="dxa" w:w="2266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第 1 月</w:t>
            </w:r>
          </w:p>
        </w:tc>
        <w:tc>
          <w:tcPr>
            <w:tcW w:type="dxa" w:w="226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需求调研、试点院校遴选、团队组建、算力资源对接</w:t>
            </w:r>
          </w:p>
        </w:tc>
        <w:tc>
          <w:tcPr>
            <w:tcW w:type="dxa" w:w="226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需求规格说明书、试点合作协议</w:t>
            </w:r>
          </w:p>
        </w:tc>
      </w:tr>
      <w:tr>
        <w:tc>
          <w:tcPr>
            <w:tcW w:type="dxa" w:w="2266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平台部署</w:t>
            </w:r>
          </w:p>
        </w:tc>
        <w:tc>
          <w:tcPr>
            <w:tcW w:type="dxa" w:w="2266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第 2-3 月</w:t>
            </w:r>
          </w:p>
        </w:tc>
        <w:tc>
          <w:tcPr>
            <w:tcW w:type="dxa" w:w="226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云层智算中枢部署、微服务搭建、CDN 边缘节点配置、端侧渲染引擎集成</w:t>
            </w:r>
          </w:p>
        </w:tc>
        <w:tc>
          <w:tcPr>
            <w:tcW w:type="dxa" w:w="226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平台部署完成报告、架构图</w:t>
            </w:r>
          </w:p>
        </w:tc>
      </w:tr>
      <w:tr>
        <w:tc>
          <w:tcPr>
            <w:tcW w:type="dxa" w:w="2266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内容建设</w:t>
            </w:r>
          </w:p>
        </w:tc>
        <w:tc>
          <w:tcPr>
            <w:tcW w:type="dxa" w:w="2266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第 4-5 月</w:t>
            </w:r>
          </w:p>
        </w:tc>
        <w:tc>
          <w:tcPr>
            <w:tcW w:type="dxa" w:w="226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3D 课件库建设、AI 智能体调优、教师培训、课件审核发布</w:t>
            </w:r>
          </w:p>
        </w:tc>
        <w:tc>
          <w:tcPr>
            <w:tcW w:type="dxa" w:w="226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课件库（≥3 专业）、培训记录</w:t>
            </w:r>
          </w:p>
        </w:tc>
      </w:tr>
      <w:tr>
        <w:tc>
          <w:tcPr>
            <w:tcW w:type="dxa" w:w="2266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试点验证</w:t>
            </w:r>
          </w:p>
        </w:tc>
        <w:tc>
          <w:tcPr>
            <w:tcW w:type="dxa" w:w="2266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第 6 月</w:t>
            </w:r>
          </w:p>
        </w:tc>
        <w:tc>
          <w:tcPr>
            <w:tcW w:type="dxa" w:w="226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教学试运行、性能指标测试、用户反馈收集、案例总结</w:t>
            </w:r>
          </w:p>
        </w:tc>
        <w:tc>
          <w:tcPr>
            <w:tcW w:type="dxa" w:w="2266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测试报告、标杆案例报告</w:t>
            </w:r>
          </w:p>
        </w:tc>
      </w:tr>
      <w:tr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</w:tbl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4.2 详细任务时间表（甘特图数据）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813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任务名称</w:t>
            </w:r>
          </w:p>
        </w:tc>
        <w:tc>
          <w:tcPr>
            <w:tcW w:type="dxa" w:w="1813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时间区间</w:t>
            </w:r>
          </w:p>
        </w:tc>
        <w:tc>
          <w:tcPr>
            <w:tcW w:type="dxa" w:w="1813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责任人</w:t>
            </w:r>
          </w:p>
        </w:tc>
        <w:tc>
          <w:tcPr>
            <w:tcW w:type="dxa" w:w="1813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T1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需求调研与院校遴选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第1月第1-2周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产品经理</w:t>
            </w:r>
          </w:p>
        </w:tc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完成</w:t>
            </w:r>
          </w:p>
        </w:tc>
      </w:tr>
      <w:tr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T2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算力资源对接与协议签署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第1月第3-4周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项目经理</w:t>
            </w:r>
          </w:p>
        </w:tc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完成</w:t>
            </w:r>
          </w:p>
        </w:tc>
      </w:tr>
      <w:tr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T3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云层智算中枢环境部署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第2月第1-2周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运维团队</w:t>
            </w:r>
          </w:p>
        </w:tc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关键里程碑</w:t>
            </w:r>
          </w:p>
        </w:tc>
      </w:tr>
      <w:tr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T4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微服务后端搭建与联调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第2月第3-4周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后端团队</w:t>
            </w:r>
          </w:p>
        </w:tc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关键里程碑</w:t>
            </w:r>
          </w:p>
        </w:tc>
      </w:tr>
      <w:tr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T5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CDN 边缘节点配置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第3月第1周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运维团队</w:t>
            </w:r>
          </w:p>
        </w:tc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完成</w:t>
            </w:r>
          </w:p>
        </w:tc>
      </w:tr>
      <w:tr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T6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Web 端渲染引擎集成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第3月第2-3周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前端团队</w:t>
            </w:r>
          </w:p>
        </w:tc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关键里程碑</w:t>
            </w:r>
          </w:p>
        </w:tc>
      </w:tr>
      <w:tr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T7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Unity/VR 客户端对接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第3月第4周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客户端团队</w:t>
            </w:r>
          </w:p>
        </w:tc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完成</w:t>
            </w:r>
          </w:p>
        </w:tc>
      </w:tr>
      <w:tr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T8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AI 大模型接入与调优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第4月第1-2周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AI 团队</w:t>
            </w:r>
          </w:p>
        </w:tc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关键里程碑</w:t>
            </w:r>
          </w:p>
        </w:tc>
      </w:tr>
      <w:tr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T9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3D 课件库建设（3 专业）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第4月第3周-第5月第2周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内容团队</w:t>
            </w:r>
          </w:p>
        </w:tc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关键里程碑</w:t>
            </w:r>
          </w:p>
        </w:tc>
      </w:tr>
      <w:tr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T10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教师培训与课件审核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第5月第3-4周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教研团队</w:t>
            </w:r>
          </w:p>
        </w:tc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完成</w:t>
            </w:r>
          </w:p>
        </w:tc>
      </w:tr>
      <w:tr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T11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教学试运行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第6月第1-2周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试点院校</w:t>
            </w:r>
          </w:p>
        </w:tc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关键里程碑</w:t>
            </w:r>
          </w:p>
        </w:tc>
      </w:tr>
      <w:tr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T12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性能指标测试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第6月第3周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测试团队</w:t>
            </w:r>
          </w:p>
        </w:tc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完成</w:t>
            </w:r>
          </w:p>
        </w:tc>
      </w:tr>
      <w:tr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T13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案例总结与推广准备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第6月第4周</w:t>
            </w:r>
          </w:p>
        </w:tc>
        <w:tc>
          <w:tcPr>
            <w:tcW w:type="dxa" w:w="181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项目经理</w:t>
            </w:r>
          </w:p>
        </w:tc>
        <w:tc>
          <w:tcPr>
            <w:tcW w:type="dxa" w:w="181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完成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E4DC4"/>
          <w:sz w:val="36"/>
        </w:rPr>
        <w:t>五、资源预算</w:t>
      </w:r>
    </w:p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本预算覆盖标杆示范阶段（2026 H2，6 个月）所需的人力、算力、内容及运营资源，标杆阶段总预算 90 万元。后续早期推广阶段（2027 年）追加 110 万元，两阶段合计 200 万元。人力成本按参赛核心团队兼职+部分全职综合测算。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5.1 人力资源预算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人数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月数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月薪(万)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小计(万)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项目经理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6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1.0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6.0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统筹协调、进度管控（兼职）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AI 算法工程师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6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1.5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9.0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大模型接入、智能体调优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后端工程师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6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1.3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7.8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微服务、数据湖、API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前端工程师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2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6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1.2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14.4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Web 渲染引擎、编辑器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3D 内容工程师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4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1.0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4.0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3D 课件制作、模型转码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Unity/VR 工程师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4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1.2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4.8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Unity 客户端、VR 适配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运维工程师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6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0.8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4.8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部署、监控、扩容（兼职）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教研顾问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0.8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2.4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教学设计、课件审核（兼职）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测试工程师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2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1.0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2.0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性能测试、功能测试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E86A1A"/>
                <w:sz w:val="21"/>
              </w:rPr>
              <w:t>合计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E86A1A"/>
                <w:sz w:val="21"/>
              </w:rPr>
              <w:t>55.2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5.2 算力与基础设施预算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规格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单价(万)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小计(万)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昌吉州智算中枢算力租赁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GPU 推理实例 × 1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6 月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5.0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30.0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DeepSeek/QwenVL 推理（含补贴优惠价）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CDN 边缘节点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带宽 50Mbps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6 月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0.6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3.6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3D 资产分发加速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对象存储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 TB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6 月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0.15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0.9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3D 模型/课件存储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域名与 SSL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 套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 年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0.5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0.5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HTTPS 反向代理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E86A1A"/>
                <w:sz w:val="21"/>
              </w:rPr>
              <w:t>合计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E86A1A"/>
                <w:sz w:val="21"/>
              </w:rPr>
              <w:t>35.0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5.3 内容与运营费用预算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单价(万)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小计(万)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3D 模型与教研素材采购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—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—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5.0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5.0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3D 模型、教学素材、教研资料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试点院校合作经费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 所院校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—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1.0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3.0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试点部署配合、教师培训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差旅与调研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—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6 月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0.3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1.8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院校走访、需求调研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市场推广与案例宣传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—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2 月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0.6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1.2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9"/>
              </w:rPr>
              <w:t>标杆案例包装、宣传物料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E86A1A"/>
                <w:sz w:val="21"/>
              </w:rPr>
              <w:t>合计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E86A1A"/>
                <w:sz w:val="21"/>
              </w:rPr>
              <w:t>11.0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5.4 预算汇总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预算类别</w:t>
            </w:r>
          </w:p>
        </w:tc>
        <w:tc>
          <w:tcPr>
            <w:tcW w:type="dxa" w:w="3022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金额(万元)</w:t>
            </w:r>
          </w:p>
        </w:tc>
        <w:tc>
          <w:tcPr>
            <w:tcW w:type="dxa" w:w="3022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一、人力资源</w:t>
            </w:r>
          </w:p>
        </w:tc>
        <w:tc>
          <w:tcPr>
            <w:tcW w:type="dxa" w:w="3022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55.2</w:t>
            </w:r>
          </w:p>
        </w:tc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标杆阶段 6 月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二、算力与基础设施</w:t>
            </w:r>
          </w:p>
        </w:tc>
        <w:tc>
          <w:tcPr>
            <w:tcW w:type="dxa" w:w="3022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35.0</w:t>
            </w:r>
          </w:p>
        </w:tc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标杆阶段 6 月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三、内容与运营</w:t>
            </w:r>
          </w:p>
        </w:tc>
        <w:tc>
          <w:tcPr>
            <w:tcW w:type="dxa" w:w="3022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11.0</w:t>
            </w:r>
          </w:p>
        </w:tc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标杆阶段 6 月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color w:val="0E4DC4"/>
                <w:sz w:val="22"/>
              </w:rPr>
              <w:t>标杆示范阶段小计</w:t>
            </w:r>
          </w:p>
        </w:tc>
        <w:tc>
          <w:tcPr>
            <w:tcW w:type="dxa" w:w="3022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0E4DC4"/>
                <w:sz w:val="22"/>
              </w:rPr>
              <w:t>101.2</w:t>
            </w:r>
          </w:p>
        </w:tc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color w:val="0E4DC4"/>
                <w:sz w:val="22"/>
              </w:rPr>
              <w:t>2026 H2（注1）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color w:val="0E4DC4"/>
                <w:sz w:val="22"/>
              </w:rPr>
              <w:t>早期推广阶段</w:t>
            </w:r>
          </w:p>
        </w:tc>
        <w:tc>
          <w:tcPr>
            <w:tcW w:type="dxa" w:w="3022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0E4DC4"/>
                <w:sz w:val="22"/>
              </w:rPr>
              <w:t>98.8</w:t>
            </w:r>
          </w:p>
        </w:tc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color w:val="0E4DC4"/>
                <w:sz w:val="22"/>
              </w:rPr>
              <w:t>2027 年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color w:val="E86A1A"/>
                <w:sz w:val="22"/>
              </w:rPr>
              <w:t>总计</w:t>
            </w:r>
          </w:p>
        </w:tc>
        <w:tc>
          <w:tcPr>
            <w:tcW w:type="dxa" w:w="3022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E86A1A"/>
                <w:sz w:val="22"/>
              </w:rPr>
              <w:t>200.0</w:t>
            </w:r>
          </w:p>
        </w:tc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/>
                <w:color w:val="E86A1A"/>
                <w:sz w:val="22"/>
              </w:rPr>
              <w:t>1.5 年</w:t>
            </w:r>
          </w:p>
        </w:tc>
      </w:tr>
    </w:tbl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5A6A7A"/>
          <w:sz w:val="22"/>
        </w:rPr>
        <w:t>注1：标杆阶段三项合计约 101.2 万元，因部分岗位兼职折算及补贴优惠，实际支出以 90 万元为控制目标，差额通过参赛奖金及资源赞助弥补。早期推广阶段 98.8 万元含人力 50 万、算力 35 万、内容与运营 13.8 万。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E4DC4"/>
          <w:sz w:val="36"/>
        </w:rPr>
        <w:t>六、风险应对</w:t>
      </w:r>
    </w:p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项目实施过程中可能面临技术、市场、运营、合规等多维度风险，本节识别主要风险并制定针对性应对措施。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6.1 风险识别与应对矩阵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风险描述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风险等级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应对措施</w:t>
            </w:r>
          </w:p>
        </w:tc>
        <w:tc>
          <w:tcPr>
            <w:tcW w:type="dxa" w:w="1511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残余风险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R1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技术风险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高并发场景下渲染性能不达标，50 人同频出现卡顿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86A1A"/>
                <w:sz w:val="18"/>
              </w:rPr>
              <w:t>高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采用动态 LOD + 遮挡剔除 + 实例化渲染优化；预留压力测试阶段；配置弹性扩容机制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中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R2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技术风险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AI 大模型推理延迟过高，影响交互体验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中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采用昌吉州本地算力就近推理；模型量化压缩；关键结果缓存；流式输出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低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R3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技术风险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弱网环境下 3D 资产加载失败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中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CDN 边缘缓存 + 预加载策略；弱网降级方案；最低 2Mbps 可用保障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低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R4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市场风险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试点院校教师接受度低，3D 课件创作意愿不足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中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提供"文本→3D 课件"零门槛工具；安排专项培训；建立激励机制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低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R5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市场风险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昌吉州算力资源供给不足或价格波动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中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提前签署算力合作协议；预留备用云厂商；按需扩容控制成本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低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R6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运营风险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项目进度延期，关键里程碑无法按期达成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中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敏捷开发 + 周度进度跟踪；关键路径任务预留缓冲；建立升级预警机制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低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R7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运营风险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3D 课件内容质量不达标，不符合教学需求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中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教研顾问全程参与；建立课件审核流程；试点教师反馈迭代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低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R8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合规风险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数据安全与隐私合规问题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86A1A"/>
                <w:sz w:val="18"/>
              </w:rPr>
              <w:t>高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数据湖全生命周期治理；算法伦理围栏；人机协同管控；数据本地化存储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中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R9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合规风险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AI 生成内容存在错误或不当信息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中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教师审核发布机制；AI 输出内容标注；建立纠错反馈通道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低</w:t>
            </w:r>
          </w:p>
        </w:tc>
      </w:tr>
      <w:tr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R10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团队风险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核心技术人员流失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低</w:t>
            </w:r>
          </w:p>
        </w:tc>
        <w:tc>
          <w:tcPr>
            <w:tcW w:type="dxa" w:w="1511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关键技术文档化；岗位 AB 角；项目激励绑定；知识传承机制</w:t>
            </w:r>
          </w:p>
        </w:tc>
        <w:tc>
          <w:tcPr>
            <w:tcW w:type="dxa" w:w="151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18"/>
              </w:rPr>
              <w:t>低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6.2 风险监控机制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周度风险评审：每周项目例会同步风险状态，更新风险登记册；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指标预警：设置性能、进度、成本三类预警阈值，触发后自动升级；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应急响应：高风险事件 24 小时内启动应急响应，制定专项处置方案；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复盘改进：每月进行风险复盘，将应对经验沉淀为标准流程。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E4DC4"/>
          <w:sz w:val="36"/>
        </w:rPr>
        <w:t>七、组织保障与分工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7.1 组织架构</w:t>
      </w:r>
    </w:p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项目设立三级组织架构：决策层、管理层、执行层，确保决策高效、执行有力。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022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组织</w:t>
            </w:r>
          </w:p>
        </w:tc>
        <w:tc>
          <w:tcPr>
            <w:tcW w:type="dxa" w:w="3022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决策层</w:t>
            </w:r>
          </w:p>
        </w:tc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项目指导委员会</w:t>
            </w:r>
          </w:p>
        </w:tc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由参赛团队负责人、昌吉州算力中心代表、试点院校领导组成，负责重大决策与资源协调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管理层</w:t>
            </w:r>
          </w:p>
        </w:tc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项目管理办公室（PMO）</w:t>
            </w:r>
          </w:p>
        </w:tc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设项目经理 1 名，负责进度管控、风险管理、跨团队协调</w:t>
            </w:r>
          </w:p>
        </w:tc>
      </w:tr>
      <w:tr>
        <w:tc>
          <w:tcPr>
            <w:tcW w:type="dxa" w:w="3022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执行层</w:t>
            </w:r>
          </w:p>
        </w:tc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AI 算法组 / 后端组 / 前端组 / 内容组 / 运维组 / 测试组</w:t>
            </w:r>
          </w:p>
        </w:tc>
        <w:tc>
          <w:tcPr>
            <w:tcW w:type="dxa" w:w="302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0"/>
              </w:rPr>
              <w:t>各组分组长负责本组任务执行与质量交付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7.2 关键角色职责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533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核心职责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项目经理</w:t>
            </w:r>
          </w:p>
        </w:tc>
        <w:tc>
          <w:tcPr>
            <w:tcW w:type="dxa" w:w="453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总体统筹、进度管控、风险协调、对外沟通、里程碑验收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AI 算法组长</w:t>
            </w:r>
          </w:p>
        </w:tc>
        <w:tc>
          <w:tcPr>
            <w:tcW w:type="dxa" w:w="453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大模型选型与接入、智能体能力调优、多模态交互实现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后端组长</w:t>
            </w:r>
          </w:p>
        </w:tc>
        <w:tc>
          <w:tcPr>
            <w:tcW w:type="dxa" w:w="453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微服务架构、数据湖建设、API 设计、弹性扩容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前端组长</w:t>
            </w:r>
          </w:p>
        </w:tc>
        <w:tc>
          <w:tcPr>
            <w:tcW w:type="dxa" w:w="453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WebGL2.0 渲染引擎、3D 编辑器、播放器、WebXR 适配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内容组长</w:t>
            </w:r>
          </w:p>
        </w:tc>
        <w:tc>
          <w:tcPr>
            <w:tcW w:type="dxa" w:w="453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3D 课件制作、模型转码、教师培训、课件审核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运维组长</w:t>
            </w:r>
          </w:p>
        </w:tc>
        <w:tc>
          <w:tcPr>
            <w:tcW w:type="dxa" w:w="453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环境部署、CDN 配置、监控告警、安全保障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0E4DC4"/>
          <w:sz w:val="36"/>
        </w:rPr>
        <w:t>八、质量管控与验收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8.1 质量管控体系</w:t>
      </w:r>
    </w:p>
    <w:p>
      <w:pPr>
        <w:spacing w:after="120" w:line="360" w:lineRule="auto"/>
        <w:ind w:firstLine="440"/>
      </w:pPr>
      <w:r>
        <w:rPr>
          <w:rFonts w:ascii="微软雅黑" w:hAnsi="微软雅黑" w:eastAsia="微软雅黑"/>
          <w:b w:val="0"/>
          <w:color w:val="1A2233"/>
          <w:sz w:val="22"/>
        </w:rPr>
        <w:t>项目建立"三级质量管控"体系，确保交付物质量满足要求：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一级：组内自测 —— 开发人员完成开发后进行自测，确保基本功能可用；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二级：组间联调 —— 跨组联调测试，确保模块间接口与数据流通；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三级：用户验收 —— 试点院校教师与学生在真实教学场景中验收。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8.2 验收标准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验收维度</w:t>
            </w:r>
          </w:p>
        </w:tc>
        <w:tc>
          <w:tcPr>
            <w:tcW w:type="dxa" w:w="4533"/>
            <a:shd xmlns:a="http://schemas.openxmlformats.org/drawingml/2006/main" a:val="clear" a:color="auto" a:fill="0E4DC4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验收标准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功能完整性</w:t>
            </w:r>
          </w:p>
        </w:tc>
        <w:tc>
          <w:tcPr>
            <w:tcW w:type="dxa" w:w="453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六大核心模块全部上线，功能符合需求规格说明书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性能指标</w:t>
            </w:r>
          </w:p>
        </w:tc>
        <w:tc>
          <w:tcPr>
            <w:tcW w:type="dxa" w:w="453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50 人并发不卡顿；音频延迟&lt;100ms；白板同步&lt;50ms；Web 端 60FPS；VR 端 90FPS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内容质量</w:t>
            </w:r>
          </w:p>
        </w:tc>
        <w:tc>
          <w:tcPr>
            <w:tcW w:type="dxa" w:w="453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课件库覆盖≥3 个专业，每个专业≥10 个课件，教师审核通过率≥90%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用户体验</w:t>
            </w:r>
          </w:p>
        </w:tc>
        <w:tc>
          <w:tcPr>
            <w:tcW w:type="dxa" w:w="453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试点师生满意度评分≥4.0（满分 5 分）；关键操作响应≤200ms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安全合规</w:t>
            </w:r>
          </w:p>
        </w:tc>
        <w:tc>
          <w:tcPr>
            <w:tcW w:type="dxa" w:w="453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通过数据安全审计；算法伦理围栏生效；无高危漏洞</w:t>
            </w:r>
          </w:p>
        </w:tc>
      </w:tr>
      <w:tr>
        <w:tc>
          <w:tcPr>
            <w:tcW w:type="dxa" w:w="4533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文档完整</w:t>
            </w:r>
          </w:p>
        </w:tc>
        <w:tc>
          <w:tcPr>
            <w:tcW w:type="dxa" w:w="4533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2233"/>
                <w:sz w:val="21"/>
              </w:rPr>
              <w:t>部署手册、API 文档、用户手册、运维手册齐全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0E4DC4"/>
          <w:sz w:val="36"/>
        </w:rPr>
        <w:t>九、可持续发展机制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9.1 运营可持续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建立"平台 + 内容 + 服务"三位一体运营模式，平台订阅 + 内容分成 + 增值服务多元营收；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通过规模化推广降低边际成本，实现轻量化零边际成本生产；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建立教师创作者生态，激励教师贡献优质 3D 课件，形成内容飞轮。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9.2 技术可持续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跟踪 AI 大模型、WebXR、空间计算前沿技术，持续迭代产品能力；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建立模块化架构，新功能即插即用，避免技术债务积累；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沉淀技术资产，形成可复用的组件库与工具链。</w:t>
      </w:r>
    </w:p>
    <w:p>
      <w:pPr>
        <w:pStyle w:val="Heading2"/>
      </w:pPr>
      <w:r>
        <w:rPr>
          <w:rFonts w:ascii="微软雅黑" w:hAnsi="微软雅黑" w:eastAsia="微软雅黑"/>
          <w:color w:val="0E4DC4"/>
          <w:sz w:val="30"/>
        </w:rPr>
        <w:t>9.3 生态可持续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构建"政校企"协同生态，政府政策引导、学校场景验证、企业技术赋能；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联合昌吉州算力中心，打造"算力 + AI 职教"创新产业链；</w:t>
      </w:r>
    </w:p>
    <w:p>
      <w:pPr>
        <w:pStyle w:val="ListBullet"/>
        <w:spacing w:after="60" w:line="360" w:lineRule="auto"/>
      </w:pPr>
      <w:r>
        <w:rPr>
          <w:rFonts w:ascii="微软雅黑" w:hAnsi="微软雅黑" w:eastAsia="微软雅黑"/>
          <w:color w:val="1A2233"/>
          <w:sz w:val="22"/>
        </w:rPr>
        <w:t>开放平台能力，吸引上下游合作伙伴共建职教元宇宙生态。</w:t>
      </w:r>
    </w:p>
    <w:p/>
    <w:p>
      <w:pPr>
        <w:spacing w:before="600"/>
        <w:jc w:val="center"/>
      </w:pPr>
      <w:r>
        <w:rPr>
          <w:rFonts w:ascii="微软雅黑" w:hAnsi="微软雅黑" w:eastAsia="微软雅黑"/>
          <w:color w:val="5A6A7A"/>
          <w:sz w:val="24"/>
        </w:rPr>
        <w:t>— 本方案编制完毕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