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2"/>
          <w:szCs w:val="32"/>
        </w:rPr>
        <w:t xml:space="preserve">ITESO</w:t>
      </w:r>
    </w:p>
    <w:p>
      <w:pPr>
        <w:spacing w:after="60"/>
        <w:jc w:val="center"/>
      </w:pPr>
      <w:r>
        <w:rPr>
          <w:sz w:val="22"/>
          <w:szCs w:val="22"/>
        </w:rPr>
        <w:t xml:space="preserve">Instituto Tecnológico y de Estudios Superiores de Occidente</w:t>
      </w:r>
    </w:p>
    <w:p>
      <w:pPr>
        <w:pBdr>
          <w:bottom w:val="single" w:color="1F3864" w:sz="6" w:space="4"/>
        </w:pBdr>
        <w:spacing w:before="240" w:after="240"/>
        <w:jc w:val="center"/>
      </w:pPr>
      <w:r>
        <w:rPr>
          <w:b/>
          <w:bCs/>
          <w:sz w:val="30"/>
          <w:szCs w:val="30"/>
        </w:rPr>
        <w:t xml:space="preserve">Reporte de lectura 4</w:t>
      </w:r>
    </w:p>
    <w:p>
      <w:pPr>
        <w:spacing w:after="40"/>
      </w:pPr>
      <w:r>
        <w:rPr>
          <w:b/>
          <w:bCs/>
        </w:rPr>
        <w:t xml:space="preserve">Materia: </w:t>
      </w:r>
      <w:r>
        <w:t xml:space="preserve">Laboratorio de Desarrollo de Soluciones Tecnológicas</w:t>
      </w:r>
    </w:p>
    <w:p>
      <w:pPr>
        <w:spacing w:after="40"/>
      </w:pPr>
      <w:r>
        <w:rPr>
          <w:b/>
          <w:bCs/>
        </w:rPr>
        <w:t xml:space="preserve">Alumno: </w:t>
      </w:r>
      <w:r>
        <w:t xml:space="preserve">José Armando Melchor Soto</w:t>
      </w:r>
    </w:p>
    <w:p>
      <w:pPr>
        <w:spacing w:after="40"/>
      </w:pPr>
      <w:r>
        <w:rPr>
          <w:b/>
          <w:bCs/>
        </w:rPr>
        <w:t xml:space="preserve">Expediente: </w:t>
      </w:r>
      <w:r>
        <w:t xml:space="preserve">745697</w:t>
      </w:r>
    </w:p>
    <w:p>
      <w:pPr>
        <w:spacing w:after="40"/>
      </w:pPr>
      <w:r>
        <w:rPr>
          <w:b/>
          <w:bCs/>
        </w:rPr>
        <w:t xml:space="preserve">Proyecto: </w:t>
      </w:r>
      <w:r>
        <w:t xml:space="preserve">Beyond Fraud Detection: Uncovering Anomalous Financial Behavior Through Unsupervised Learning</w:t>
      </w:r>
    </w:p>
    <w:p>
      <w:pPr>
        <w:spacing w:after="40"/>
      </w:pPr>
      <w:r>
        <w:rPr>
          <w:b/>
          <w:bCs/>
        </w:rPr>
        <w:t xml:space="preserve">Autores del paper: </w:t>
      </w:r>
      <w:r>
        <w:t xml:space="preserve">J. A. Melchor Soto, R. Fortanell Canedo, E. C. Huerta e I. Téllez Antillón</w:t>
      </w:r>
    </w:p>
    <w:p>
      <w:pPr>
        <w:spacing w:after="40"/>
      </w:pPr>
      <w:r>
        <w:rPr>
          <w:b/>
          <w:bCs/>
        </w:rPr>
        <w:t xml:space="preserve">Fecha: </w:t>
      </w:r>
      <w:r>
        <w:t xml:space="preserve">octubre de 2026</w:t>
      </w:r>
    </w:p>
    <w:p>
      <w:pPr>
        <w:pStyle w:val="Heading1"/>
      </w:pPr>
      <w:r>
        <w:t xml:space="preserve">Resumen de las lecturas</w:t>
      </w:r>
    </w:p>
    <w:p>
      <w:pPr>
        <w:spacing w:after="120" w:line="276"/>
        <w:jc w:val="both"/>
      </w:pPr>
      <w:r>
        <w:t xml:space="preserve">Con el paper terminado, el reto ya no es encontrar transacciones inusuales, sino saber qué tanto podemos confiar en ellas y cómo explicarlas cuando no hay etiquetas de fraude. Para este reporte revisé tres lecturas nuevas: una revisión clásica sobre detección estadística de fraude, un estudio sobre cómo evaluar detectores de anomalías no supervisados y un artículo sobre cómo explicar las predicciones de un modelo.</w:t>
      </w:r>
    </w:p>
    <w:p>
      <w:pPr>
        <w:pStyle w:val="Heading1"/>
      </w:pPr>
      <w:r>
        <w:t xml:space="preserve">1. Bolton y Hand (2002)</w:t>
      </w:r>
    </w:p>
    <w:p>
      <w:pPr>
        <w:spacing w:after="120" w:line="276"/>
        <w:jc w:val="both"/>
      </w:pPr>
      <w:r>
        <w:t xml:space="preserve">Los autores revisan los métodos estadísticos que se usan para detectar fraude en tarjetas de crédito, lavado de dinero, telecomunicaciones y servicios médicos. Distinguen entre métodos supervisados, que aprenden de casos de fraude ya confirmados, y no supervisados, que buscan comportamientos que se alejan de lo normal. Su idea central es que un método no supervisado no prueba que exista fraude: solo genera una puntuación de sospecha que indica qué casos conviene revisar primero. También advierten que el fraude es poco frecuente y que los defraudadores cambian su forma de actuar cuando se sienten detectados.</w:t>
      </w:r>
    </w:p>
    <w:p>
      <w:pPr>
        <w:spacing w:after="120" w:line="276"/>
        <w:jc w:val="both"/>
      </w:pPr>
      <w:r>
        <w:t xml:space="preserve">Esta lectura respalda la forma en que planteamos el paper: las transacciones marcadas por Isolation Forest se describen como inusuales y no como fraude confirmado, y el puntaje se usa para ordenar la revisión. Es justo lo que proponemos en la discusión, al recomendar revisar las transacciones en orden de puntaje y tratar el umbral como un presupuesto de revisión.</w:t>
      </w:r>
    </w:p>
    <w:p>
      <w:pPr>
        <w:pStyle w:val="Heading1"/>
      </w:pPr>
      <w:r>
        <w:t xml:space="preserve">2. Campos et al. (2016)</w:t>
      </w:r>
    </w:p>
    <w:p>
      <w:pPr>
        <w:spacing w:after="120" w:line="276"/>
        <w:jc w:val="both"/>
      </w:pPr>
      <w:r>
        <w:t xml:space="preserve">Este artículo estudia cómo se evalúan los detectores de anomalías no supervisados. Comparan una docena de métodos basados en vecinos, como k-NN y LOF, sobre muchos conjuntos de datos y con varias métricas. Encuentran que el método "ganador" cambia según el conjunto de datos, los parámetros y la métrica que se use, y que algunas métricas dependen de cuántas anomalías hay en los datos. Por eso recomiendan reportar varias métricas y no confiar en una sola comparación.</w:t>
      </w:r>
    </w:p>
    <w:p>
      <w:pPr>
        <w:spacing w:after="120" w:line="276"/>
        <w:jc w:val="both"/>
      </w:pPr>
      <w:r>
        <w:t xml:space="preserve">En nuestro proyecto no podemos calcular métricas como AUC o precisión porque no tenemos etiquetas, así que evaluamos el modelo de forma indirecta con su estabilidad entre semillas, la evolución del umbral en el tiempo y la importancia de variables. Esta lectura confirma que la evaluación no supervisada es delicada incluso cuando sí hay etiquetas, y justifica que, como trabajo futuro, comparemos Isolation Forest con otros detectores antes de dar por hecho que es el mejor.</w:t>
      </w:r>
    </w:p>
    <w:p>
      <w:pPr>
        <w:pStyle w:val="Heading1"/>
      </w:pPr>
      <w:r>
        <w:t xml:space="preserve">3. Ribeiro, Singh y Guestrin (2016)</w:t>
      </w:r>
    </w:p>
    <w:p>
      <w:pPr>
        <w:spacing w:after="120" w:line="276"/>
        <w:jc w:val="both"/>
      </w:pPr>
      <w:r>
        <w:t xml:space="preserve">Los autores proponen LIME, un método que explica la predicción de cualquier modelo para un caso específico. La idea es generar variaciones pequeñas del caso, ver cómo cambia la predicción y ajustar un modelo simple que la imite solo en esa zona. Con experimentos muestran que las explicaciones ayudan a decidir si confiar en un modelo; por ejemplo, un clasificador que distinguía lobos de perros husky en realidad se fijaba en la nieve del fondo de la imagen.</w:t>
      </w:r>
    </w:p>
    <w:p>
      <w:pPr>
        <w:spacing w:after="120" w:line="276"/>
        <w:jc w:val="both"/>
      </w:pPr>
      <w:r>
        <w:t xml:space="preserve">En el paper usamos SHAP para entender qué variables mueven el puntaje de anomalía, y encontramos que el mes aparece como la variable más influyente, lo que refleja el cambio en el tiempo más que un comportamiento sospechoso. Esta lectura muestra por qué este tipo de explicaciones es importante: un modelo puede dar resultados que parecen razonables por motivos equivocados. Además, LIME sería una forma sencilla de explicar caso por caso las 16 transacciones que el modelo marcó en las diez ejecuciones.</w:t>
      </w:r>
    </w:p>
    <w:p>
      <w:pPr>
        <w:pStyle w:val="Heading1"/>
      </w:pPr>
      <w:r>
        <w:t xml:space="preserve">Relación con mi proyecto</w:t>
      </w:r>
    </w:p>
    <w:p>
      <w:pPr>
        <w:spacing w:after="120" w:line="276"/>
        <w:jc w:val="both"/>
      </w:pPr>
      <w:r>
        <w:t xml:space="preserve">En el paper analizamos 3,293 transacciones bancarias de Estados Unidos sin etiquetas de fraude con Isolation Forest. El modelo marca el 2% de las transacciones de entrenamiento, pero el 6.8% en el periodo de prueba; su orden de transacciones es estable entre diez ejecuciones, y las transacciones marcadas destacan sobre todo por su monto.</w:t>
      </w:r>
    </w:p>
    <w:p>
      <w:pPr>
        <w:spacing w:after="120" w:line="276"/>
        <w:jc w:val="both"/>
      </w:pPr>
      <w:r>
        <w:t xml:space="preserve">Las tres lecturas me dejan tres ideas. Primero, un puntaje de anomalía es una señal de sospecha que debe revisar una persona, no una prueba de fraude (Bolton y Hand). Segundo, sin etiquetas la evaluación tiene que ser indirecta y conviene comparar varios detectores (Campos et al.). Tercero, explicar el modelo es necesario para detectar cuándo acierta por las razones equivocadas (Ribeiro et al.). Estas ideas refuerzan las conclusiones del paper y el trabajo futuro que proponemos: revisar las anomalías más estables con analistas y usar esas revisiones como las primeras etiquetas del proyecto.</w:t>
      </w:r>
    </w:p>
    <w:p>
      <w:pPr>
        <w:pStyle w:val="Heading1"/>
      </w:pPr>
      <w:r>
        <w:t xml:space="preserve">Referencias</w:t>
      </w:r>
    </w:p>
    <w:p>
      <w:pPr>
        <w:spacing w:after="100"/>
        <w:ind w:left="720" w:hanging="720"/>
      </w:pPr>
      <w:r>
        <w:t xml:space="preserve">Bolton, R. J., &amp; Hand, D. J. (2002). Statistical fraud detection: A review. </w:t>
      </w:r>
      <w:r>
        <w:rPr>
          <w:i/>
          <w:iCs/>
        </w:rPr>
        <w:t xml:space="preserve">Statistical Science, 17</w:t>
      </w:r>
      <w:r>
        <w:t xml:space="preserve">(3), 235–255. https://doi.org/10.1214/ss/1042727940</w:t>
      </w:r>
    </w:p>
    <w:p>
      <w:pPr>
        <w:spacing w:after="100"/>
        <w:ind w:left="720" w:hanging="720"/>
      </w:pPr>
      <w:r>
        <w:t xml:space="preserve">Campos, G. O., Zimek, A., Sander, J., Campello, R. J. G. B., Micenková, B., Schubert, E., Assent, I., &amp; Houle, M. E. (2016). On the evaluation of unsupervised outlier detection: Measures, datasets, and an empirical study. </w:t>
      </w:r>
      <w:r>
        <w:rPr>
          <w:i/>
          <w:iCs/>
        </w:rPr>
        <w:t xml:space="preserve">Data Mining and Knowledge Discovery, 30</w:t>
      </w:r>
      <w:r>
        <w:t xml:space="preserve">(4), 891–927. https://doi.org/10.1007/s10618-015-0444-8</w:t>
      </w:r>
    </w:p>
    <w:p>
      <w:pPr>
        <w:spacing w:after="100"/>
        <w:ind w:left="720" w:hanging="720"/>
      </w:pPr>
      <w:r>
        <w:t xml:space="preserve">Ribeiro, M. T., Singh, S., &amp; Guestrin, C. (2016). "Why should I trust you?": Explaining the predictions of any classifier. En </w:t>
      </w:r>
      <w:r>
        <w:rPr>
          <w:i/>
          <w:iCs/>
        </w:rPr>
        <w:t xml:space="preserve">Proceedings of the 22nd ACM SIGKDD International Conference on Knowledge Discovery and Data Mining</w:t>
      </w:r>
      <w:r>
        <w:t xml:space="preserve"> (pp. 1135–1144). ACM. https://doi.org/10.1145/2939672.2939778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Calibri" w:cs="Calibri" w:eastAsia="Calibri" w:hAnsi="Calibri"/>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2026-10-31T14:49:06.745Z</dcterms:created>
  <dcterms:modified xsi:type="dcterms:W3CDTF">2026-10-31T14:49:06.746Z</dcterms:modified>
</cp:coreProperties>
</file>

<file path=docProps/custom.xml><?xml version="1.0" encoding="utf-8"?>
<Properties xmlns="http://schemas.openxmlformats.org/officeDocument/2006/custom-properties" xmlns:vt="http://schemas.openxmlformats.org/officeDocument/2006/docPropsVTypes"/>
</file>