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ASAP Community</w:t>
      </w:r>
    </w:p>
    <w:p>
      <w:pPr>
        <w:jc w:val="center"/>
      </w:pPr>
      <w:r>
        <w:rPr>
          <w:b/>
        </w:rPr>
        <w:t>Sustaining Recovery – Family Risk Assessment and Action Plan</w:t>
        <w:br/>
      </w:r>
      <w:r>
        <w:t>AI Methodology &amp; Implementation Specification</w:t>
        <w:br/>
        <w:t>Version 1.0</w:t>
      </w:r>
    </w:p>
    <w:p>
      <w:pPr>
        <w:pStyle w:val="Heading1"/>
      </w:pPr>
      <w:r>
        <w:t>Purpose</w:t>
      </w:r>
    </w:p>
    <w:p>
      <w:r>
        <w:t>This document defines the governing methodology for the Sustaining Recovery – Family Risk Assessment and Action Plan (FRAAP). It serves as the Version 1.0 implementation specification for the AI report generation engine.</w:t>
      </w:r>
    </w:p>
    <w:p>
      <w:pPr>
        <w:pStyle w:val="Heading1"/>
      </w:pPr>
      <w:r>
        <w:t>Guiding Philosophy</w:t>
      </w:r>
    </w:p>
    <w:p>
      <w:r>
        <w:t>The AI is educational, not diagnostic. It should help parents understand strengths, opportunities, and practical next steps while reinforcing that parents remain one of the most influential protective factors in sustained recovery.</w:t>
      </w:r>
    </w:p>
    <w:p>
      <w:pPr>
        <w:pStyle w:val="Heading1"/>
      </w:pPr>
      <w:r>
        <w:t>Primary Objectives</w:t>
      </w:r>
    </w:p>
    <w:p>
      <w:r>
        <w:t>Interpret assessment responses holistically, prioritize educational recommendations, personalize reports, and direct parents to appropriate ASAP Community workshops.</w:t>
      </w:r>
    </w:p>
    <w:p>
      <w:pPr>
        <w:pStyle w:val="Heading1"/>
      </w:pPr>
      <w:r>
        <w:t>Report Architecture</w:t>
      </w:r>
    </w:p>
    <w:p>
      <w:r>
        <w:t>Reports include: Opening Statement, Overall Assessment Summary, Family Strengths, Opportunities for Improvement, Primary Recommendation, Supporting Recommendations, Recommended Workshops, and Closing Guidance.</w:t>
      </w:r>
    </w:p>
    <w:p>
      <w:pPr>
        <w:pStyle w:val="Heading1"/>
      </w:pPr>
      <w:r>
        <w:t>Decision Engine</w:t>
      </w:r>
    </w:p>
    <w:p>
      <w:r>
        <w:t>Evaluate the entire assessment, identify patterns, determine one Primary Recommendation, select complementary Supporting Recommendations, and generate a personalized narrative.</w:t>
      </w:r>
    </w:p>
    <w:p>
      <w:pPr>
        <w:pStyle w:val="Heading1"/>
      </w:pPr>
      <w:r>
        <w:t>Recommendation Methodology</w:t>
      </w:r>
    </w:p>
    <w:p>
      <w:r>
        <w:t>Use the Recommendation Matrix as the governing educational mapping. Eliminate redundancy and prioritize recommendations according to overall educational impact.</w:t>
      </w:r>
    </w:p>
    <w:p>
      <w:pPr>
        <w:pStyle w:val="Heading1"/>
      </w:pPr>
      <w:r>
        <w:t>Writing Standards</w:t>
      </w:r>
    </w:p>
    <w:p>
      <w:r>
        <w:t>Maintain a warm, encouraging, professional tone. Avoid fear-based, judgmental, or clinical language.</w:t>
      </w:r>
    </w:p>
    <w:p>
      <w:pPr>
        <w:pStyle w:val="Heading1"/>
      </w:pPr>
      <w:r>
        <w:t>Developer Guidance</w:t>
      </w:r>
    </w:p>
    <w:p>
      <w:r>
        <w:t>Separate methodology from application logic whenever practical. Keep recommendation mappings, templates, and workshop libraries independently maintainable.</w:t>
      </w:r>
    </w:p>
    <w:p>
      <w:pPr>
        <w:pStyle w:val="Heading1"/>
      </w:pPr>
      <w:r>
        <w:t>Version Governance</w:t>
      </w:r>
    </w:p>
    <w:p>
      <w:r>
        <w:t>This document establishes Version 1.0. Future enhancements should be documented through formal version updates.</w:t>
      </w:r>
    </w:p>
    <w:p>
      <w:pPr>
        <w:pStyle w:val="Heading1"/>
      </w:pPr>
      <w:r>
        <w:t>Appendices</w:t>
      </w:r>
    </w:p>
    <w:p>
      <w:r>
        <w:t>Appendix A: Recommendation Matrix</w:t>
        <w:br/>
        <w:t>Appendix B: Workshop Library</w:t>
        <w:br/>
        <w:t>Appendix C: Future Enhancements</w:t>
      </w:r>
    </w:p>
    <w:p>
      <w:pPr>
        <w:pStyle w:val="Heading1"/>
      </w:pPr>
      <w:r>
        <w:t>Closing Statement</w:t>
      </w:r>
    </w:p>
    <w:p>
      <w:r>
        <w:t>The purpose of this assessment is to strengthen families through education, consistency, and hope while supporting long-term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