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AA08" w14:textId="77777777" w:rsidR="00BD08A3" w:rsidRPr="00BD08A3" w:rsidRDefault="00BD08A3" w:rsidP="00BD08A3">
      <w:pPr>
        <w:shd w:val="clear" w:color="auto" w:fill="D9D9D9" w:themeFill="background1" w:themeFillShade="D9"/>
        <w:spacing w:after="300" w:line="240" w:lineRule="auto"/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Lab 10 Hashing</w:t>
      </w:r>
    </w:p>
    <w:p w14:paraId="233EF1D0" w14:textId="77777777" w:rsidR="00BD08A3" w:rsidRPr="00BD08A3" w:rsidRDefault="00BD08A3" w:rsidP="00BD08A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Plotting Collision Frequency vs. Load Factor in Open Address Hashing</w:t>
      </w:r>
    </w:p>
    <w:p w14:paraId="40CF8A9C" w14:textId="77777777" w:rsidR="00BD08A3" w:rsidRPr="00BD08A3" w:rsidRDefault="00BD08A3" w:rsidP="00BD08A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Objective:</w:t>
      </w: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 In this lab, you will explore the relationship between collision frequency and load factor in open address hashing using linear and quadratic probing methods.</w:t>
      </w:r>
    </w:p>
    <w:p w14:paraId="75055889" w14:textId="77777777" w:rsidR="00BD08A3" w:rsidRPr="00BD08A3" w:rsidRDefault="00BD08A3" w:rsidP="00BD08A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Instructions:</w:t>
      </w:r>
    </w:p>
    <w:p w14:paraId="6922861D" w14:textId="77777777" w:rsidR="00BD08A3" w:rsidRPr="00BD08A3" w:rsidRDefault="00BD08A3" w:rsidP="00BD08A3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Understanding Open Address Hashing:</w:t>
      </w:r>
    </w:p>
    <w:p w14:paraId="6C7FFA99" w14:textId="77777777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Review the concept of open address hashing, including linear and quadratic probing methods.</w:t>
      </w:r>
    </w:p>
    <w:p w14:paraId="04BDA749" w14:textId="77777777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Understand how collisions occur and how they are resolved in each probing method.</w:t>
      </w:r>
    </w:p>
    <w:p w14:paraId="7AC75DFA" w14:textId="77777777" w:rsidR="00BD08A3" w:rsidRPr="00BD08A3" w:rsidRDefault="00BD08A3" w:rsidP="00BD08A3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Implementing Hash Table:</w:t>
      </w:r>
    </w:p>
    <w:p w14:paraId="4D6D4471" w14:textId="77777777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Use the code provided in the lecture class for implementing a hash table data structure with open address hashing.</w:t>
      </w:r>
    </w:p>
    <w:p w14:paraId="73E7905E" w14:textId="77777777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Ensure your implementation includes functions for inserting data into the hash table and calculating load factor.</w:t>
      </w:r>
    </w:p>
    <w:p w14:paraId="159A66E1" w14:textId="77777777" w:rsidR="00BD08A3" w:rsidRPr="00BD08A3" w:rsidRDefault="00BD08A3" w:rsidP="00BD08A3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Generating Data:</w:t>
      </w:r>
    </w:p>
    <w:p w14:paraId="5F697B9C" w14:textId="7F90F784" w:rsidR="00BD08A3" w:rsidRPr="00BD08A3" w:rsidRDefault="009C2BE0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>
        <w:rPr>
          <w:rFonts w:ascii="Segoe UI" w:eastAsia="Times New Roman" w:hAnsi="Segoe UI" w:cs="Segoe UI"/>
          <w:color w:val="0D0D0D"/>
          <w:sz w:val="20"/>
          <w:szCs w:val="20"/>
        </w:rPr>
        <w:t xml:space="preserve">Vary the size of the </w:t>
      </w:r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dataset </w:t>
      </w:r>
      <w:r>
        <w:rPr>
          <w:rFonts w:ascii="Segoe UI" w:eastAsia="Times New Roman" w:hAnsi="Segoe UI" w:cs="Segoe UI"/>
          <w:color w:val="0D0D0D"/>
          <w:sz w:val="20"/>
          <w:szCs w:val="20"/>
        </w:rPr>
        <w:t>from</w:t>
      </w:r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D0D0D"/>
          <w:sz w:val="20"/>
          <w:szCs w:val="20"/>
        </w:rPr>
        <w:t>100 to 9900</w:t>
      </w:r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 random</w:t>
      </w:r>
      <w:r w:rsidR="009B1283">
        <w:rPr>
          <w:rFonts w:ascii="Segoe UI" w:eastAsia="Times New Roman" w:hAnsi="Segoe UI" w:cs="Segoe UI"/>
          <w:color w:val="0D0D0D"/>
          <w:sz w:val="20"/>
          <w:szCs w:val="20"/>
        </w:rPr>
        <w:t xml:space="preserve"> (increased by 100)</w:t>
      </w:r>
      <w:bookmarkStart w:id="0" w:name="_GoBack"/>
      <w:bookmarkEnd w:id="0"/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 </w:t>
      </w:r>
      <w:r w:rsidR="00BD08A3">
        <w:rPr>
          <w:rFonts w:ascii="Segoe UI" w:eastAsia="Times New Roman" w:hAnsi="Segoe UI" w:cs="Segoe UI"/>
          <w:color w:val="0D0D0D"/>
          <w:sz w:val="20"/>
          <w:szCs w:val="20"/>
        </w:rPr>
        <w:t>integers</w:t>
      </w:r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 to insert into </w:t>
      </w:r>
      <w:r>
        <w:rPr>
          <w:rFonts w:ascii="Segoe UI" w:eastAsia="Times New Roman" w:hAnsi="Segoe UI" w:cs="Segoe UI"/>
          <w:color w:val="0D0D0D"/>
          <w:sz w:val="20"/>
          <w:szCs w:val="20"/>
        </w:rPr>
        <w:t>a</w:t>
      </w:r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 hash table.</w:t>
      </w:r>
    </w:p>
    <w:p w14:paraId="6CB80083" w14:textId="07E583C4" w:rsidR="00BD08A3" w:rsidRPr="00BD08A3" w:rsidRDefault="009C2BE0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>
        <w:rPr>
          <w:rFonts w:ascii="Segoe UI" w:eastAsia="Times New Roman" w:hAnsi="Segoe UI" w:cs="Segoe UI"/>
          <w:color w:val="0D0D0D"/>
          <w:sz w:val="20"/>
          <w:szCs w:val="20"/>
        </w:rPr>
        <w:t>T</w:t>
      </w:r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he hash table </w:t>
      </w:r>
      <w:r>
        <w:rPr>
          <w:rFonts w:ascii="Segoe UI" w:eastAsia="Times New Roman" w:hAnsi="Segoe UI" w:cs="Segoe UI"/>
          <w:color w:val="0D0D0D"/>
          <w:sz w:val="20"/>
          <w:szCs w:val="20"/>
        </w:rPr>
        <w:t xml:space="preserve">is fixed by the size of </w:t>
      </w:r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buckets </w:t>
      </w:r>
      <w:r>
        <w:rPr>
          <w:rFonts w:ascii="Segoe UI" w:eastAsia="Times New Roman" w:hAnsi="Segoe UI" w:cs="Segoe UI"/>
          <w:color w:val="0D0D0D"/>
          <w:sz w:val="20"/>
          <w:szCs w:val="20"/>
        </w:rPr>
        <w:t xml:space="preserve">to 10000 </w:t>
      </w:r>
      <w:r w:rsidR="00BD08A3" w:rsidRPr="00BD08A3">
        <w:rPr>
          <w:rFonts w:ascii="Segoe UI" w:eastAsia="Times New Roman" w:hAnsi="Segoe UI" w:cs="Segoe UI"/>
          <w:color w:val="0D0D0D"/>
          <w:sz w:val="20"/>
          <w:szCs w:val="20"/>
        </w:rPr>
        <w:t>and record the number of collisions that occur during insertion.</w:t>
      </w:r>
    </w:p>
    <w:p w14:paraId="69F8908E" w14:textId="77777777" w:rsidR="00BD08A3" w:rsidRPr="00BD08A3" w:rsidRDefault="00BD08A3" w:rsidP="00BD08A3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Calculating Load Factor:</w:t>
      </w:r>
    </w:p>
    <w:p w14:paraId="7FCE983C" w14:textId="3918A433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Calculate the load factor for each </w:t>
      </w:r>
      <w:r w:rsidR="009C2BE0">
        <w:rPr>
          <w:rFonts w:ascii="Segoe UI" w:eastAsia="Times New Roman" w:hAnsi="Segoe UI" w:cs="Segoe UI"/>
          <w:color w:val="0D0D0D"/>
          <w:sz w:val="20"/>
          <w:szCs w:val="20"/>
        </w:rPr>
        <w:t xml:space="preserve">number of </w:t>
      </w:r>
      <w:proofErr w:type="gramStart"/>
      <w:r w:rsidR="009C2BE0">
        <w:rPr>
          <w:rFonts w:ascii="Segoe UI" w:eastAsia="Times New Roman" w:hAnsi="Segoe UI" w:cs="Segoe UI"/>
          <w:color w:val="0D0D0D"/>
          <w:sz w:val="20"/>
          <w:szCs w:val="20"/>
        </w:rPr>
        <w:t>data</w:t>
      </w:r>
      <w:proofErr w:type="gramEnd"/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. Load factor is defined as the ratio of the number of elements stored in the hash table to the size of the hash table.</w:t>
      </w:r>
    </w:p>
    <w:p w14:paraId="33B33148" w14:textId="77777777" w:rsidR="00BD08A3" w:rsidRPr="00BD08A3" w:rsidRDefault="00BD08A3" w:rsidP="00BD08A3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Plotting Collision Frequency vs. Load Factor:</w:t>
      </w:r>
    </w:p>
    <w:p w14:paraId="7C7657D1" w14:textId="77777777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Plot a line chart with load factor on the x-axis and collision frequency on the y-axis.</w:t>
      </w:r>
    </w:p>
    <w:p w14:paraId="6313E3C3" w14:textId="77777777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Plot separate lines for linear probing and quadratic probing methods.</w:t>
      </w:r>
    </w:p>
    <w:p w14:paraId="0D158CFB" w14:textId="77777777" w:rsidR="00BD08A3" w:rsidRPr="00BD08A3" w:rsidRDefault="00BD08A3" w:rsidP="00BD08A3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Analysis:</w:t>
      </w:r>
    </w:p>
    <w:p w14:paraId="0ECE2432" w14:textId="77777777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Analyze the plotted data and observe the relationship between load factor and collision frequency for both linear and quadratic probing methods.</w:t>
      </w:r>
    </w:p>
    <w:p w14:paraId="154F4FAF" w14:textId="77777777" w:rsidR="00BD08A3" w:rsidRPr="00BD08A3" w:rsidRDefault="00BD08A3" w:rsidP="00BD08A3">
      <w:pPr>
        <w:numPr>
          <w:ilvl w:val="1"/>
          <w:numId w:val="2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>Discuss any differences or similarities observed between the two probing methods.</w:t>
      </w:r>
    </w:p>
    <w:p w14:paraId="1EB0A4EC" w14:textId="77777777" w:rsidR="00BD08A3" w:rsidRPr="00BD08A3" w:rsidRDefault="00BD08A3" w:rsidP="00BD08A3">
      <w:pP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sz w:val="20"/>
          <w:szCs w:val="20"/>
        </w:rPr>
      </w:pPr>
      <w:r w:rsidRPr="00BD08A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</w:rPr>
        <w:t>Submission:</w:t>
      </w:r>
      <w:r w:rsidRPr="00BD08A3">
        <w:rPr>
          <w:rFonts w:ascii="Segoe UI" w:eastAsia="Times New Roman" w:hAnsi="Segoe UI" w:cs="Segoe UI"/>
          <w:color w:val="0D0D0D"/>
          <w:sz w:val="20"/>
          <w:szCs w:val="20"/>
        </w:rPr>
        <w:t xml:space="preserve"> Submit your </w:t>
      </w:r>
      <w:r>
        <w:rPr>
          <w:rFonts w:ascii="Segoe UI" w:eastAsia="Times New Roman" w:hAnsi="Segoe UI" w:cs="Segoe UI"/>
          <w:color w:val="0D0D0D"/>
          <w:sz w:val="20"/>
          <w:szCs w:val="20"/>
        </w:rPr>
        <w:t xml:space="preserve">chart and analysis in a pdf file. </w:t>
      </w:r>
    </w:p>
    <w:p w14:paraId="79B3BBFC" w14:textId="77777777" w:rsidR="00774A53" w:rsidRPr="00BD08A3" w:rsidRDefault="00774A53" w:rsidP="00BD08A3">
      <w:pPr>
        <w:rPr>
          <w:sz w:val="18"/>
          <w:szCs w:val="22"/>
        </w:rPr>
      </w:pPr>
    </w:p>
    <w:sectPr w:rsidR="00774A53" w:rsidRPr="00BD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9FB"/>
    <w:multiLevelType w:val="multilevel"/>
    <w:tmpl w:val="BC6C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B6519"/>
    <w:multiLevelType w:val="multilevel"/>
    <w:tmpl w:val="9B4C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C96360"/>
    <w:multiLevelType w:val="multilevel"/>
    <w:tmpl w:val="497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A3"/>
    <w:rsid w:val="00774A53"/>
    <w:rsid w:val="009B1283"/>
    <w:rsid w:val="009C2BE0"/>
    <w:rsid w:val="00BD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2AA1"/>
  <w15:chartTrackingRefBased/>
  <w15:docId w15:val="{825F3C90-A0FB-435F-B1EA-C76B8EE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Sukree Sinthupinyo</dc:creator>
  <cp:keywords/>
  <dc:description/>
  <cp:lastModifiedBy>Sukree Sinthupinyo</cp:lastModifiedBy>
  <cp:revision>3</cp:revision>
  <dcterms:created xsi:type="dcterms:W3CDTF">2024-03-27T05:52:00Z</dcterms:created>
  <dcterms:modified xsi:type="dcterms:W3CDTF">2024-03-27T06:39:00Z</dcterms:modified>
</cp:coreProperties>
</file>