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5254F"/>
          <w:sz w:val="44"/>
        </w:rPr>
        <w:t>Логика работы продуктов Trigonum</w:t>
      </w:r>
    </w:p>
    <w:p>
      <w:r>
        <w:t>Earn · Strategies · Events</w:t>
      </w:r>
    </w:p>
    <w:p>
      <w:r>
        <w:t>Документ описывает, что происходит с деньгами инвестора в каждом продукте: как они попадают в Trigonum, что с ними делает брокер, когда и на каких условиях инвестор может их забрать, и на чём зарабатывает компания.</w:t>
      </w:r>
    </w:p>
    <w:p>
      <w:pPr>
        <w:spacing w:before="120"/>
        <w:pBdr>
          <w:bottom w:val="single" w:sz="6" w:color="C9CDDB"/>
        </w:pBdr>
      </w:pPr>
    </w:p>
    <w:p>
      <w:pPr>
        <w:pStyle w:val="Heading2"/>
        <w:jc w:val="left"/>
      </w:pPr>
      <w:r>
        <w:rPr>
          <w:b/>
          <w:color w:val="25254F"/>
          <w:sz w:val="30"/>
        </w:rPr>
        <w:t>0. Что общего у трёх продуктов</w:t>
      </w:r>
    </w:p>
    <w:p>
      <w:r>
        <w:t>Все три продукта работают поверх одной воронки движения средств.</w:t>
      </w:r>
    </w:p>
    <w:p>
      <w:pPr>
        <w:pStyle w:val="ListNumber"/>
      </w:pPr>
      <w:r>
        <w:rPr>
          <w:b/>
        </w:rPr>
        <w:t>Счёт хранения.</w:t>
      </w:r>
      <w:r>
        <w:t xml:space="preserve"> Инвестор открывает счёт хранения по заявке и договору и получает собственные реквизиты на кошельке Trigonum. Адрес выдаётся только после подписания договора.</w:t>
      </w:r>
    </w:p>
    <w:p>
      <w:pPr>
        <w:pStyle w:val="ListNumber"/>
      </w:pPr>
      <w:r>
        <w:rPr>
          <w:b/>
        </w:rPr>
        <w:t>Зачисление.</w:t>
      </w:r>
      <w:r>
        <w:t xml:space="preserve"> Перевод приходит на этот адрес, зачисляется после подтверждений сети и попадает в свободный остаток брокерского счёта.</w:t>
      </w:r>
    </w:p>
    <w:p>
      <w:pPr>
        <w:pStyle w:val="ListNumber"/>
      </w:pPr>
      <w:r>
        <w:rPr>
          <w:b/>
        </w:rPr>
        <w:t>Размещение.</w:t>
      </w:r>
      <w:r>
        <w:t xml:space="preserve"> Из свободного остатка инвестор размещает капитал в один из трёх продуктов. Каждое размещение оформляется отдельным договором.</w:t>
      </w:r>
    </w:p>
    <w:p>
      <w:pPr>
        <w:pStyle w:val="ListNumber"/>
      </w:pPr>
      <w:r>
        <w:rPr>
          <w:b/>
        </w:rPr>
        <w:t>Учёт.</w:t>
      </w:r>
      <w:r>
        <w:t xml:space="preserve"> Все операции, начисления и удержания отражаются в кабинете и в документах.</w:t>
      </w:r>
    </w:p>
    <w:p>
      <w:r>
        <w:rPr>
          <w:b/>
        </w:rPr>
        <w:t>Правило раскрытия:</w:t>
      </w:r>
      <w:r>
        <w:t xml:space="preserve"> комиссии по любому продукту показываются в деньгах до того, как инвестор подтвердит операцию. Проценты без сумм не показываются.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EF0F6"/>
          </w:tcPr>
          <w:p>
            <w:r>
              <w:rPr>
                <w:b/>
                <w:color w:val="25254F"/>
                <w:sz w:val="18"/>
              </w:rPr>
            </w:r>
          </w:p>
        </w:tc>
        <w:tc>
          <w:tcPr>
            <w:tcW w:type="dxa" w:w="2578"/>
            <w:shd w:fill="EEF0F6"/>
          </w:tcPr>
          <w:p>
            <w:r>
              <w:rPr>
                <w:b/>
                <w:color w:val="25254F"/>
                <w:sz w:val="18"/>
              </w:rPr>
            </w:r>
            <w:r>
              <w:rPr>
                <w:b/>
                <w:color w:val="25254F"/>
                <w:sz w:val="18"/>
              </w:rPr>
              <w:t>Earn</w:t>
            </w:r>
          </w:p>
        </w:tc>
        <w:tc>
          <w:tcPr>
            <w:tcW w:type="dxa" w:w="2578"/>
            <w:shd w:fill="EEF0F6"/>
          </w:tcPr>
          <w:p>
            <w:r>
              <w:rPr>
                <w:b/>
                <w:color w:val="25254F"/>
                <w:sz w:val="18"/>
              </w:rPr>
            </w:r>
            <w:r>
              <w:rPr>
                <w:b/>
                <w:color w:val="25254F"/>
                <w:sz w:val="18"/>
              </w:rPr>
              <w:t>Strategies</w:t>
            </w:r>
          </w:p>
        </w:tc>
        <w:tc>
          <w:tcPr>
            <w:tcW w:type="dxa" w:w="2578"/>
            <w:shd w:fill="EEF0F6"/>
          </w:tcPr>
          <w:p>
            <w:r>
              <w:rPr>
                <w:b/>
                <w:color w:val="25254F"/>
                <w:sz w:val="18"/>
              </w:rPr>
            </w:r>
            <w:r>
              <w:rPr>
                <w:b/>
                <w:color w:val="25254F"/>
                <w:sz w:val="18"/>
              </w:rPr>
              <w:t>Events</w:t>
            </w:r>
          </w:p>
        </w:tc>
      </w:tr>
      <w:tr>
        <w:tc>
          <w:tcPr>
            <w:tcW w:type="dxa" w:w="2578"/>
          </w:tcPr>
          <w:p>
            <w:r>
              <w:rPr>
                <w:sz w:val="18"/>
              </w:rPr>
            </w:r>
            <w:r>
              <w:rPr>
                <w:sz w:val="18"/>
              </w:rPr>
              <w:t>Срок</w:t>
            </w:r>
          </w:p>
        </w:tc>
        <w:tc>
          <w:tcPr>
            <w:tcW w:type="dxa" w:w="2578"/>
          </w:tcPr>
          <w:p>
            <w:r>
              <w:rPr>
                <w:sz w:val="18"/>
              </w:rPr>
            </w:r>
            <w:r>
              <w:rPr>
                <w:sz w:val="18"/>
              </w:rPr>
              <w:t>без срока</w:t>
            </w:r>
          </w:p>
        </w:tc>
        <w:tc>
          <w:tcPr>
            <w:tcW w:type="dxa" w:w="2578"/>
          </w:tcPr>
          <w:p>
            <w:r>
              <w:rPr>
                <w:sz w:val="18"/>
              </w:rPr>
            </w:r>
            <w:r>
              <w:rPr>
                <w:sz w:val="18"/>
              </w:rPr>
              <w:t>3–12 месяцев</w:t>
            </w:r>
          </w:p>
        </w:tc>
        <w:tc>
          <w:tcPr>
            <w:tcW w:type="dxa" w:w="2578"/>
          </w:tcPr>
          <w:p>
            <w:r>
              <w:rPr>
                <w:sz w:val="18"/>
              </w:rPr>
            </w:r>
            <w:r>
              <w:rPr>
                <w:sz w:val="18"/>
              </w:rPr>
              <w:t>7–30 дней</w:t>
            </w:r>
          </w:p>
        </w:tc>
      </w:tr>
      <w:tr>
        <w:tc>
          <w:tcPr>
            <w:tcW w:type="dxa" w:w="2578"/>
          </w:tcPr>
          <w:p>
            <w:r>
              <w:rPr>
                <w:sz w:val="18"/>
              </w:rPr>
            </w:r>
            <w:r>
              <w:rPr>
                <w:sz w:val="18"/>
              </w:rPr>
              <w:t>Блокировка средств</w:t>
            </w:r>
          </w:p>
        </w:tc>
        <w:tc>
          <w:tcPr>
            <w:tcW w:type="dxa" w:w="2578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578"/>
          </w:tcPr>
          <w:p>
            <w:r>
              <w:rPr>
                <w:sz w:val="18"/>
              </w:rPr>
            </w:r>
            <w:r>
              <w:rPr>
                <w:sz w:val="18"/>
              </w:rPr>
              <w:t>да, на срок договора</w:t>
            </w:r>
          </w:p>
        </w:tc>
        <w:tc>
          <w:tcPr>
            <w:tcW w:type="dxa" w:w="2578"/>
          </w:tcPr>
          <w:p>
            <w:r>
              <w:rPr>
                <w:sz w:val="18"/>
              </w:rPr>
            </w:r>
            <w:r>
              <w:rPr>
                <w:sz w:val="18"/>
              </w:rPr>
              <w:t>да, до закрытия сделки</w:t>
            </w:r>
          </w:p>
        </w:tc>
      </w:tr>
      <w:tr>
        <w:tc>
          <w:tcPr>
            <w:tcW w:type="dxa" w:w="2578"/>
          </w:tcPr>
          <w:p>
            <w:r>
              <w:rPr>
                <w:sz w:val="18"/>
              </w:rPr>
            </w:r>
            <w:r>
              <w:rPr>
                <w:sz w:val="18"/>
              </w:rPr>
              <w:t>Пополнение</w:t>
            </w:r>
          </w:p>
        </w:tc>
        <w:tc>
          <w:tcPr>
            <w:tcW w:type="dxa" w:w="2578"/>
          </w:tcPr>
          <w:p>
            <w:r>
              <w:rPr>
                <w:sz w:val="18"/>
              </w:rPr>
            </w:r>
            <w:r>
              <w:rPr>
                <w:sz w:val="18"/>
              </w:rPr>
              <w:t>в любой момент, без ограничений</w:t>
            </w:r>
          </w:p>
        </w:tc>
        <w:tc>
          <w:tcPr>
            <w:tcW w:type="dxa" w:w="2578"/>
          </w:tcPr>
          <w:p>
            <w:r>
              <w:rPr>
                <w:sz w:val="18"/>
              </w:rPr>
            </w:r>
            <w:r>
              <w:rPr>
                <w:sz w:val="18"/>
              </w:rPr>
              <w:t>в любой момент, в тот же договор</w:t>
            </w:r>
          </w:p>
        </w:tc>
        <w:tc>
          <w:tcPr>
            <w:tcW w:type="dxa" w:w="2578"/>
          </w:tcPr>
          <w:p>
            <w:r>
              <w:rPr>
                <w:sz w:val="18"/>
              </w:rPr>
            </w:r>
            <w:r>
              <w:rPr>
                <w:sz w:val="18"/>
              </w:rPr>
              <w:t>только в окно входа</w:t>
            </w:r>
          </w:p>
        </w:tc>
      </w:tr>
      <w:tr>
        <w:tc>
          <w:tcPr>
            <w:tcW w:type="dxa" w:w="2578"/>
          </w:tcPr>
          <w:p>
            <w:r>
              <w:rPr>
                <w:sz w:val="18"/>
              </w:rPr>
            </w:r>
            <w:r>
              <w:rPr>
                <w:sz w:val="18"/>
              </w:rPr>
              <w:t>Возврат тела</w:t>
            </w:r>
          </w:p>
        </w:tc>
        <w:tc>
          <w:tcPr>
            <w:tcW w:type="dxa" w:w="2578"/>
          </w:tcPr>
          <w:p>
            <w:r>
              <w:rPr>
                <w:sz w:val="18"/>
              </w:rPr>
            </w:r>
            <w:r>
              <w:rPr>
                <w:sz w:val="18"/>
              </w:rPr>
              <w:t>заявка в любой момент, исполнение еженедельно</w:t>
            </w:r>
          </w:p>
        </w:tc>
        <w:tc>
          <w:tcPr>
            <w:tcW w:type="dxa" w:w="2578"/>
          </w:tcPr>
          <w:p>
            <w:r>
              <w:rPr>
                <w:sz w:val="18"/>
              </w:rPr>
            </w:r>
            <w:r>
              <w:rPr>
                <w:sz w:val="18"/>
              </w:rPr>
              <w:t>в конце срока</w:t>
            </w:r>
          </w:p>
        </w:tc>
        <w:tc>
          <w:tcPr>
            <w:tcW w:type="dxa" w:w="2578"/>
          </w:tcPr>
          <w:p>
            <w:r>
              <w:rPr>
                <w:sz w:val="18"/>
              </w:rPr>
            </w:r>
            <w:r>
              <w:rPr>
                <w:sz w:val="18"/>
              </w:rPr>
              <w:t>при закрытии сделки</w:t>
            </w:r>
          </w:p>
        </w:tc>
      </w:tr>
      <w:tr>
        <w:tc>
          <w:tcPr>
            <w:tcW w:type="dxa" w:w="2578"/>
          </w:tcPr>
          <w:p>
            <w:r>
              <w:rPr>
                <w:sz w:val="18"/>
              </w:rPr>
            </w:r>
            <w:r>
              <w:rPr>
                <w:sz w:val="18"/>
              </w:rPr>
              <w:t>Доходность</w:t>
            </w:r>
          </w:p>
        </w:tc>
        <w:tc>
          <w:tcPr>
            <w:tcW w:type="dxa" w:w="2578"/>
          </w:tcPr>
          <w:p>
            <w:r>
              <w:rPr>
                <w:sz w:val="18"/>
              </w:rPr>
            </w:r>
            <w:r>
              <w:rPr>
                <w:sz w:val="18"/>
              </w:rPr>
              <w:t>фиксированная</w:t>
            </w:r>
          </w:p>
        </w:tc>
        <w:tc>
          <w:tcPr>
            <w:tcW w:type="dxa" w:w="2578"/>
          </w:tcPr>
          <w:p>
            <w:r>
              <w:rPr>
                <w:sz w:val="18"/>
              </w:rPr>
            </w:r>
            <w:r>
              <w:rPr>
                <w:sz w:val="18"/>
              </w:rPr>
              <w:t>целевая</w:t>
            </w:r>
          </w:p>
        </w:tc>
        <w:tc>
          <w:tcPr>
            <w:tcW w:type="dxa" w:w="2578"/>
          </w:tcPr>
          <w:p>
            <w:r>
              <w:rPr>
                <w:sz w:val="18"/>
              </w:rPr>
            </w:r>
            <w:r>
              <w:rPr>
                <w:sz w:val="18"/>
              </w:rPr>
              <w:t>целевая по сделке</w:t>
            </w:r>
          </w:p>
        </w:tc>
      </w:tr>
      <w:tr>
        <w:tc>
          <w:tcPr>
            <w:tcW w:type="dxa" w:w="2578"/>
          </w:tcPr>
          <w:p>
            <w:r>
              <w:rPr>
                <w:sz w:val="18"/>
              </w:rPr>
            </w:r>
            <w:r>
              <w:rPr>
                <w:sz w:val="18"/>
              </w:rPr>
              <w:t>Кто несёт рыночный риск</w:t>
            </w:r>
          </w:p>
        </w:tc>
        <w:tc>
          <w:tcPr>
            <w:tcW w:type="dxa" w:w="2578"/>
          </w:tcPr>
          <w:p>
            <w:r>
              <w:rPr>
                <w:sz w:val="18"/>
              </w:rPr>
            </w:r>
            <w:r>
              <w:rPr>
                <w:sz w:val="18"/>
              </w:rPr>
              <w:t>брокер</w:t>
            </w:r>
          </w:p>
        </w:tc>
        <w:tc>
          <w:tcPr>
            <w:tcW w:type="dxa" w:w="2578"/>
          </w:tcPr>
          <w:p>
            <w:r>
              <w:rPr>
                <w:sz w:val="18"/>
              </w:rPr>
            </w:r>
            <w:r>
              <w:rPr>
                <w:sz w:val="18"/>
              </w:rPr>
              <w:t>инвестор</w:t>
            </w:r>
          </w:p>
        </w:tc>
        <w:tc>
          <w:tcPr>
            <w:tcW w:type="dxa" w:w="2578"/>
          </w:tcPr>
          <w:p>
            <w:r>
              <w:rPr>
                <w:sz w:val="18"/>
              </w:rPr>
            </w:r>
            <w:r>
              <w:rPr>
                <w:sz w:val="18"/>
              </w:rPr>
              <w:t>инвестор</w:t>
            </w:r>
          </w:p>
        </w:tc>
      </w:tr>
    </w:tbl>
    <w:p/>
    <w:p>
      <w:pPr>
        <w:spacing w:before="120"/>
        <w:pBdr>
          <w:bottom w:val="single" w:sz="6" w:color="C9CDDB"/>
        </w:pBdr>
      </w:pPr>
    </w:p>
    <w:p>
      <w:pPr>
        <w:pStyle w:val="Heading2"/>
        <w:jc w:val="left"/>
      </w:pPr>
      <w:r>
        <w:rPr>
          <w:b/>
          <w:color w:val="25254F"/>
          <w:sz w:val="30"/>
        </w:rPr>
        <w:t>1. Earn</w:t>
      </w:r>
    </w:p>
    <w:p>
      <w:pPr>
        <w:pStyle w:val="Heading3"/>
        <w:jc w:val="left"/>
      </w:pPr>
      <w:r>
        <w:rPr>
          <w:b/>
          <w:color w:val="3F3F8A"/>
          <w:sz w:val="24"/>
        </w:rPr>
        <w:t>1.1. Суть продукта</w:t>
      </w:r>
    </w:p>
    <w:p>
      <w:r>
        <w:t xml:space="preserve">Earn — </w:t>
      </w:r>
      <w:r>
        <w:rPr>
          <w:b/>
        </w:rPr>
        <w:t>бессрочное размещение под фиксированную ставку</w:t>
      </w:r>
      <w:r>
        <w:t>. Инвестор передаёт капитал брокеру, брокер использует его в своей деятельности и платит инвестору заранее оговорённый процент.</w:t>
      </w:r>
    </w:p>
    <w:p>
      <w:r>
        <w:t xml:space="preserve">Ключевое отличие от остальных продуктов: </w:t>
      </w:r>
      <w:r>
        <w:rPr>
          <w:b/>
        </w:rPr>
        <w:t>рыночный риск несёт брокер, а не инвестор</w:t>
      </w:r>
      <w:r>
        <w:t>. Ставка зафиксирована договором и не зависит от того, каким получился результат у брокера.</w:t>
      </w:r>
    </w:p>
    <w:p>
      <w:pPr>
        <w:pStyle w:val="Heading3"/>
        <w:jc w:val="left"/>
      </w:pPr>
      <w:r>
        <w:rPr>
          <w:b/>
          <w:color w:val="3F3F8A"/>
          <w:sz w:val="24"/>
        </w:rPr>
        <w:t>1.2. Что происходит с деньгами</w:t>
      </w:r>
    </w:p>
    <w:p>
      <w:pPr>
        <w:pStyle w:val="ListNumber"/>
      </w:pPr>
      <w:r>
        <w:t xml:space="preserve">Инвестор оформляет </w:t>
      </w:r>
      <w:r>
        <w:rPr>
          <w:b/>
        </w:rPr>
        <w:t>заявку на ввод</w:t>
      </w:r>
      <w:r>
        <w:t xml:space="preserve"> и переводит средства на свой счёт хранения.</w:t>
      </w:r>
    </w:p>
    <w:p>
      <w:pPr>
        <w:pStyle w:val="ListNumber"/>
      </w:pPr>
      <w:r>
        <w:t>После подтверждений сети средства зачисляются на брокерский счёт.</w:t>
      </w:r>
    </w:p>
    <w:p>
      <w:pPr>
        <w:pStyle w:val="ListNumber"/>
      </w:pPr>
      <w:r>
        <w:t xml:space="preserve">Инвестор оформляет размещение в Earn — заключается </w:t>
      </w:r>
      <w:r>
        <w:rPr>
          <w:b/>
        </w:rPr>
        <w:t>бессрочный договор</w:t>
      </w:r>
      <w:r>
        <w:t>.</w:t>
      </w:r>
    </w:p>
    <w:p>
      <w:pPr>
        <w:pStyle w:val="ListNumber"/>
      </w:pPr>
      <w:r>
        <w:t>Средства автоматически попадают на кошелёк Trigonum и включаются в общий оборот компании: брокер размещает их дальше по собственному усмотрению.</w:t>
      </w:r>
    </w:p>
    <w:p>
      <w:pPr>
        <w:pStyle w:val="ListNumber"/>
      </w:pPr>
      <w:r>
        <w:rPr>
          <w:b/>
        </w:rPr>
        <w:t>Доход начисляется каждый день</w:t>
      </w:r>
      <w:r>
        <w:t xml:space="preserve"> на тело договора.</w:t>
      </w:r>
    </w:p>
    <w:p>
      <w:r>
        <w:t xml:space="preserve">Средства </w:t>
      </w:r>
      <w:r>
        <w:rPr>
          <w:b/>
        </w:rPr>
        <w:t>не блокируются</w:t>
      </w:r>
      <w:r>
        <w:t>: у договора нет срока, нет штрафа за выход и нет минимального периода удержания.</w:t>
      </w:r>
    </w:p>
    <w:p>
      <w:pPr>
        <w:pStyle w:val="Heading3"/>
        <w:jc w:val="left"/>
      </w:pPr>
      <w:r>
        <w:rPr>
          <w:b/>
          <w:color w:val="3F3F8A"/>
          <w:sz w:val="24"/>
        </w:rPr>
        <w:t>1.3. Права инвестора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EEF0F6"/>
          </w:tcPr>
          <w:p>
            <w:r>
              <w:rPr>
                <w:b/>
                <w:color w:val="25254F"/>
                <w:sz w:val="18"/>
              </w:rPr>
            </w:r>
            <w:r>
              <w:rPr>
                <w:b/>
                <w:color w:val="25254F"/>
                <w:sz w:val="18"/>
              </w:rPr>
              <w:t>Действие</w:t>
            </w:r>
          </w:p>
        </w:tc>
        <w:tc>
          <w:tcPr>
            <w:tcW w:type="dxa" w:w="3437"/>
            <w:shd w:fill="EEF0F6"/>
          </w:tcPr>
          <w:p>
            <w:r>
              <w:rPr>
                <w:b/>
                <w:color w:val="25254F"/>
                <w:sz w:val="18"/>
              </w:rPr>
            </w:r>
            <w:r>
              <w:rPr>
                <w:b/>
                <w:color w:val="25254F"/>
                <w:sz w:val="18"/>
              </w:rPr>
              <w:t>Когда доступно</w:t>
            </w:r>
          </w:p>
        </w:tc>
        <w:tc>
          <w:tcPr>
            <w:tcW w:type="dxa" w:w="3437"/>
            <w:shd w:fill="EEF0F6"/>
          </w:tcPr>
          <w:p>
            <w:r>
              <w:rPr>
                <w:b/>
                <w:color w:val="25254F"/>
                <w:sz w:val="18"/>
              </w:rPr>
            </w:r>
            <w:r>
              <w:rPr>
                <w:b/>
                <w:color w:val="25254F"/>
                <w:sz w:val="18"/>
              </w:rPr>
              <w:t>Как исполняется</w:t>
            </w:r>
          </w:p>
        </w:tc>
      </w:tr>
      <w:tr>
        <w:tc>
          <w:tcPr>
            <w:tcW w:type="dxa" w:w="3437"/>
          </w:tcPr>
          <w:p>
            <w:r>
              <w:rPr>
                <w:sz w:val="18"/>
              </w:rPr>
            </w:r>
            <w:r>
              <w:rPr>
                <w:sz w:val="18"/>
              </w:rPr>
              <w:t>Пополнить договор</w:t>
            </w:r>
          </w:p>
        </w:tc>
        <w:tc>
          <w:tcPr>
            <w:tcW w:type="dxa" w:w="3437"/>
          </w:tcPr>
          <w:p>
            <w:r>
              <w:rPr>
                <w:sz w:val="18"/>
              </w:rPr>
            </w:r>
            <w:r>
              <w:rPr>
                <w:sz w:val="18"/>
              </w:rPr>
              <w:t>в любой момент, без ограничения по сумме и частоте</w:t>
            </w:r>
          </w:p>
        </w:tc>
        <w:tc>
          <w:tcPr>
            <w:tcW w:type="dxa" w:w="3437"/>
          </w:tcPr>
          <w:p>
            <w:r>
              <w:rPr>
                <w:sz w:val="18"/>
              </w:rPr>
            </w:r>
            <w:r>
              <w:rPr>
                <w:sz w:val="18"/>
              </w:rPr>
              <w:t>зачисление в тот же договор, ставка не меняется</w:t>
            </w:r>
          </w:p>
        </w:tc>
      </w:tr>
      <w:tr>
        <w:tc>
          <w:tcPr>
            <w:tcW w:type="dxa" w:w="3437"/>
          </w:tcPr>
          <w:p>
            <w:r>
              <w:rPr>
                <w:sz w:val="18"/>
              </w:rPr>
            </w:r>
            <w:r>
              <w:rPr>
                <w:sz w:val="18"/>
              </w:rPr>
              <w:t>Забрать тело</w:t>
            </w:r>
          </w:p>
        </w:tc>
        <w:tc>
          <w:tcPr>
            <w:tcW w:type="dxa" w:w="3437"/>
          </w:tcPr>
          <w:p>
            <w:r>
              <w:rPr>
                <w:sz w:val="18"/>
              </w:rPr>
            </w:r>
            <w:r>
              <w:rPr>
                <w:sz w:val="18"/>
              </w:rPr>
              <w:t>заявка в любой момент</w:t>
            </w:r>
          </w:p>
        </w:tc>
        <w:tc>
          <w:tcPr>
            <w:tcW w:type="dxa" w:w="3437"/>
          </w:tcPr>
          <w:p>
            <w:r>
              <w:rPr>
                <w:sz w:val="18"/>
              </w:rPr>
            </w:r>
            <w:r>
              <w:rPr>
                <w:sz w:val="18"/>
              </w:rPr>
              <w:t>исполнение в ближайшее еженедельное окно вывода</w:t>
            </w:r>
          </w:p>
        </w:tc>
      </w:tr>
      <w:tr>
        <w:tc>
          <w:tcPr>
            <w:tcW w:type="dxa" w:w="3437"/>
          </w:tcPr>
          <w:p>
            <w:r>
              <w:rPr>
                <w:sz w:val="18"/>
              </w:rPr>
            </w:r>
            <w:r>
              <w:rPr>
                <w:sz w:val="18"/>
              </w:rPr>
              <w:t>Получить доход</w:t>
            </w:r>
          </w:p>
        </w:tc>
        <w:tc>
          <w:tcPr>
            <w:tcW w:type="dxa" w:w="3437"/>
          </w:tcPr>
          <w:p>
            <w:r>
              <w:rPr>
                <w:sz w:val="18"/>
              </w:rPr>
            </w:r>
            <w:r>
              <w:rPr>
                <w:sz w:val="18"/>
              </w:rPr>
              <w:t>запрос не чаще раза в месяц</w:t>
            </w:r>
          </w:p>
        </w:tc>
        <w:tc>
          <w:tcPr>
            <w:tcW w:type="dxa" w:w="3437"/>
          </w:tcPr>
          <w:p>
            <w:r>
              <w:rPr>
                <w:sz w:val="18"/>
              </w:rPr>
            </w:r>
            <w:r>
              <w:rPr>
                <w:sz w:val="18"/>
              </w:rPr>
              <w:t>выплата на свободный остаток</w:t>
            </w:r>
          </w:p>
        </w:tc>
      </w:tr>
      <w:tr>
        <w:tc>
          <w:tcPr>
            <w:tcW w:type="dxa" w:w="3437"/>
          </w:tcPr>
          <w:p>
            <w:r>
              <w:rPr>
                <w:sz w:val="18"/>
              </w:rPr>
            </w:r>
            <w:r>
              <w:rPr>
                <w:sz w:val="18"/>
              </w:rPr>
              <w:t>Реинвестировать доход</w:t>
            </w:r>
          </w:p>
        </w:tc>
        <w:tc>
          <w:tcPr>
            <w:tcW w:type="dxa" w:w="3437"/>
          </w:tcPr>
          <w:p>
            <w:r>
              <w:rPr>
                <w:sz w:val="18"/>
              </w:rPr>
            </w:r>
            <w:r>
              <w:rPr>
                <w:sz w:val="18"/>
              </w:rPr>
              <w:t>по умолчанию</w:t>
            </w:r>
          </w:p>
        </w:tc>
        <w:tc>
          <w:tcPr>
            <w:tcW w:type="dxa" w:w="3437"/>
          </w:tcPr>
          <w:p>
            <w:r>
              <w:rPr>
                <w:sz w:val="18"/>
              </w:rPr>
            </w:r>
            <w:r>
              <w:rPr>
                <w:sz w:val="18"/>
              </w:rPr>
              <w:t>доход увеличивает тело и работает дальше</w:t>
            </w:r>
          </w:p>
        </w:tc>
      </w:tr>
      <w:tr>
        <w:tc>
          <w:tcPr>
            <w:tcW w:type="dxa" w:w="3437"/>
          </w:tcPr>
          <w:p>
            <w:r>
              <w:rPr>
                <w:sz w:val="18"/>
              </w:rPr>
            </w:r>
            <w:r>
              <w:rPr>
                <w:sz w:val="18"/>
              </w:rPr>
              <w:t>Закрыть договор</w:t>
            </w:r>
          </w:p>
        </w:tc>
        <w:tc>
          <w:tcPr>
            <w:tcW w:type="dxa" w:w="3437"/>
          </w:tcPr>
          <w:p>
            <w:r>
              <w:rPr>
                <w:sz w:val="18"/>
              </w:rPr>
            </w:r>
            <w:r>
              <w:rPr>
                <w:sz w:val="18"/>
              </w:rPr>
              <w:t>в любой момент</w:t>
            </w:r>
          </w:p>
        </w:tc>
        <w:tc>
          <w:tcPr>
            <w:tcW w:type="dxa" w:w="3437"/>
          </w:tcPr>
          <w:p>
            <w:r>
              <w:rPr>
                <w:sz w:val="18"/>
              </w:rPr>
            </w:r>
            <w:r>
              <w:rPr>
                <w:sz w:val="18"/>
              </w:rPr>
              <w:t>тело возвращается целиком, начисленный доход выплачивается</w:t>
            </w:r>
          </w:p>
        </w:tc>
      </w:tr>
    </w:tbl>
    <w:p/>
    <w:p>
      <w:r>
        <w:rPr>
          <w:b/>
        </w:rPr>
        <w:t>Про «в любой момент» и «раз в неделю».</w:t>
      </w:r>
      <w:r>
        <w:t xml:space="preserve"> Это не противоречие. Заявку на вывод инвестор подаёт когда угодно, средства не заперты. Но исполняются заявки пакетом, в еженедельное окно — брокер должен успеть высвободить ликвидность, не разрушая размещения. Инвестор всегда знает дату ближайшего окна: она показана в кабинете рядом с договором.</w:t>
      </w:r>
    </w:p>
    <w:p>
      <w:pPr>
        <w:pStyle w:val="Heading3"/>
        <w:jc w:val="left"/>
      </w:pPr>
      <w:r>
        <w:rPr>
          <w:b/>
          <w:color w:val="3F3F8A"/>
          <w:sz w:val="24"/>
        </w:rPr>
        <w:t>1.4. Монетизация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EEF0F6"/>
          </w:tcPr>
          <w:p>
            <w:r>
              <w:rPr>
                <w:b/>
                <w:color w:val="25254F"/>
                <w:sz w:val="18"/>
              </w:rPr>
            </w:r>
            <w:r>
              <w:rPr>
                <w:b/>
                <w:color w:val="25254F"/>
                <w:sz w:val="18"/>
              </w:rPr>
              <w:t>Комиссия</w:t>
            </w:r>
          </w:p>
        </w:tc>
        <w:tc>
          <w:tcPr>
            <w:tcW w:type="dxa" w:w="3437"/>
            <w:shd w:fill="EEF0F6"/>
          </w:tcPr>
          <w:p>
            <w:r>
              <w:rPr>
                <w:b/>
                <w:color w:val="25254F"/>
                <w:sz w:val="18"/>
              </w:rPr>
            </w:r>
            <w:r>
              <w:rPr>
                <w:b/>
                <w:color w:val="25254F"/>
                <w:sz w:val="18"/>
              </w:rPr>
              <w:t>Ставка</w:t>
            </w:r>
          </w:p>
        </w:tc>
        <w:tc>
          <w:tcPr>
            <w:tcW w:type="dxa" w:w="3437"/>
            <w:shd w:fill="EEF0F6"/>
          </w:tcPr>
          <w:p>
            <w:r>
              <w:rPr>
                <w:b/>
                <w:color w:val="25254F"/>
                <w:sz w:val="18"/>
              </w:rPr>
            </w:r>
            <w:r>
              <w:rPr>
                <w:b/>
                <w:color w:val="25254F"/>
                <w:sz w:val="18"/>
              </w:rPr>
              <w:t>Как берётся</w:t>
            </w:r>
          </w:p>
        </w:tc>
      </w:tr>
      <w:tr>
        <w:tc>
          <w:tcPr>
            <w:tcW w:type="dxa" w:w="3437"/>
          </w:tcPr>
          <w:p>
            <w:r>
              <w:rPr>
                <w:sz w:val="18"/>
              </w:rPr>
            </w:r>
            <w:r>
              <w:rPr>
                <w:sz w:val="18"/>
              </w:rPr>
              <w:t>За управление</w:t>
            </w:r>
          </w:p>
        </w:tc>
        <w:tc>
          <w:tcPr>
            <w:tcW w:type="dxa" w:w="3437"/>
          </w:tcPr>
          <w:p>
            <w:r>
              <w:rPr>
                <w:sz w:val="18"/>
              </w:rPr>
            </w:r>
            <w:r>
              <w:rPr>
                <w:sz w:val="18"/>
              </w:rPr>
              <w:t>1% при пополнении</w:t>
            </w:r>
          </w:p>
        </w:tc>
        <w:tc>
          <w:tcPr>
            <w:tcW w:type="dxa" w:w="3437"/>
          </w:tcPr>
          <w:p>
            <w:r>
              <w:rPr>
                <w:sz w:val="18"/>
              </w:rPr>
            </w:r>
            <w:r>
              <w:rPr>
                <w:sz w:val="18"/>
              </w:rPr>
              <w:t>внутри ставки, до её публикации</w:t>
            </w:r>
          </w:p>
        </w:tc>
      </w:tr>
      <w:tr>
        <w:tc>
          <w:tcPr>
            <w:tcW w:type="dxa" w:w="3437"/>
          </w:tcPr>
          <w:p>
            <w:r>
              <w:rPr>
                <w:sz w:val="18"/>
              </w:rPr>
            </w:r>
            <w:r>
              <w:rPr>
                <w:sz w:val="18"/>
              </w:rPr>
              <w:t>За результат</w:t>
            </w:r>
          </w:p>
        </w:tc>
        <w:tc>
          <w:tcPr>
            <w:tcW w:type="dxa" w:w="3437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3437"/>
          </w:tcPr>
          <w:p>
            <w:r>
              <w:rPr>
                <w:sz w:val="18"/>
              </w:rPr>
            </w:r>
            <w:r>
              <w:rPr>
                <w:sz w:val="18"/>
              </w:rPr>
              <w:t>результат фиксирован договором</w:t>
            </w:r>
          </w:p>
        </w:tc>
      </w:tr>
    </w:tbl>
    <w:p/>
    <w:p>
      <w:r>
        <w:t xml:space="preserve">Основной заработок брокера в Earn — </w:t>
      </w:r>
      <w:r>
        <w:rPr>
          <w:b/>
        </w:rPr>
        <w:t>разница ставок</w:t>
      </w:r>
      <w:r>
        <w:t>. Компания размещает привлечённые средства с доходностью выше той, что платит инвестору, и оставляет себе спред. Комиссия за управление в 1% учтена в публикуемой ставке: если инвестору обещано ~7% годовых, он получает ровно 7%.</w:t>
      </w:r>
    </w:p>
    <w:p>
      <w:r>
        <w:t>Комиссии за результат в Earn нет и быть не может: результат для инвестора зафиксирован, делить нечего.</w:t>
      </w:r>
    </w:p>
    <w:p>
      <w:pPr>
        <w:pStyle w:val="Heading3"/>
        <w:jc w:val="left"/>
      </w:pPr>
      <w:r>
        <w:rPr>
          <w:b/>
          <w:color w:val="3F3F8A"/>
          <w:sz w:val="24"/>
        </w:rPr>
        <w:t>1.5. Границы и риски</w:t>
      </w:r>
    </w:p>
    <w:p>
      <w:pPr>
        <w:pStyle w:val="ListBullet"/>
      </w:pPr>
      <w:r>
        <w:rPr>
          <w:b/>
        </w:rPr>
        <w:t>Ставка может пересматриваться</w:t>
      </w:r>
      <w:r>
        <w:t xml:space="preserve"> — но только для новых размещений. Условия действующего договора не меняются задним числом.</w:t>
      </w:r>
    </w:p>
    <w:p>
      <w:pPr>
        <w:pStyle w:val="ListBullet"/>
      </w:pPr>
      <w:r>
        <w:t>Инвестор не участвует в результате брокера: если брокер заработал больше, инвестор получает свою фиксированную ставку.</w:t>
      </w:r>
    </w:p>
    <w:p>
      <w:pPr>
        <w:pStyle w:val="ListBullet"/>
      </w:pPr>
      <w:r>
        <w:t>Обязательство выплатить ставку лежит на брокере вне зависимости от результата его собственных операций.</w:t>
      </w:r>
    </w:p>
    <w:p>
      <w:pPr>
        <w:spacing w:before="120"/>
        <w:pBdr>
          <w:bottom w:val="single" w:sz="6" w:color="C9CDDB"/>
        </w:pBdr>
      </w:pPr>
    </w:p>
    <w:p>
      <w:pPr>
        <w:pStyle w:val="Heading2"/>
        <w:jc w:val="left"/>
      </w:pPr>
      <w:r>
        <w:rPr>
          <w:b/>
          <w:color w:val="25254F"/>
          <w:sz w:val="30"/>
        </w:rPr>
        <w:t>2. Strategies</w:t>
      </w:r>
    </w:p>
    <w:p>
      <w:pPr>
        <w:pStyle w:val="Heading3"/>
        <w:jc w:val="left"/>
      </w:pPr>
      <w:r>
        <w:rPr>
          <w:b/>
          <w:color w:val="3F3F8A"/>
          <w:sz w:val="24"/>
        </w:rPr>
        <w:t>2.1. Три профиля риска</w:t>
      </w:r>
    </w:p>
    <w:p>
      <w:r>
        <w:t xml:space="preserve">Стратегии различаются не названием, а </w:t>
      </w:r>
      <w:r>
        <w:rPr>
          <w:b/>
        </w:rPr>
        <w:t>профилем риска</w:t>
      </w:r>
      <w:r>
        <w:t>. Каждый профиль несёт свою целевую доходность, свой горизонт и свою вероятность отрицательного результата.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fill="EEF0F6"/>
          </w:tcPr>
          <w:p>
            <w:r>
              <w:rPr>
                <w:b/>
                <w:color w:val="25254F"/>
                <w:sz w:val="18"/>
              </w:rPr>
            </w:r>
            <w:r>
              <w:rPr>
                <w:b/>
                <w:color w:val="25254F"/>
                <w:sz w:val="18"/>
              </w:rPr>
              <w:t>Профиль</w:t>
            </w:r>
          </w:p>
        </w:tc>
        <w:tc>
          <w:tcPr>
            <w:tcW w:type="dxa" w:w="2062"/>
            <w:shd w:fill="EEF0F6"/>
          </w:tcPr>
          <w:p>
            <w:r>
              <w:rPr>
                <w:b/>
                <w:color w:val="25254F"/>
                <w:sz w:val="18"/>
              </w:rPr>
            </w:r>
            <w:r>
              <w:rPr>
                <w:b/>
                <w:color w:val="25254F"/>
                <w:sz w:val="18"/>
              </w:rPr>
              <w:t>Стратегия</w:t>
            </w:r>
          </w:p>
        </w:tc>
        <w:tc>
          <w:tcPr>
            <w:tcW w:type="dxa" w:w="2062"/>
            <w:shd w:fill="EEF0F6"/>
          </w:tcPr>
          <w:p>
            <w:r>
              <w:rPr>
                <w:b/>
                <w:color w:val="25254F"/>
                <w:sz w:val="18"/>
              </w:rPr>
            </w:r>
            <w:r>
              <w:rPr>
                <w:b/>
                <w:color w:val="25254F"/>
                <w:sz w:val="18"/>
              </w:rPr>
              <w:t>Целевая доходность</w:t>
            </w:r>
          </w:p>
        </w:tc>
        <w:tc>
          <w:tcPr>
            <w:tcW w:type="dxa" w:w="2062"/>
            <w:shd w:fill="EEF0F6"/>
          </w:tcPr>
          <w:p>
            <w:r>
              <w:rPr>
                <w:b/>
                <w:color w:val="25254F"/>
                <w:sz w:val="18"/>
              </w:rPr>
            </w:r>
            <w:r>
              <w:rPr>
                <w:b/>
                <w:color w:val="25254F"/>
                <w:sz w:val="18"/>
              </w:rPr>
              <w:t>Горизонт</w:t>
            </w:r>
          </w:p>
        </w:tc>
        <w:tc>
          <w:tcPr>
            <w:tcW w:type="dxa" w:w="2062"/>
            <w:shd w:fill="EEF0F6"/>
          </w:tcPr>
          <w:p>
            <w:r>
              <w:rPr>
                <w:b/>
                <w:color w:val="25254F"/>
                <w:sz w:val="18"/>
              </w:rPr>
            </w:r>
            <w:r>
              <w:rPr>
                <w:b/>
                <w:color w:val="25254F"/>
                <w:sz w:val="18"/>
              </w:rPr>
              <w:t>Просадка, ожидаемая</w:t>
            </w:r>
          </w:p>
        </w:tc>
      </w:tr>
      <w:tr>
        <w:tc>
          <w:tcPr>
            <w:tcW w:type="dxa" w:w="206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Консервативный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</w:r>
            <w:r>
              <w:rPr>
                <w:sz w:val="18"/>
              </w:rPr>
              <w:t>Stable Income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</w:r>
            <w:r>
              <w:rPr>
                <w:sz w:val="18"/>
              </w:rPr>
              <w:t>8–10% годовых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</w:r>
            <w:r>
              <w:rPr>
                <w:sz w:val="18"/>
              </w:rPr>
              <w:t>3–12 месяцев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</w:r>
            <w:r>
              <w:rPr>
                <w:sz w:val="18"/>
              </w:rPr>
              <w:t>до 3%</w:t>
            </w:r>
          </w:p>
        </w:tc>
      </w:tr>
      <w:tr>
        <w:tc>
          <w:tcPr>
            <w:tcW w:type="dxa" w:w="206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Умеренный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</w:r>
            <w:r>
              <w:rPr>
                <w:sz w:val="18"/>
              </w:rPr>
              <w:t>Balanced Growth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</w:r>
            <w:r>
              <w:rPr>
                <w:sz w:val="18"/>
              </w:rPr>
              <w:t>10–14% годовых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</w:r>
            <w:r>
              <w:rPr>
                <w:sz w:val="18"/>
              </w:rPr>
              <w:t>3–12 месяцев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</w:r>
            <w:r>
              <w:rPr>
                <w:sz w:val="18"/>
              </w:rPr>
              <w:t>до 8%</w:t>
            </w:r>
          </w:p>
        </w:tc>
      </w:tr>
      <w:tr>
        <w:tc>
          <w:tcPr>
            <w:tcW w:type="dxa" w:w="206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Агрессивный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</w:r>
            <w:r>
              <w:rPr>
                <w:sz w:val="18"/>
              </w:rPr>
              <w:t>Alpha Momentum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</w:r>
            <w:r>
              <w:rPr>
                <w:sz w:val="18"/>
              </w:rPr>
              <w:t>15–20% годовых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</w:r>
            <w:r>
              <w:rPr>
                <w:sz w:val="18"/>
              </w:rPr>
              <w:t>6–12 месяцев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</w:r>
            <w:r>
              <w:rPr>
                <w:sz w:val="18"/>
              </w:rPr>
              <w:t>до 20%</w:t>
            </w:r>
          </w:p>
        </w:tc>
      </w:tr>
    </w:tbl>
    <w:p/>
    <w:p>
      <w:r>
        <w:rPr>
          <w:b/>
        </w:rPr>
        <w:t>Целевая доходность — ориентир, а не обязательство.</w:t>
      </w:r>
      <w:r>
        <w:t xml:space="preserve"> В отличие от Earn, рыночный риск здесь несёт инвестор: результат может оказаться ниже целевого и может быть отрицательным.</w:t>
      </w:r>
    </w:p>
    <w:p>
      <w:pPr>
        <w:pStyle w:val="Heading3"/>
        <w:jc w:val="left"/>
      </w:pPr>
      <w:r>
        <w:rPr>
          <w:b/>
          <w:color w:val="3F3F8A"/>
          <w:sz w:val="24"/>
        </w:rPr>
        <w:t>2.2. Что происходит с деньгами</w:t>
      </w:r>
    </w:p>
    <w:p>
      <w:pPr>
        <w:pStyle w:val="ListNumber"/>
      </w:pPr>
      <w:r>
        <w:t>Инвестор выбирает стратегию и срок договора.</w:t>
      </w:r>
    </w:p>
    <w:p>
      <w:pPr>
        <w:pStyle w:val="ListNumber"/>
      </w:pPr>
      <w:r>
        <w:t xml:space="preserve">Определяется </w:t>
      </w:r>
      <w:r>
        <w:rPr>
          <w:b/>
        </w:rPr>
        <w:t>источник средств</w:t>
      </w:r>
      <w:r>
        <w:t xml:space="preserve"> (см. §2.5).</w:t>
      </w:r>
    </w:p>
    <w:p>
      <w:pPr>
        <w:pStyle w:val="ListNumber"/>
      </w:pPr>
      <w:r>
        <w:t>Заключается договор: сумма, срок, профиль, схема выплат, комиссии.</w:t>
      </w:r>
    </w:p>
    <w:p>
      <w:pPr>
        <w:pStyle w:val="ListNumber"/>
      </w:pPr>
      <w:r>
        <w:rPr>
          <w:b/>
        </w:rPr>
        <w:t>Средства блокируются на срок договора</w:t>
      </w:r>
      <w:r>
        <w:t xml:space="preserve"> и передаются в управление.</w:t>
      </w:r>
    </w:p>
    <w:p>
      <w:pPr>
        <w:pStyle w:val="ListNumber"/>
      </w:pPr>
      <w:r>
        <w:t>Капитал расторговывается по правилам выбранной стратегии.</w:t>
      </w:r>
    </w:p>
    <w:p>
      <w:pPr>
        <w:pStyle w:val="ListNumber"/>
      </w:pPr>
      <w:r>
        <w:t>В конце срока фиксируется результат, удерживаются комиссии, тело и чистая прибыль возвращаются инвестору либо продлеваются новым договором.</w:t>
      </w:r>
    </w:p>
    <w:p>
      <w:pPr>
        <w:pStyle w:val="Heading3"/>
        <w:jc w:val="left"/>
      </w:pPr>
      <w:r>
        <w:rPr>
          <w:b/>
          <w:color w:val="3F3F8A"/>
          <w:sz w:val="24"/>
        </w:rPr>
        <w:t>2.3. Блокировка средств</w:t>
      </w:r>
    </w:p>
    <w:p>
      <w:r>
        <w:t xml:space="preserve">В отличие от Earn, средства </w:t>
      </w:r>
      <w:r>
        <w:rPr>
          <w:b/>
        </w:rPr>
        <w:t>залочены до конца срока</w:t>
      </w:r>
      <w:r>
        <w:t>. Это условие продукта, а не ограничение сервиса: управляющий должен знать горизонт капитала, иначе стратегия с горизонтом в год не может быть исполнена.</w:t>
      </w:r>
    </w:p>
    <w:p>
      <w:pPr>
        <w:pStyle w:val="ListBullet"/>
      </w:pPr>
      <w:r>
        <w:rPr>
          <w:b/>
        </w:rPr>
        <w:t>Пополнить</w:t>
      </w:r>
      <w:r>
        <w:t xml:space="preserve"> договор можно в любой момент — новая сумма работает до той же даты окончания.</w:t>
      </w:r>
    </w:p>
    <w:p>
      <w:pPr>
        <w:pStyle w:val="ListBullet"/>
      </w:pPr>
      <w:r>
        <w:rPr>
          <w:b/>
        </w:rPr>
        <w:t>Досрочный выход</w:t>
      </w:r>
      <w:r>
        <w:t xml:space="preserve"> возможен по заявке. Результат пересчитывается по фактическому сроку; комиссия за управление перерасчёту не подлежит — она разовая и удержана при входе. Досрочный выход не является правом по умолчанию — он согласуется, поскольку требует закрытия позиций.</w:t>
      </w:r>
    </w:p>
    <w:p>
      <w:pPr>
        <w:pStyle w:val="ListBullet"/>
      </w:pPr>
      <w:r>
        <w:rPr>
          <w:b/>
        </w:rPr>
        <w:t>По окончании срока</w:t>
      </w:r>
      <w:r>
        <w:t xml:space="preserve"> инвестор либо забирает средства, либо продлевает договор.</w:t>
      </w:r>
    </w:p>
    <w:p>
      <w:pPr>
        <w:pStyle w:val="Heading3"/>
        <w:jc w:val="left"/>
      </w:pPr>
      <w:r>
        <w:rPr>
          <w:b/>
          <w:color w:val="3F3F8A"/>
          <w:sz w:val="24"/>
        </w:rPr>
        <w:t>2.4. Монетизация: две комиссии, обе из двух чисел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EF0F6"/>
          </w:tcPr>
          <w:p>
            <w:r>
              <w:rPr>
                <w:b/>
                <w:color w:val="25254F"/>
                <w:sz w:val="18"/>
              </w:rPr>
            </w:r>
            <w:r>
              <w:rPr>
                <w:b/>
                <w:color w:val="25254F"/>
                <w:sz w:val="18"/>
              </w:rPr>
              <w:t>Комиссия</w:t>
            </w:r>
          </w:p>
        </w:tc>
        <w:tc>
          <w:tcPr>
            <w:tcW w:type="dxa" w:w="5156"/>
            <w:shd w:fill="EEF0F6"/>
          </w:tcPr>
          <w:p>
            <w:r>
              <w:rPr>
                <w:b/>
                <w:color w:val="25254F"/>
                <w:sz w:val="18"/>
              </w:rPr>
            </w:r>
            <w:r>
              <w:rPr>
                <w:b/>
                <w:color w:val="25254F"/>
                <w:sz w:val="18"/>
              </w:rPr>
              <w:t>Как считается</w:t>
            </w:r>
          </w:p>
        </w:tc>
      </w:tr>
      <w:tr>
        <w:tc>
          <w:tcPr>
            <w:tcW w:type="dxa" w:w="51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 управление</w:t>
            </w:r>
          </w:p>
        </w:tc>
        <w:tc>
          <w:tcPr>
            <w:tcW w:type="dxa" w:w="5156"/>
          </w:tcPr>
          <w:p>
            <w:r>
              <w:rPr>
                <w:sz w:val="18"/>
              </w:rPr>
            </w:r>
            <w:r>
              <w:rPr>
                <w:sz w:val="18"/>
              </w:rPr>
              <w:t>1% от суммы пополнения, разово, в момент зачисления средств на продукт</w:t>
            </w:r>
          </w:p>
        </w:tc>
      </w:tr>
      <w:tr>
        <w:tc>
          <w:tcPr>
            <w:tcW w:type="dxa" w:w="51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 результат</w:t>
            </w:r>
          </w:p>
        </w:tc>
        <w:tc>
          <w:tcPr>
            <w:tcW w:type="dxa" w:w="5156"/>
          </w:tcPr>
          <w:p>
            <w:r>
              <w:rPr>
                <w:sz w:val="18"/>
              </w:rPr>
            </w:r>
            <w:r>
              <w:rPr>
                <w:sz w:val="18"/>
              </w:rPr>
              <w:t>10% от фактической прибыли за срок договора</w:t>
            </w:r>
          </w:p>
        </w:tc>
      </w:tr>
    </w:tbl>
    <w:p/>
    <w:p>
      <w:r>
        <w:t xml:space="preserve">Ставки </w:t>
      </w:r>
      <w:r>
        <w:rPr>
          <w:b/>
        </w:rPr>
        <w:t>одинаковы для всех трёх профилей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EEF0F6"/>
          </w:tcPr>
          <w:p>
            <w:r>
              <w:rPr>
                <w:b/>
                <w:color w:val="25254F"/>
                <w:sz w:val="18"/>
              </w:rPr>
            </w:r>
            <w:r>
              <w:rPr>
                <w:b/>
                <w:color w:val="25254F"/>
                <w:sz w:val="18"/>
              </w:rPr>
              <w:t>Профиль</w:t>
            </w:r>
          </w:p>
        </w:tc>
        <w:tc>
          <w:tcPr>
            <w:tcW w:type="dxa" w:w="3437"/>
            <w:shd w:fill="EEF0F6"/>
          </w:tcPr>
          <w:p>
            <w:r>
              <w:rPr>
                <w:b/>
                <w:color w:val="25254F"/>
                <w:sz w:val="18"/>
              </w:rPr>
            </w:r>
            <w:r>
              <w:rPr>
                <w:b/>
                <w:color w:val="25254F"/>
                <w:sz w:val="18"/>
              </w:rPr>
              <w:t>За управление</w:t>
            </w:r>
          </w:p>
        </w:tc>
        <w:tc>
          <w:tcPr>
            <w:tcW w:type="dxa" w:w="3437"/>
            <w:shd w:fill="EEF0F6"/>
          </w:tcPr>
          <w:p>
            <w:r>
              <w:rPr>
                <w:b/>
                <w:color w:val="25254F"/>
                <w:sz w:val="18"/>
              </w:rPr>
            </w:r>
            <w:r>
              <w:rPr>
                <w:b/>
                <w:color w:val="25254F"/>
                <w:sz w:val="18"/>
              </w:rPr>
              <w:t>За результат</w:t>
            </w:r>
          </w:p>
        </w:tc>
      </w:tr>
      <w:tr>
        <w:tc>
          <w:tcPr>
            <w:tcW w:type="dxa" w:w="3437"/>
          </w:tcPr>
          <w:p>
            <w:r>
              <w:rPr>
                <w:sz w:val="18"/>
              </w:rPr>
            </w:r>
            <w:r>
              <w:rPr>
                <w:sz w:val="18"/>
              </w:rPr>
              <w:t>Консервативный</w:t>
            </w:r>
          </w:p>
        </w:tc>
        <w:tc>
          <w:tcPr>
            <w:tcW w:type="dxa" w:w="3437"/>
          </w:tcPr>
          <w:p>
            <w:r>
              <w:rPr>
                <w:sz w:val="18"/>
              </w:rPr>
            </w:r>
            <w:r>
              <w:rPr>
                <w:sz w:val="18"/>
              </w:rPr>
              <w:t>1% при пополнении</w:t>
            </w:r>
          </w:p>
        </w:tc>
        <w:tc>
          <w:tcPr>
            <w:tcW w:type="dxa" w:w="3437"/>
          </w:tcPr>
          <w:p>
            <w:r>
              <w:rPr>
                <w:sz w:val="18"/>
              </w:rPr>
            </w:r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37"/>
          </w:tcPr>
          <w:p>
            <w:r>
              <w:rPr>
                <w:sz w:val="18"/>
              </w:rPr>
            </w:r>
            <w:r>
              <w:rPr>
                <w:sz w:val="18"/>
              </w:rPr>
              <w:t>Умеренный</w:t>
            </w:r>
          </w:p>
        </w:tc>
        <w:tc>
          <w:tcPr>
            <w:tcW w:type="dxa" w:w="3437"/>
          </w:tcPr>
          <w:p>
            <w:r>
              <w:rPr>
                <w:sz w:val="18"/>
              </w:rPr>
            </w:r>
            <w:r>
              <w:rPr>
                <w:sz w:val="18"/>
              </w:rPr>
              <w:t>1% при пополнении</w:t>
            </w:r>
          </w:p>
        </w:tc>
        <w:tc>
          <w:tcPr>
            <w:tcW w:type="dxa" w:w="3437"/>
          </w:tcPr>
          <w:p>
            <w:r>
              <w:rPr>
                <w:sz w:val="18"/>
              </w:rPr>
            </w:r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37"/>
          </w:tcPr>
          <w:p>
            <w:r>
              <w:rPr>
                <w:sz w:val="18"/>
              </w:rPr>
            </w:r>
            <w:r>
              <w:rPr>
                <w:sz w:val="18"/>
              </w:rPr>
              <w:t>Агрессивный</w:t>
            </w:r>
          </w:p>
        </w:tc>
        <w:tc>
          <w:tcPr>
            <w:tcW w:type="dxa" w:w="3437"/>
          </w:tcPr>
          <w:p>
            <w:r>
              <w:rPr>
                <w:sz w:val="18"/>
              </w:rPr>
            </w:r>
            <w:r>
              <w:rPr>
                <w:sz w:val="18"/>
              </w:rPr>
              <w:t>1% при пополнении</w:t>
            </w:r>
          </w:p>
        </w:tc>
        <w:tc>
          <w:tcPr>
            <w:tcW w:type="dxa" w:w="3437"/>
          </w:tcPr>
          <w:p>
            <w:r>
              <w:rPr>
                <w:sz w:val="18"/>
              </w:rPr>
            </w:r>
            <w:r>
              <w:rPr>
                <w:sz w:val="18"/>
              </w:rPr>
              <w:t>10%</w:t>
            </w:r>
          </w:p>
        </w:tc>
      </w:tr>
    </w:tbl>
    <w:p/>
    <w:p>
      <w:r>
        <w:rPr>
          <w:b/>
        </w:rPr>
        <w:t>Почему ставки не зависят от профиля.</w:t>
      </w:r>
      <w:r>
        <w:t xml:space="preserve"> Разброс исхода несёт клиент, а не управляющий. Брать за агрессивную стратегию дороже означало бы наказывать за принятый риск дважды — сначала просадкой, потом комиссией.</w:t>
      </w:r>
    </w:p>
    <w:p>
      <w:r>
        <w:rPr>
          <w:b/>
        </w:rPr>
        <w:t>Почему нет барьера.</w:t>
      </w:r>
      <w:r>
        <w:t xml:space="preserve"> Барьер — это порог, ниже которого управляющий не получает долю в прибыли. Здесь он не применяется: брокер участвует в результате с первого заработанного доллара, но по сниженной ставке — 10% против отраслевых 20%. Барьер и низкая ставка решают одну задачу; вторая понятнее клиенту и не создаёт скачка комиссии на границе, когда лишний процент доходности вдруг стоит заметных денег.</w:t>
      </w:r>
    </w:p>
    <w:p>
      <w:r>
        <w:rPr>
          <w:b/>
        </w:rPr>
        <w:t>Почему нет повышенной доли за превышение цели.</w:t>
      </w:r>
      <w:r>
        <w:t xml:space="preserve"> Целевая доходность — ориентир стратегии, а не обязательство. Привязывать к ней ставку значит превращать ориентир в обещание.</w:t>
      </w:r>
    </w:p>
    <w:p>
      <w:r>
        <w:rPr>
          <w:b/>
        </w:rPr>
        <w:t>Порядок расчёта фиксирован:</w:t>
      </w:r>
    </w:p>
    <w:p>
      <w:pPr>
        <w:ind w:left="283"/>
      </w:pPr>
      <w:r>
        <w:rPr>
          <w:rFonts w:ascii="Consolas" w:hAnsi="Consolas"/>
          <w:sz w:val="18"/>
        </w:rPr>
        <w:t>1. валовая прибыль за срок договора</w:t>
        <w:br/>
        <w:t>2. − непокрытый убыток прошлых периодов (высшая точка)</w:t>
        <w:br/>
        <w:t>3. = база × 10%                             → комиссия за результат</w:t>
        <w:br/>
        <w:t>4. инвестору: прибыль − управление − результат</w:t>
      </w:r>
    </w:p>
    <w:p>
      <w:r>
        <w:t>Комиссия за управление в цепочку расчёта результата не входит: она удержана при входе и к прибыли отношения не имеет.</w:t>
      </w:r>
    </w:p>
    <w:p>
      <w:r>
        <w:rPr>
          <w:b/>
        </w:rPr>
        <w:t>Пример.</w:t>
      </w:r>
      <w:r>
        <w:t xml:space="preserve"> Умеренная стратегия, $100 000 на 12 месяцев, фактический результат +18% ($18 000).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EF0F6"/>
          </w:tcPr>
          <w:p>
            <w:r>
              <w:rPr>
                <w:b/>
                <w:color w:val="25254F"/>
                <w:sz w:val="18"/>
              </w:rPr>
            </w:r>
            <w:r>
              <w:rPr>
                <w:b/>
                <w:color w:val="25254F"/>
                <w:sz w:val="18"/>
              </w:rPr>
              <w:t>Строка</w:t>
            </w:r>
          </w:p>
        </w:tc>
        <w:tc>
          <w:tcPr>
            <w:tcW w:type="dxa" w:w="5156"/>
            <w:shd w:fill="EEF0F6"/>
          </w:tcPr>
          <w:p>
            <w:r>
              <w:rPr>
                <w:b/>
                <w:color w:val="25254F"/>
                <w:sz w:val="18"/>
              </w:rPr>
            </w:r>
            <w:r>
              <w:rPr>
                <w:b/>
                <w:color w:val="25254F"/>
                <w:sz w:val="18"/>
              </w:rPr>
              <w:t>Сумма</w:t>
            </w:r>
          </w:p>
        </w:tc>
      </w:tr>
      <w:tr>
        <w:tc>
          <w:tcPr>
            <w:tcW w:type="dxa" w:w="5156"/>
          </w:tcPr>
          <w:p>
            <w:r>
              <w:rPr>
                <w:sz w:val="18"/>
              </w:rPr>
            </w:r>
            <w:r>
              <w:rPr>
                <w:sz w:val="18"/>
              </w:rPr>
              <w:t>Валовая прибыль</w:t>
            </w:r>
          </w:p>
        </w:tc>
        <w:tc>
          <w:tcPr>
            <w:tcW w:type="dxa" w:w="5156"/>
          </w:tcPr>
          <w:p>
            <w:r>
              <w:rPr>
                <w:sz w:val="18"/>
              </w:rPr>
            </w:r>
            <w:r>
              <w:rPr>
                <w:sz w:val="18"/>
              </w:rPr>
              <w:t>+$18 000</w:t>
            </w:r>
          </w:p>
        </w:tc>
      </w:tr>
      <w:tr>
        <w:tc>
          <w:tcPr>
            <w:tcW w:type="dxa" w:w="5156"/>
          </w:tcPr>
          <w:p>
            <w:r>
              <w:rPr>
                <w:sz w:val="18"/>
              </w:rPr>
            </w:r>
            <w:r>
              <w:rPr>
                <w:sz w:val="18"/>
              </w:rPr>
              <w:t>Комиссия за управление, 1% от суммы пополнения</w:t>
            </w:r>
          </w:p>
        </w:tc>
        <w:tc>
          <w:tcPr>
            <w:tcW w:type="dxa" w:w="5156"/>
          </w:tcPr>
          <w:p>
            <w:r>
              <w:rPr>
                <w:sz w:val="18"/>
              </w:rPr>
            </w:r>
            <w:r>
              <w:rPr>
                <w:sz w:val="18"/>
              </w:rPr>
              <w:t>− $1 000</w:t>
            </w:r>
          </w:p>
        </w:tc>
      </w:tr>
      <w:tr>
        <w:tc>
          <w:tcPr>
            <w:tcW w:type="dxa" w:w="5156"/>
          </w:tcPr>
          <w:p>
            <w:r>
              <w:rPr>
                <w:sz w:val="18"/>
              </w:rPr>
            </w:r>
            <w:r>
              <w:rPr>
                <w:sz w:val="18"/>
              </w:rPr>
              <w:t>Комиссия за результат, 10% от прибыли</w:t>
            </w:r>
          </w:p>
        </w:tc>
        <w:tc>
          <w:tcPr>
            <w:tcW w:type="dxa" w:w="5156"/>
          </w:tcPr>
          <w:p>
            <w:r>
              <w:rPr>
                <w:sz w:val="18"/>
              </w:rPr>
            </w:r>
            <w:r>
              <w:rPr>
                <w:sz w:val="18"/>
              </w:rPr>
              <w:t>− $1 800</w:t>
            </w:r>
          </w:p>
        </w:tc>
      </w:tr>
      <w:tr>
        <w:tc>
          <w:tcPr>
            <w:tcW w:type="dxa" w:w="51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Инвестору</w:t>
            </w:r>
          </w:p>
        </w:tc>
        <w:tc>
          <w:tcPr>
            <w:tcW w:type="dxa" w:w="51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+$15 200</w:t>
            </w:r>
          </w:p>
        </w:tc>
      </w:tr>
    </w:tbl>
    <w:p/>
    <w:p>
      <w:r>
        <w:t>При убытке комиссия за результат не взимается. Комиссия за управление удерживается в любом случае — это плата за работу, а не за результат, и удержана она была ещё при входе.</w:t>
      </w:r>
    </w:p>
    <w:p>
      <w:r>
        <w:rPr>
          <w:b/>
        </w:rPr>
        <w:t>Высшая точка.</w:t>
      </w:r>
      <w:r>
        <w:t xml:space="preserve"> Комиссия за результат берётся только с прироста над историческим максимумом счёта. Если предыдущий период закрылся с убытком, новая прибыль сначала покрывает его и только затем участвует в расчёте комиссии. Клиент не платит дважды за восстановление одних и тех же денег.</w:t>
      </w:r>
    </w:p>
    <w:p>
      <w:pPr>
        <w:pStyle w:val="Heading3"/>
        <w:jc w:val="left"/>
      </w:pPr>
      <w:r>
        <w:rPr>
          <w:b/>
          <w:color w:val="3F3F8A"/>
          <w:sz w:val="24"/>
        </w:rPr>
        <w:t>2.5. Где физически находятся средства</w:t>
      </w:r>
    </w:p>
    <w:p>
      <w:r>
        <w:t>Возможны два источника капитала, и они принципиально различаются по уровню контроля.</w:t>
      </w:r>
    </w:p>
    <w:p>
      <w:r>
        <w:rPr>
          <w:b/>
        </w:rPr>
        <w:t>Средства на счетах Trigonum — рабочий вариант.</w:t>
      </w:r>
      <w:r>
        <w:t xml:space="preserve"> Инвестор переводит капитал на свой счёт хранения, оттуда он передаётся в управление. Брокер полностью контролирует исполнение: позиции открываются и закрываются в срок, результат считается однозначно.</w:t>
      </w:r>
    </w:p>
    <w:p>
      <w:r>
        <w:rPr>
          <w:b/>
        </w:rPr>
        <w:t>Средства на внешних кошельках и биржах инвестора — перспектива.</w:t>
      </w:r>
      <w:r>
        <w:t xml:space="preserve"> Инвестор подключает собственный кошелёк или биржевой аккаунт, капитал остаётся у него, а брокер получает ограниченные права на управление позициями.</w:t>
      </w:r>
    </w:p>
    <w:p>
      <w:r>
        <w:t xml:space="preserve">Такая схема требует отдельного механизма безопасности: разграничения прав доступа, запрета на вывод средств за пределы подтверждённых адресов и независимой сверки результата. До реализации этого механизма </w:t>
      </w:r>
      <w:r>
        <w:rPr>
          <w:b/>
        </w:rPr>
        <w:t>стратегии исполняются только со средств, размещённых на счетах Trigonum</w:t>
      </w:r>
      <w:r>
        <w:t>.</w:t>
      </w:r>
    </w:p>
    <w:p>
      <w:pPr>
        <w:pStyle w:val="Heading3"/>
        <w:jc w:val="left"/>
      </w:pPr>
      <w:r>
        <w:rPr>
          <w:b/>
          <w:color w:val="3F3F8A"/>
          <w:sz w:val="24"/>
        </w:rPr>
        <w:t>2.6. Риски</w:t>
      </w:r>
    </w:p>
    <w:p>
      <w:pPr>
        <w:pStyle w:val="ListBullet"/>
      </w:pPr>
      <w:r>
        <w:t>Целевая доходность не гарантирована, результат может быть отрицательным.</w:t>
      </w:r>
    </w:p>
    <w:p>
      <w:pPr>
        <w:pStyle w:val="ListBullet"/>
      </w:pPr>
      <w:r>
        <w:t>Средства недоступны до конца срока, досрочный выход согласуется отдельно.</w:t>
      </w:r>
    </w:p>
    <w:p>
      <w:pPr>
        <w:pStyle w:val="ListBullet"/>
      </w:pPr>
      <w:r>
        <w:t>Комиссия за управление удерживается и в убыточном периоде.</w:t>
      </w:r>
    </w:p>
    <w:p>
      <w:pPr>
        <w:pStyle w:val="ListBullet"/>
      </w:pPr>
      <w:r>
        <w:t>Прошлый результат стратегии не определяет будущий.</w:t>
      </w:r>
    </w:p>
    <w:p>
      <w:pPr>
        <w:spacing w:before="120"/>
        <w:pBdr>
          <w:bottom w:val="single" w:sz="6" w:color="C9CDDB"/>
        </w:pBdr>
      </w:pPr>
    </w:p>
    <w:p>
      <w:pPr>
        <w:pStyle w:val="Heading2"/>
        <w:jc w:val="left"/>
      </w:pPr>
      <w:r>
        <w:rPr>
          <w:b/>
          <w:color w:val="25254F"/>
          <w:sz w:val="30"/>
        </w:rPr>
        <w:t>3. Events</w:t>
      </w:r>
    </w:p>
    <w:p>
      <w:pPr>
        <w:pStyle w:val="Heading3"/>
        <w:jc w:val="left"/>
      </w:pPr>
      <w:r>
        <w:rPr>
          <w:b/>
          <w:color w:val="3F3F8A"/>
          <w:sz w:val="24"/>
        </w:rPr>
        <w:t>3.1. Суть продукта</w:t>
      </w:r>
    </w:p>
    <w:p>
      <w:r>
        <w:t xml:space="preserve">Event — </w:t>
      </w:r>
      <w:r>
        <w:rPr>
          <w:b/>
        </w:rPr>
        <w:t>отдельная короткая сделка с ограниченным объёмом</w:t>
      </w:r>
      <w:r>
        <w:t>, в которой участвует пул инвесторов. У неё есть конкретная рыночная гипотеза, срок и понятный момент завершения.</w:t>
      </w:r>
    </w:p>
    <w:p>
      <w:r>
        <w:t xml:space="preserve">Отличие от стратегии: инвестор входит не в управление капиталом «вообще», а в </w:t>
      </w:r>
      <w:r>
        <w:rPr>
          <w:b/>
        </w:rPr>
        <w:t>одну конкретную идею</w:t>
      </w:r>
      <w:r>
        <w:t>, которую видит до входа.</w:t>
      </w:r>
    </w:p>
    <w:p>
      <w:pPr>
        <w:pStyle w:val="Heading3"/>
        <w:jc w:val="left"/>
      </w:pPr>
      <w:r>
        <w:rPr>
          <w:b/>
          <w:color w:val="3F3F8A"/>
          <w:sz w:val="24"/>
        </w:rPr>
        <w:t>3.2. Жизненный цикл</w:t>
      </w:r>
    </w:p>
    <w:p>
      <w:r>
        <w:rPr>
          <w:b/>
        </w:rPr>
        <w:t>1. Сигнал.</w:t>
      </w:r>
      <w:r>
        <w:t xml:space="preserve"> Система анализа рынка TAIS фиксирует аномалию: перекос позиционирования участников, смещение ликвидности, расхождение потоков капитала, аномалию стоимости фондирования.</w:t>
      </w:r>
    </w:p>
    <w:p>
      <w:r>
        <w:rPr>
          <w:b/>
        </w:rPr>
        <w:t>2. Гипотеза.</w:t>
      </w:r>
      <w:r>
        <w:t xml:space="preserve"> Аналитики проверяют сигнал и формулируют тезис: какой актив, в какую сторону, на каком горизонте, при каких условиях выходим. Тезис публикуется инвесторам до открытия окна — не после.</w:t>
      </w:r>
    </w:p>
    <w:p>
      <w:r>
        <w:rPr>
          <w:b/>
        </w:rPr>
        <w:t>3. Формирование Event.</w:t>
      </w:r>
      <w:r>
        <w:t xml:space="preserve"> Определяются параметры: объём сделки, минимальный и максимальный вход, целевой диапазон доходности, горизонт удержания, уровень риска. </w:t>
      </w:r>
      <w:r>
        <w:rPr>
          <w:b/>
        </w:rPr>
        <w:t>Объём ограничен размером самой возможности</w:t>
      </w:r>
      <w:r>
        <w:t>, а не спросом инвесторов.</w:t>
      </w:r>
    </w:p>
    <w:p>
      <w:r>
        <w:rPr>
          <w:b/>
        </w:rPr>
        <w:t>4. Окно входа.</w:t>
      </w:r>
      <w:r>
        <w:t xml:space="preserve"> Открывается приём капитала. Окно закрывается по одному из двух условий, что наступит раньше: объём набран либо истёк срок окна. Заполненный Event больше не принимает средства — даже если желающие остались.</w:t>
      </w:r>
    </w:p>
    <w:p>
      <w:r>
        <w:rPr>
          <w:b/>
        </w:rPr>
        <w:t>5. Удержание позиции.</w:t>
      </w:r>
      <w:r>
        <w:t xml:space="preserve"> Капитал зафиксирован до завершения сделки. Инвестор видит прогресс, но не может выйти: досрочный выход одного участника изменил бы условия для остальных.</w:t>
      </w:r>
    </w:p>
    <w:p>
      <w:r>
        <w:rPr>
          <w:b/>
        </w:rPr>
        <w:t>6. Закрытие.</w:t>
      </w:r>
      <w:r>
        <w:t xml:space="preserve"> Позиция закрывается по достижении цели либо по стоп-условию. Результат фиксируется по факту.</w:t>
      </w:r>
    </w:p>
    <w:p>
      <w:r>
        <w:rPr>
          <w:b/>
        </w:rPr>
        <w:t>7. Распределение.</w:t>
      </w:r>
      <w:r>
        <w:t xml:space="preserve"> Из валового результата удерживаются комиссии, остаток распределяется между участниками пропорционально их доле в объёме Event.</w:t>
      </w:r>
    </w:p>
    <w:p>
      <w:pPr>
        <w:pStyle w:val="Heading3"/>
        <w:jc w:val="left"/>
      </w:pPr>
      <w:r>
        <w:rPr>
          <w:b/>
          <w:color w:val="3F3F8A"/>
          <w:sz w:val="24"/>
        </w:rPr>
        <w:t>3.3. Ограничение объёма</w:t>
      </w:r>
    </w:p>
    <w:p>
      <w:r>
        <w:t>Объём Event определяется ёмкостью рыночной возможности. Это не маркетинговый дефицит: если в идею можно завести $1 200 000 без ухудшения цены исполнения, объём равен $1 200 000, и приём закрывается на этой сумме.</w:t>
      </w:r>
    </w:p>
    <w:p>
      <w:r>
        <w:t xml:space="preserve">Из этого следует характер продукта: </w:t>
      </w:r>
      <w:r>
        <w:rPr>
          <w:b/>
        </w:rPr>
        <w:t>участие не гарантировано</w:t>
      </w:r>
      <w:r>
        <w:t>. Инвестор может не успеть войти, и это нормальное поведение системы.</w:t>
      </w:r>
    </w:p>
    <w:p>
      <w:pPr>
        <w:pStyle w:val="Heading3"/>
        <w:jc w:val="left"/>
      </w:pPr>
      <w:r>
        <w:rPr>
          <w:b/>
          <w:color w:val="3F3F8A"/>
          <w:sz w:val="24"/>
        </w:rPr>
        <w:t>3.4. Обратная сторона</w:t>
      </w:r>
    </w:p>
    <w:p>
      <w:r>
        <w:t xml:space="preserve">Инвестор может занять позицию </w:t>
      </w:r>
      <w:r>
        <w:rPr>
          <w:b/>
        </w:rPr>
        <w:t>против гипотезы TAIS</w:t>
      </w:r>
      <w:r>
        <w:t>. Ставка выигрывает, если к завершению Event нижняя граница целевого диапазона не достигнута. Коэффициент определяется соотношением капитала на двух сторонах.</w:t>
      </w:r>
    </w:p>
    <w:p>
      <w:r>
        <w:t>Смысл механики — дать инвестору с собственным взглядом на рынок остаться внутри платформы, а не уходить на сторону.</w:t>
      </w:r>
    </w:p>
    <w:p>
      <w:pPr>
        <w:pStyle w:val="Heading3"/>
        <w:jc w:val="left"/>
      </w:pPr>
      <w:r>
        <w:rPr>
          <w:b/>
          <w:color w:val="3F3F8A"/>
          <w:sz w:val="24"/>
        </w:rPr>
        <w:t>3.5. Монетизация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EEF0F6"/>
          </w:tcPr>
          <w:p>
            <w:r>
              <w:rPr>
                <w:b/>
                <w:color w:val="25254F"/>
                <w:sz w:val="18"/>
              </w:rPr>
            </w:r>
            <w:r>
              <w:rPr>
                <w:b/>
                <w:color w:val="25254F"/>
                <w:sz w:val="18"/>
              </w:rPr>
              <w:t>Комиссия</w:t>
            </w:r>
          </w:p>
        </w:tc>
        <w:tc>
          <w:tcPr>
            <w:tcW w:type="dxa" w:w="3437"/>
            <w:shd w:fill="EEF0F6"/>
          </w:tcPr>
          <w:p>
            <w:r>
              <w:rPr>
                <w:b/>
                <w:color w:val="25254F"/>
                <w:sz w:val="18"/>
              </w:rPr>
            </w:r>
            <w:r>
              <w:rPr>
                <w:b/>
                <w:color w:val="25254F"/>
                <w:sz w:val="18"/>
              </w:rPr>
              <w:t>Ставка</w:t>
            </w:r>
          </w:p>
        </w:tc>
        <w:tc>
          <w:tcPr>
            <w:tcW w:type="dxa" w:w="3437"/>
            <w:shd w:fill="EEF0F6"/>
          </w:tcPr>
          <w:p>
            <w:r>
              <w:rPr>
                <w:b/>
                <w:color w:val="25254F"/>
                <w:sz w:val="18"/>
              </w:rPr>
            </w:r>
            <w:r>
              <w:rPr>
                <w:b/>
                <w:color w:val="25254F"/>
                <w:sz w:val="18"/>
              </w:rPr>
              <w:t>Как берётся</w:t>
            </w:r>
          </w:p>
        </w:tc>
      </w:tr>
      <w:tr>
        <w:tc>
          <w:tcPr>
            <w:tcW w:type="dxa" w:w="3437"/>
          </w:tcPr>
          <w:p>
            <w:r>
              <w:rPr>
                <w:sz w:val="18"/>
              </w:rPr>
            </w:r>
            <w:r>
              <w:rPr>
                <w:sz w:val="18"/>
              </w:rPr>
              <w:t>За управление</w:t>
            </w:r>
          </w:p>
        </w:tc>
        <w:tc>
          <w:tcPr>
            <w:tcW w:type="dxa" w:w="3437"/>
          </w:tcPr>
          <w:p>
            <w:r>
              <w:rPr>
                <w:sz w:val="18"/>
              </w:rPr>
            </w:r>
            <w:r>
              <w:rPr>
                <w:sz w:val="18"/>
              </w:rPr>
              <w:t>1% при пополнении</w:t>
            </w:r>
          </w:p>
        </w:tc>
        <w:tc>
          <w:tcPr>
            <w:tcW w:type="dxa" w:w="3437"/>
          </w:tcPr>
          <w:p>
            <w:r>
              <w:rPr>
                <w:sz w:val="18"/>
              </w:rPr>
            </w:r>
            <w:r>
              <w:rPr>
                <w:sz w:val="18"/>
              </w:rPr>
              <w:t>разово, от суммы, заведённой в сделку</w:t>
            </w:r>
          </w:p>
        </w:tc>
      </w:tr>
      <w:tr>
        <w:tc>
          <w:tcPr>
            <w:tcW w:type="dxa" w:w="3437"/>
          </w:tcPr>
          <w:p>
            <w:r>
              <w:rPr>
                <w:sz w:val="18"/>
              </w:rPr>
            </w:r>
            <w:r>
              <w:rPr>
                <w:sz w:val="18"/>
              </w:rPr>
              <w:t>За результат</w:t>
            </w:r>
          </w:p>
        </w:tc>
        <w:tc>
          <w:tcPr>
            <w:tcW w:type="dxa" w:w="3437"/>
          </w:tcPr>
          <w:p>
            <w:r>
              <w:rPr>
                <w:sz w:val="18"/>
              </w:rPr>
            </w:r>
            <w:r>
              <w:rPr>
                <w:sz w:val="18"/>
              </w:rPr>
              <w:t>20% от прибыли</w:t>
            </w:r>
          </w:p>
        </w:tc>
        <w:tc>
          <w:tcPr>
            <w:tcW w:type="dxa" w:w="3437"/>
          </w:tcPr>
          <w:p>
            <w:r>
              <w:rPr>
                <w:sz w:val="18"/>
              </w:rPr>
            </w:r>
            <w:r>
              <w:rPr>
                <w:sz w:val="18"/>
              </w:rPr>
              <w:t>только с фактической прибыли сделки, без барьера</w:t>
            </w:r>
          </w:p>
        </w:tc>
      </w:tr>
    </w:tbl>
    <w:p/>
    <w:p>
      <w:r>
        <w:t>Комиссия за управление не зависит от срока сделки: и четырёхдневная, и месячная позиция стоит одни и те же 1% от заведённой суммы. Ставка за результат выше, чем в стратегиях, потому что на том же капитале за год проходит десяток самостоятельных циклов исследования, входа и выхода.</w:t>
      </w:r>
    </w:p>
    <w:p>
      <w:r>
        <w:rPr>
          <w:b/>
        </w:rPr>
        <w:t>Высшей точки в Events нет.</w:t>
      </w:r>
      <w:r>
        <w:t xml:space="preserve"> Каждая сделка самостоятельна: у неё свой капитал, свой срок и свой результат. Убыток по одной сделке не переносится на другую и не уменьшает комиссию по следующей.</w:t>
      </w:r>
    </w:p>
    <w:p>
      <w:pPr>
        <w:pStyle w:val="Heading3"/>
        <w:jc w:val="left"/>
      </w:pPr>
      <w:r>
        <w:rPr>
          <w:b/>
          <w:color w:val="3F3F8A"/>
          <w:sz w:val="24"/>
        </w:rPr>
        <w:t>3.6. Собственный капитал Trigonum</w:t>
      </w:r>
    </w:p>
    <w:p>
      <w:r>
        <w:t>В каждом Event участвует доля собственных средств компании. Брокер находится в той же позиции, что и инвесторы, и несёт тот же рыночный риск.</w:t>
      </w:r>
    </w:p>
    <w:p>
      <w:r>
        <w:t>Это не бонус к продукту, а условие честности механики: сторона, которая формирует гипотезу и определяет момент выхода, должна отвечать за неё деньгами.</w:t>
      </w:r>
    </w:p>
    <w:p>
      <w:pPr>
        <w:pStyle w:val="Heading3"/>
        <w:jc w:val="left"/>
      </w:pPr>
      <w:r>
        <w:rPr>
          <w:b/>
          <w:color w:val="3F3F8A"/>
          <w:sz w:val="24"/>
        </w:rPr>
        <w:t>3.7. Риски</w:t>
      </w:r>
    </w:p>
    <w:p>
      <w:pPr>
        <w:pStyle w:val="ListBullet"/>
      </w:pPr>
      <w:r>
        <w:t>Результат сделки может быть отрицательным, вплоть до существенной части вложенной суммы.</w:t>
      </w:r>
    </w:p>
    <w:p>
      <w:pPr>
        <w:pStyle w:val="ListBullet"/>
      </w:pPr>
      <w:r>
        <w:t>Капитал заблокирован до закрытия сделки без возможности досрочного выхода.</w:t>
      </w:r>
    </w:p>
    <w:p>
      <w:pPr>
        <w:pStyle w:val="ListBullet"/>
      </w:pPr>
      <w:r>
        <w:t>Участие не гарантировано: объём ограничен.</w:t>
      </w:r>
    </w:p>
    <w:p>
      <w:pPr>
        <w:pStyle w:val="ListBullet"/>
      </w:pPr>
      <w:r>
        <w:t>Обратная ставка — инструмент повышенного риска: при выигрыше гипотезы TAIS ставка проигрывает полностью.</w:t>
      </w:r>
    </w:p>
    <w:p>
      <w:pPr>
        <w:spacing w:before="120"/>
        <w:pBdr>
          <w:bottom w:val="single" w:sz="6" w:color="C9CDDB"/>
        </w:pBdr>
      </w:pPr>
    </w:p>
    <w:p>
      <w:pPr>
        <w:pStyle w:val="Heading2"/>
        <w:jc w:val="left"/>
      </w:pPr>
      <w:r>
        <w:rPr>
          <w:b/>
          <w:color w:val="25254F"/>
          <w:sz w:val="30"/>
        </w:rPr>
        <w:t>4. Сводная таблица монетизации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fill="EEF0F6"/>
          </w:tcPr>
          <w:p>
            <w:r>
              <w:rPr>
                <w:b/>
                <w:color w:val="25254F"/>
                <w:sz w:val="18"/>
              </w:rPr>
            </w:r>
            <w:r>
              <w:rPr>
                <w:b/>
                <w:color w:val="25254F"/>
                <w:sz w:val="18"/>
              </w:rPr>
              <w:t>Продукт</w:t>
            </w:r>
          </w:p>
        </w:tc>
        <w:tc>
          <w:tcPr>
            <w:tcW w:type="dxa" w:w="2062"/>
            <w:shd w:fill="EEF0F6"/>
          </w:tcPr>
          <w:p>
            <w:r>
              <w:rPr>
                <w:b/>
                <w:color w:val="25254F"/>
                <w:sz w:val="18"/>
              </w:rPr>
            </w:r>
            <w:r>
              <w:rPr>
                <w:b/>
                <w:color w:val="25254F"/>
                <w:sz w:val="18"/>
              </w:rPr>
              <w:t>За управление</w:t>
            </w:r>
          </w:p>
        </w:tc>
        <w:tc>
          <w:tcPr>
            <w:tcW w:type="dxa" w:w="2062"/>
            <w:shd w:fill="EEF0F6"/>
          </w:tcPr>
          <w:p>
            <w:r>
              <w:rPr>
                <w:b/>
                <w:color w:val="25254F"/>
                <w:sz w:val="18"/>
              </w:rPr>
            </w:r>
            <w:r>
              <w:rPr>
                <w:b/>
                <w:color w:val="25254F"/>
                <w:sz w:val="18"/>
              </w:rPr>
              <w:t>За результат</w:t>
            </w:r>
          </w:p>
        </w:tc>
        <w:tc>
          <w:tcPr>
            <w:tcW w:type="dxa" w:w="2062"/>
            <w:shd w:fill="EEF0F6"/>
          </w:tcPr>
          <w:p>
            <w:r>
              <w:rPr>
                <w:b/>
                <w:color w:val="25254F"/>
                <w:sz w:val="18"/>
              </w:rPr>
            </w:r>
            <w:r>
              <w:rPr>
                <w:b/>
                <w:color w:val="25254F"/>
                <w:sz w:val="18"/>
              </w:rPr>
              <w:t>Барьер</w:t>
            </w:r>
          </w:p>
        </w:tc>
        <w:tc>
          <w:tcPr>
            <w:tcW w:type="dxa" w:w="2062"/>
            <w:shd w:fill="EEF0F6"/>
          </w:tcPr>
          <w:p>
            <w:r>
              <w:rPr>
                <w:b/>
                <w:color w:val="25254F"/>
                <w:sz w:val="18"/>
              </w:rPr>
            </w:r>
            <w:r>
              <w:rPr>
                <w:b/>
                <w:color w:val="25254F"/>
                <w:sz w:val="18"/>
              </w:rPr>
              <w:t>Высшая точка</w:t>
            </w:r>
          </w:p>
        </w:tc>
      </w:tr>
      <w:tr>
        <w:tc>
          <w:tcPr>
            <w:tcW w:type="dxa" w:w="2062"/>
          </w:tcPr>
          <w:p>
            <w:r>
              <w:rPr>
                <w:sz w:val="18"/>
              </w:rPr>
            </w:r>
            <w:r>
              <w:rPr>
                <w:sz w:val="18"/>
              </w:rPr>
              <w:t>Earn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</w:r>
            <w:r>
              <w:rPr>
                <w:sz w:val="18"/>
              </w:rPr>
              <w:t>1% при пополнении, уже в ставке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062"/>
          </w:tcPr>
          <w:p>
            <w:r>
              <w:rPr>
                <w:sz w:val="18"/>
              </w:rPr>
            </w:r>
            <w:r>
              <w:rPr>
                <w:sz w:val="18"/>
              </w:rPr>
              <w:t>Strategies · консервативный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</w:r>
            <w:r>
              <w:rPr>
                <w:sz w:val="18"/>
              </w:rPr>
              <w:t>1% при пополнении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</w:r>
            <w:r>
              <w:rPr>
                <w:sz w:val="18"/>
              </w:rPr>
              <w:t>10%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2062"/>
          </w:tcPr>
          <w:p>
            <w:r>
              <w:rPr>
                <w:sz w:val="18"/>
              </w:rPr>
            </w:r>
            <w:r>
              <w:rPr>
                <w:sz w:val="18"/>
              </w:rPr>
              <w:t>Strategies · умеренный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</w:r>
            <w:r>
              <w:rPr>
                <w:sz w:val="18"/>
              </w:rPr>
              <w:t>1% при пополнении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</w:r>
            <w:r>
              <w:rPr>
                <w:sz w:val="18"/>
              </w:rPr>
              <w:t>10%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2062"/>
          </w:tcPr>
          <w:p>
            <w:r>
              <w:rPr>
                <w:sz w:val="18"/>
              </w:rPr>
            </w:r>
            <w:r>
              <w:rPr>
                <w:sz w:val="18"/>
              </w:rPr>
              <w:t>Strategies · агрессивный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</w:r>
            <w:r>
              <w:rPr>
                <w:sz w:val="18"/>
              </w:rPr>
              <w:t>1% при пополнении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</w:r>
            <w:r>
              <w:rPr>
                <w:sz w:val="18"/>
              </w:rPr>
              <w:t>10%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2062"/>
          </w:tcPr>
          <w:p>
            <w:r>
              <w:rPr>
                <w:sz w:val="18"/>
              </w:rPr>
            </w:r>
            <w:r>
              <w:rPr>
                <w:sz w:val="18"/>
              </w:rPr>
              <w:t>Events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</w:r>
            <w:r>
              <w:rPr>
                <w:sz w:val="18"/>
              </w:rPr>
              <w:t>1% при пополнении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</w:r>
            <w:r>
              <w:rPr>
                <w:sz w:val="18"/>
              </w:rPr>
              <w:t>20%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</w:tr>
    </w:tbl>
    <w:p/>
    <w:p>
      <w:r>
        <w:t>Комиссия за управление одна на все продукты и не зависит ни от профиля риска, ни от срока размещения. Комиссия за результат берётся только там, где результат не гарантирован, и только с фактической прибыли.</w:t>
      </w:r>
    </w:p>
    <w:p>
      <w:r>
        <w:rPr>
          <w:b/>
        </w:rPr>
        <w:t>Чего не берём ни в одном продукте:</w:t>
      </w:r>
      <w:r>
        <w:t xml:space="preserve"> за ввод средств, за вывод средств, за неактивность счёта, с нереализованной прибыли, скрытого спреда сверх раскрытого.</w:t>
      </w:r>
    </w:p>
    <w:p>
      <w:pPr>
        <w:spacing w:before="120"/>
        <w:pBdr>
          <w:bottom w:val="single" w:sz="6" w:color="C9CDDB"/>
        </w:pBdr>
      </w:pPr>
    </w:p>
    <w:p>
      <w:pPr>
        <w:pStyle w:val="Heading2"/>
        <w:jc w:val="left"/>
      </w:pPr>
      <w:r>
        <w:rPr>
          <w:b/>
          <w:color w:val="25254F"/>
          <w:sz w:val="30"/>
        </w:rPr>
        <w:t>5. Где что описано подробнее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EF0F6"/>
          </w:tcPr>
          <w:p>
            <w:r>
              <w:rPr>
                <w:b/>
                <w:color w:val="25254F"/>
                <w:sz w:val="18"/>
              </w:rPr>
            </w:r>
            <w:r>
              <w:rPr>
                <w:b/>
                <w:color w:val="25254F"/>
                <w:sz w:val="18"/>
              </w:rPr>
              <w:t>Тема</w:t>
            </w:r>
          </w:p>
        </w:tc>
        <w:tc>
          <w:tcPr>
            <w:tcW w:type="dxa" w:w="5156"/>
            <w:shd w:fill="EEF0F6"/>
          </w:tcPr>
          <w:p>
            <w:r>
              <w:rPr>
                <w:b/>
                <w:color w:val="25254F"/>
                <w:sz w:val="18"/>
              </w:rPr>
            </w:r>
            <w:r>
              <w:rPr>
                <w:b/>
                <w:color w:val="25254F"/>
                <w:sz w:val="18"/>
              </w:rPr>
              <w:t>Документ</w:t>
            </w:r>
          </w:p>
        </w:tc>
      </w:tr>
      <w:tr>
        <w:tc>
          <w:tcPr>
            <w:tcW w:type="dxa" w:w="5156"/>
          </w:tcPr>
          <w:p>
            <w:r>
              <w:rPr>
                <w:sz w:val="18"/>
              </w:rPr>
            </w:r>
            <w:r>
              <w:rPr>
                <w:sz w:val="18"/>
              </w:rPr>
              <w:t>Что открыто на каждом этапе заявки</w:t>
            </w:r>
          </w:p>
        </w:tc>
        <w:tc>
          <w:tcPr>
            <w:tcW w:type="dxa" w:w="5156"/>
          </w:tcPr>
          <w:p>
            <w:r>
              <w:rPr>
                <w:sz w:val="18"/>
              </w:rPr>
            </w:r>
            <w:r>
              <w:rPr>
                <w:sz w:val="18"/>
              </w:rPr>
              <w:t>Регламент №1. Доступ по этапам заявки</w:t>
            </w:r>
          </w:p>
        </w:tc>
      </w:tr>
      <w:tr>
        <w:tc>
          <w:tcPr>
            <w:tcW w:type="dxa" w:w="5156"/>
          </w:tcPr>
          <w:p>
            <w:r>
              <w:rPr>
                <w:sz w:val="18"/>
              </w:rPr>
            </w:r>
            <w:r>
              <w:rPr>
                <w:sz w:val="18"/>
              </w:rPr>
              <w:t>Баллы и уровни инвестора</w:t>
            </w:r>
          </w:p>
        </w:tc>
        <w:tc>
          <w:tcPr>
            <w:tcW w:type="dxa" w:w="5156"/>
          </w:tcPr>
          <w:p>
            <w:r>
              <w:rPr>
                <w:sz w:val="18"/>
              </w:rPr>
            </w:r>
            <w:r>
              <w:rPr>
                <w:sz w:val="18"/>
              </w:rPr>
              <w:t>Регламент №2. Уровни инвестора</w:t>
            </w:r>
          </w:p>
        </w:tc>
      </w:tr>
      <w:tr>
        <w:tc>
          <w:tcPr>
            <w:tcW w:type="dxa" w:w="5156"/>
          </w:tcPr>
          <w:p>
            <w:r>
              <w:rPr>
                <w:sz w:val="18"/>
              </w:rPr>
            </w:r>
            <w:r>
              <w:rPr>
                <w:sz w:val="18"/>
              </w:rPr>
              <w:t>Счета хранения и приём средств</w:t>
            </w:r>
          </w:p>
        </w:tc>
        <w:tc>
          <w:tcPr>
            <w:tcW w:type="dxa" w:w="5156"/>
          </w:tcPr>
          <w:p>
            <w:r>
              <w:rPr>
                <w:sz w:val="18"/>
              </w:rPr>
            </w:r>
            <w:r>
              <w:rPr>
                <w:sz w:val="18"/>
              </w:rPr>
              <w:t>Регламент №3. Счета хранения</w:t>
            </w:r>
          </w:p>
        </w:tc>
      </w:tr>
      <w:tr>
        <w:tc>
          <w:tcPr>
            <w:tcW w:type="dxa" w:w="5156"/>
          </w:tcPr>
          <w:p>
            <w:r>
              <w:rPr>
                <w:sz w:val="18"/>
              </w:rPr>
            </w:r>
            <w:r>
              <w:rPr>
                <w:sz w:val="18"/>
              </w:rPr>
              <w:t>Комиссии: база, момент удержания, порядок расчёта</w:t>
            </w:r>
          </w:p>
        </w:tc>
        <w:tc>
          <w:tcPr>
            <w:tcW w:type="dxa" w:w="5156"/>
          </w:tcPr>
          <w:p>
            <w:r>
              <w:rPr>
                <w:sz w:val="18"/>
              </w:rPr>
            </w:r>
            <w:r>
              <w:rPr>
                <w:sz w:val="18"/>
              </w:rPr>
              <w:t>Регламент №4. Комиссии и монетизация</w:t>
            </w:r>
          </w:p>
        </w:tc>
      </w:tr>
      <w:tr>
        <w:tc>
          <w:tcPr>
            <w:tcW w:type="dxa" w:w="5156"/>
          </w:tcPr>
          <w:p>
            <w:r>
              <w:rPr>
                <w:sz w:val="18"/>
              </w:rPr>
            </w:r>
            <w:r>
              <w:rPr>
                <w:sz w:val="18"/>
              </w:rPr>
              <w:t>Путь от регистрации до открытого счёта</w:t>
            </w:r>
          </w:p>
        </w:tc>
        <w:tc>
          <w:tcPr>
            <w:tcW w:type="dxa" w:w="5156"/>
          </w:tcPr>
          <w:p>
            <w:r>
              <w:rPr>
                <w:sz w:val="18"/>
              </w:rPr>
            </w:r>
            <w:r>
              <w:rPr>
                <w:sz w:val="18"/>
              </w:rPr>
              <w:t>Регламент №5. Регистрация инвестора</w:t>
            </w:r>
          </w:p>
        </w:tc>
      </w:tr>
    </w:tbl>
    <w:p/>
    <w:p>
      <w:pPr>
        <w:spacing w:before="120"/>
        <w:pBdr>
          <w:bottom w:val="single" w:sz="6" w:color="C9CDDB"/>
        </w:pBdr>
      </w:pPr>
    </w:p>
    <w:p>
      <w:pPr>
        <w:pStyle w:val="Heading2"/>
        <w:jc w:val="left"/>
      </w:pPr>
      <w:r>
        <w:rPr>
          <w:b/>
          <w:color w:val="25254F"/>
          <w:sz w:val="30"/>
        </w:rPr>
        <w:t>6. Состояние реализации</w:t>
      </w:r>
    </w:p>
    <w:p>
      <w:r>
        <w:t>Кабинет приведён в соответствие с этим документом.</w:t>
      </w:r>
    </w:p>
    <w:p>
      <w:r>
        <w:rPr>
          <w:b/>
        </w:rPr>
        <w:t>Реализовано: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EF0F6"/>
          </w:tcPr>
          <w:p>
            <w:r>
              <w:rPr>
                <w:b/>
                <w:color w:val="25254F"/>
                <w:sz w:val="18"/>
              </w:rPr>
            </w:r>
            <w:r>
              <w:rPr>
                <w:b/>
                <w:color w:val="25254F"/>
                <w:sz w:val="18"/>
              </w:rPr>
              <w:t>Что</w:t>
            </w:r>
          </w:p>
        </w:tc>
        <w:tc>
          <w:tcPr>
            <w:tcW w:type="dxa" w:w="5156"/>
            <w:shd w:fill="EEF0F6"/>
          </w:tcPr>
          <w:p>
            <w:r>
              <w:rPr>
                <w:b/>
                <w:color w:val="25254F"/>
                <w:sz w:val="18"/>
              </w:rPr>
            </w:r>
            <w:r>
              <w:rPr>
                <w:b/>
                <w:color w:val="25254F"/>
                <w:sz w:val="18"/>
              </w:rPr>
              <w:t>Где</w:t>
            </w:r>
          </w:p>
        </w:tc>
      </w:tr>
      <w:tr>
        <w:tc>
          <w:tcPr>
            <w:tcW w:type="dxa" w:w="5156"/>
          </w:tcPr>
          <w:p>
            <w:r>
              <w:rPr>
                <w:sz w:val="18"/>
              </w:rPr>
            </w:r>
            <w:r>
              <w:rPr>
                <w:sz w:val="18"/>
              </w:rPr>
              <w:t>Три стратегии с профилями риска, включая Stable Income</w:t>
            </w:r>
          </w:p>
        </w:tc>
        <w:tc>
          <w:tcPr>
            <w:tcW w:type="dxa" w:w="51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modules/invest/pages/InvestPage.tsx</w:t>
            </w:r>
          </w:p>
        </w:tc>
      </w:tr>
      <w:tr>
        <w:tc>
          <w:tcPr>
            <w:tcW w:type="dxa" w:w="5156"/>
          </w:tcPr>
          <w:p>
            <w:r>
              <w:rPr>
                <w:sz w:val="18"/>
              </w:rPr>
            </w:r>
            <w:r>
              <w:rPr>
                <w:sz w:val="18"/>
              </w:rPr>
              <w:t>Схемы комиссий по профилям, а не единая</w:t>
            </w:r>
          </w:p>
        </w:tc>
        <w:tc>
          <w:tcPr>
            <w:tcW w:type="dxa" w:w="51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FEE_SCHEDULES</w:t>
            </w:r>
            <w:r>
              <w:rPr>
                <w:sz w:val="18"/>
              </w:rPr>
              <w:t xml:space="preserve"> в </w:t>
            </w:r>
            <w:r>
              <w:rPr>
                <w:rFonts w:ascii="Consolas" w:hAnsi="Consolas"/>
                <w:sz w:val="18"/>
              </w:rPr>
              <w:t>shared/lib/fees.ts</w:t>
            </w:r>
          </w:p>
        </w:tc>
      </w:tr>
      <w:tr>
        <w:tc>
          <w:tcPr>
            <w:tcW w:type="dxa" w:w="5156"/>
          </w:tcPr>
          <w:p>
            <w:r>
              <w:rPr>
                <w:sz w:val="18"/>
              </w:rPr>
            </w:r>
            <w:r>
              <w:rPr>
                <w:sz w:val="18"/>
              </w:rPr>
              <w:t>Комиссия за результат без барьера, единой ставкой по продукту</w:t>
            </w:r>
          </w:p>
        </w:tc>
        <w:tc>
          <w:tcPr>
            <w:tcW w:type="dxa" w:w="51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calcFees</w:t>
            </w:r>
          </w:p>
        </w:tc>
      </w:tr>
      <w:tr>
        <w:tc>
          <w:tcPr>
            <w:tcW w:type="dxa" w:w="5156"/>
          </w:tcPr>
          <w:p>
            <w:r>
              <w:rPr>
                <w:sz w:val="18"/>
              </w:rPr>
            </w:r>
            <w:r>
              <w:rPr>
                <w:sz w:val="18"/>
              </w:rPr>
              <w:t>Высшая точка в стратегиях, отсутствие её в Events</w:t>
            </w:r>
          </w:p>
        </w:tc>
        <w:tc>
          <w:tcPr>
            <w:tcW w:type="dxa" w:w="51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FeeSchedule.highWaterMark</w:t>
            </w:r>
          </w:p>
        </w:tc>
      </w:tr>
      <w:tr>
        <w:tc>
          <w:tcPr>
            <w:tcW w:type="dxa" w:w="5156"/>
          </w:tcPr>
          <w:p>
            <w:r>
              <w:rPr>
                <w:sz w:val="18"/>
              </w:rPr>
            </w:r>
            <w:r>
              <w:rPr>
                <w:sz w:val="18"/>
              </w:rPr>
              <w:t>Разбивка «до комиссий → на руки» с обеими строками</w:t>
            </w:r>
          </w:p>
        </w:tc>
        <w:tc>
          <w:tcPr>
            <w:tcW w:type="dxa" w:w="51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FeeBlock</w:t>
            </w:r>
          </w:p>
        </w:tc>
      </w:tr>
      <w:tr>
        <w:tc>
          <w:tcPr>
            <w:tcW w:type="dxa" w:w="5156"/>
          </w:tcPr>
          <w:p>
            <w:r>
              <w:rPr>
                <w:sz w:val="18"/>
              </w:rPr>
            </w:r>
            <w:r>
              <w:rPr>
                <w:sz w:val="18"/>
              </w:rPr>
              <w:t>Earn без срока: ежедневное начисление, окно вывода, запрос выплаты раз в месяц</w:t>
            </w:r>
          </w:p>
        </w:tc>
        <w:tc>
          <w:tcPr>
            <w:tcW w:type="dxa" w:w="51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InvestPage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shared/mock/contracts.ts</w:t>
            </w:r>
          </w:p>
        </w:tc>
      </w:tr>
      <w:tr>
        <w:tc>
          <w:tcPr>
            <w:tcW w:type="dxa" w:w="5156"/>
          </w:tcPr>
          <w:p>
            <w:r>
              <w:rPr>
                <w:sz w:val="18"/>
              </w:rPr>
            </w:r>
            <w:r>
              <w:rPr>
                <w:sz w:val="18"/>
              </w:rPr>
              <w:t>Комиссии на карточках продуктов и на лендинге</w:t>
            </w:r>
          </w:p>
        </w:tc>
        <w:tc>
          <w:tcPr>
            <w:tcW w:type="dxa" w:w="51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feeLabel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apps/site/src/content/landing.ts</w:t>
            </w:r>
          </w:p>
        </w:tc>
      </w:tr>
    </w:tbl>
    <w:p/>
    <w:p>
      <w:r>
        <w:rPr>
          <w:b/>
        </w:rPr>
        <w:t>Требует бэкенда: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EF0F6"/>
          </w:tcPr>
          <w:p>
            <w:r>
              <w:rPr>
                <w:b/>
                <w:color w:val="25254F"/>
                <w:sz w:val="18"/>
              </w:rPr>
            </w:r>
            <w:r>
              <w:rPr>
                <w:b/>
                <w:color w:val="25254F"/>
                <w:sz w:val="18"/>
              </w:rPr>
              <w:t>Что</w:t>
            </w:r>
          </w:p>
        </w:tc>
        <w:tc>
          <w:tcPr>
            <w:tcW w:type="dxa" w:w="5156"/>
            <w:shd w:fill="EEF0F6"/>
          </w:tcPr>
          <w:p>
            <w:r>
              <w:rPr>
                <w:b/>
                <w:color w:val="25254F"/>
                <w:sz w:val="18"/>
              </w:rPr>
            </w:r>
            <w:r>
              <w:rPr>
                <w:b/>
                <w:color w:val="25254F"/>
                <w:sz w:val="18"/>
              </w:rPr>
              <w:t>Почему пока нет</w:t>
            </w:r>
          </w:p>
        </w:tc>
      </w:tr>
      <w:tr>
        <w:tc>
          <w:tcPr>
            <w:tcW w:type="dxa" w:w="5156"/>
          </w:tcPr>
          <w:p>
            <w:r>
              <w:rPr>
                <w:sz w:val="18"/>
              </w:rPr>
            </w:r>
            <w:r>
              <w:rPr>
                <w:sz w:val="18"/>
              </w:rPr>
              <w:t>Ежедневное начисление и ежемесячное удержание комиссии за управление</w:t>
            </w:r>
          </w:p>
        </w:tc>
        <w:tc>
          <w:tcPr>
            <w:tcW w:type="dxa" w:w="5156"/>
          </w:tcPr>
          <w:p>
            <w:r>
              <w:rPr>
                <w:sz w:val="18"/>
              </w:rPr>
            </w:r>
            <w:r>
              <w:rPr>
                <w:sz w:val="18"/>
              </w:rPr>
              <w:t>нужен планировщик и учёт операций</w:t>
            </w:r>
          </w:p>
        </w:tc>
      </w:tr>
      <w:tr>
        <w:tc>
          <w:tcPr>
            <w:tcW w:type="dxa" w:w="5156"/>
          </w:tcPr>
          <w:p>
            <w:r>
              <w:rPr>
                <w:sz w:val="18"/>
              </w:rPr>
            </w:r>
            <w:r>
              <w:rPr>
                <w:sz w:val="18"/>
              </w:rPr>
              <w:t>Хранение высшей точки по счёту и её перенос при продлении</w:t>
            </w:r>
          </w:p>
        </w:tc>
        <w:tc>
          <w:tcPr>
            <w:tcW w:type="dxa" w:w="5156"/>
          </w:tcPr>
          <w:p>
            <w:r>
              <w:rPr>
                <w:sz w:val="18"/>
              </w:rPr>
            </w:r>
            <w:r>
              <w:rPr>
                <w:sz w:val="18"/>
              </w:rPr>
              <w:t>нужна история результатов</w:t>
            </w:r>
          </w:p>
        </w:tc>
      </w:tr>
      <w:tr>
        <w:tc>
          <w:tcPr>
            <w:tcW w:type="dxa" w:w="5156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Перерасчёт pro rata при досрочном выходе</w:t>
            </w:r>
          </w:p>
        </w:tc>
        <w:tc>
          <w:tcPr>
            <w:tcW w:type="dxa" w:w="5156"/>
          </w:tcPr>
          <w:p>
            <w:r>
              <w:rPr>
                <w:sz w:val="18"/>
              </w:rPr>
            </w:r>
            <w:r>
              <w:rPr>
                <w:sz w:val="18"/>
              </w:rPr>
              <w:t>нужен фактический учёт дней</w:t>
            </w:r>
          </w:p>
        </w:tc>
      </w:tr>
      <w:tr>
        <w:tc>
          <w:tcPr>
            <w:tcW w:type="dxa" w:w="5156"/>
          </w:tcPr>
          <w:p>
            <w:r>
              <w:rPr>
                <w:sz w:val="18"/>
              </w:rPr>
            </w:r>
            <w:r>
              <w:rPr>
                <w:sz w:val="18"/>
              </w:rPr>
              <w:t>Исполнение заявок на вывод в еженедельное окно</w:t>
            </w:r>
          </w:p>
        </w:tc>
        <w:tc>
          <w:tcPr>
            <w:tcW w:type="dxa" w:w="5156"/>
          </w:tcPr>
          <w:p>
            <w:r>
              <w:rPr>
                <w:sz w:val="18"/>
              </w:rPr>
            </w:r>
            <w:r>
              <w:rPr>
                <w:sz w:val="18"/>
              </w:rPr>
              <w:t>нужна очередь заявок</w:t>
            </w:r>
          </w:p>
        </w:tc>
      </w:tr>
      <w:tr>
        <w:tc>
          <w:tcPr>
            <w:tcW w:type="dxa" w:w="5156"/>
          </w:tcPr>
          <w:p>
            <w:r>
              <w:rPr>
                <w:sz w:val="18"/>
              </w:rPr>
            </w:r>
            <w:r>
              <w:rPr>
                <w:sz w:val="18"/>
              </w:rPr>
              <w:t>Подключение внешних кошельков и бирж для стратегий</w:t>
            </w:r>
          </w:p>
        </w:tc>
        <w:tc>
          <w:tcPr>
            <w:tcW w:type="dxa" w:w="5156"/>
          </w:tcPr>
          <w:p>
            <w:r>
              <w:rPr>
                <w:sz w:val="18"/>
              </w:rPr>
            </w:r>
            <w:r>
              <w:rPr>
                <w:sz w:val="18"/>
              </w:rPr>
              <w:t>нужен механизм разграничения прав (§2.5)</w:t>
            </w:r>
          </w:p>
        </w:tc>
      </w:tr>
      <w:tr>
        <w:tc>
          <w:tcPr>
            <w:tcW w:type="dxa" w:w="5156"/>
          </w:tcPr>
          <w:p>
            <w:r>
              <w:rPr>
                <w:sz w:val="18"/>
              </w:rPr>
            </w:r>
            <w:r>
              <w:rPr>
                <w:sz w:val="18"/>
              </w:rPr>
              <w:t>Отражение комиссий отдельными операциями в выписке</w:t>
            </w:r>
          </w:p>
        </w:tc>
        <w:tc>
          <w:tcPr>
            <w:tcW w:type="dxa" w:w="5156"/>
          </w:tcPr>
          <w:p>
            <w:r>
              <w:rPr>
                <w:sz w:val="18"/>
              </w:rPr>
            </w:r>
            <w:r>
              <w:rPr>
                <w:sz w:val="18"/>
              </w:rPr>
              <w:t>нужен журнал операций</w:t>
            </w:r>
          </w:p>
        </w:tc>
      </w:tr>
    </w:tbl>
    <w:p/>
    <w:sectPr w:rsidR="00FC693F" w:rsidRPr="0006063C" w:rsidSect="00034616">
      <w:pgSz w:w="12240" w:h="15840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