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F89C7" w14:textId="5C7C63AD" w:rsidR="008B5CAF" w:rsidRPr="00467D5C" w:rsidRDefault="008B5CAF" w:rsidP="00467D5C">
      <w:pPr>
        <w:spacing w:after="0"/>
        <w:rPr>
          <w:rStyle w:val="SubtleEmphasis"/>
          <w:b/>
          <w:bCs/>
          <w:i w:val="0"/>
          <w:iCs w:val="0"/>
          <w:sz w:val="28"/>
          <w:szCs w:val="28"/>
        </w:rPr>
      </w:pPr>
      <w:r w:rsidRPr="00467D5C">
        <w:rPr>
          <w:rStyle w:val="SubtleEmphasis"/>
          <w:b/>
          <w:bCs/>
          <w:i w:val="0"/>
          <w:iCs w:val="0"/>
          <w:sz w:val="28"/>
          <w:szCs w:val="28"/>
        </w:rPr>
        <w:t>Re-</w:t>
      </w:r>
      <w:r w:rsidR="00603184">
        <w:rPr>
          <w:rStyle w:val="SubtleEmphasis"/>
          <w:b/>
          <w:bCs/>
          <w:i w:val="0"/>
          <w:iCs w:val="0"/>
          <w:sz w:val="28"/>
          <w:szCs w:val="28"/>
        </w:rPr>
        <w:t>visiting</w:t>
      </w:r>
      <w:r w:rsidRPr="00467D5C">
        <w:rPr>
          <w:rStyle w:val="SubtleEmphasis"/>
          <w:b/>
          <w:bCs/>
          <w:i w:val="0"/>
          <w:iCs w:val="0"/>
          <w:sz w:val="28"/>
          <w:szCs w:val="28"/>
        </w:rPr>
        <w:t xml:space="preserve"> the Construction of the Ningirsu Temple by Gudea</w:t>
      </w:r>
    </w:p>
    <w:p w14:paraId="7AA5455F" w14:textId="77777777" w:rsidR="008B5CAF" w:rsidRPr="00467D5C" w:rsidRDefault="008B5CAF" w:rsidP="00467D5C">
      <w:pPr>
        <w:spacing w:after="0"/>
        <w:rPr>
          <w:rStyle w:val="SubtleEmphasis"/>
          <w:b/>
          <w:bCs/>
          <w:i w:val="0"/>
          <w:iCs w:val="0"/>
        </w:rPr>
      </w:pPr>
      <w:r w:rsidRPr="00467D5C">
        <w:rPr>
          <w:rStyle w:val="SubtleEmphasis"/>
          <w:b/>
          <w:bCs/>
          <w:i w:val="0"/>
          <w:iCs w:val="0"/>
        </w:rPr>
        <w:t xml:space="preserve">From </w:t>
      </w:r>
      <w:proofErr w:type="spellStart"/>
      <w:r w:rsidRPr="00467D5C">
        <w:rPr>
          <w:rStyle w:val="SubtleEmphasis"/>
          <w:b/>
          <w:bCs/>
          <w:i w:val="0"/>
          <w:iCs w:val="0"/>
        </w:rPr>
        <w:t>Sumeriological</w:t>
      </w:r>
      <w:proofErr w:type="spellEnd"/>
      <w:r w:rsidRPr="00467D5C">
        <w:rPr>
          <w:rStyle w:val="SubtleEmphasis"/>
          <w:b/>
          <w:bCs/>
          <w:i w:val="0"/>
          <w:iCs w:val="0"/>
        </w:rPr>
        <w:t xml:space="preserve"> Consensus to Functional–Institutional Interpretation</w:t>
      </w:r>
    </w:p>
    <w:p w14:paraId="280EE4CD" w14:textId="5E6C542D" w:rsidR="00467D5C" w:rsidRPr="008B5CAF" w:rsidRDefault="00467D5C" w:rsidP="008B5CAF">
      <w:pPr>
        <w:rPr>
          <w:b/>
          <w:bCs/>
          <w:sz w:val="20"/>
          <w:szCs w:val="20"/>
        </w:rPr>
      </w:pPr>
      <w:r w:rsidRPr="00467D5C">
        <w:rPr>
          <w:rStyle w:val="SubtleEmphasis"/>
          <w:sz w:val="20"/>
          <w:szCs w:val="20"/>
        </w:rPr>
        <w:t xml:space="preserve">By Purushothaman, P., </w:t>
      </w:r>
      <w:proofErr w:type="spellStart"/>
      <w:r w:rsidRPr="00467D5C">
        <w:rPr>
          <w:rStyle w:val="SubtleEmphasis"/>
          <w:sz w:val="20"/>
          <w:szCs w:val="20"/>
        </w:rPr>
        <w:t>Siddimgal</w:t>
      </w:r>
      <w:proofErr w:type="spellEnd"/>
      <w:r w:rsidRPr="00467D5C">
        <w:rPr>
          <w:rStyle w:val="SubtleEmphasis"/>
          <w:sz w:val="20"/>
          <w:szCs w:val="20"/>
        </w:rPr>
        <w:t xml:space="preserve">, an independent researcher on evolutionary linguistics and ancient forms of Tamil, email: </w:t>
      </w:r>
      <w:hyperlink r:id="rId5" w:history="1">
        <w:r w:rsidRPr="00467D5C">
          <w:rPr>
            <w:rStyle w:val="Hyperlink"/>
            <w:sz w:val="20"/>
            <w:szCs w:val="20"/>
          </w:rPr>
          <w:t>ellapura@gmail.com</w:t>
        </w:r>
      </w:hyperlink>
    </w:p>
    <w:p w14:paraId="3163428D" w14:textId="77777777" w:rsidR="008B5CAF" w:rsidRPr="008B5CAF" w:rsidRDefault="00000000" w:rsidP="008B5CAF">
      <w:r>
        <w:pict w14:anchorId="52F32D3F">
          <v:rect id="_x0000_i1025" style="width:0;height:1.5pt" o:hralign="center" o:hrstd="t" o:hr="t" fillcolor="#a0a0a0" stroked="f"/>
        </w:pict>
      </w:r>
    </w:p>
    <w:p w14:paraId="47FCF5F6" w14:textId="77777777" w:rsidR="008B5CAF" w:rsidRPr="008B5CAF" w:rsidRDefault="008B5CAF" w:rsidP="008B5CAF">
      <w:pPr>
        <w:rPr>
          <w:b/>
          <w:bCs/>
          <w:cs/>
        </w:rPr>
      </w:pPr>
      <w:r w:rsidRPr="008B5CAF">
        <w:rPr>
          <w:b/>
          <w:bCs/>
        </w:rPr>
        <w:t>Abstract</w:t>
      </w:r>
    </w:p>
    <w:p w14:paraId="4E74B6EF" w14:textId="47260DC0" w:rsidR="008B5CAF" w:rsidRPr="008B5CAF" w:rsidRDefault="008B5CAF" w:rsidP="008B5CAF">
      <w:r w:rsidRPr="008B5CAF">
        <w:t xml:space="preserve">The construction of the E-NINNU temple by Gudea of Lagash occupies a central place in </w:t>
      </w:r>
      <w:proofErr w:type="spellStart"/>
      <w:r w:rsidRPr="008B5CAF">
        <w:t>Sumeriological</w:t>
      </w:r>
      <w:proofErr w:type="spellEnd"/>
      <w:r w:rsidRPr="008B5CAF">
        <w:t xml:space="preserve"> scholarship. Conventional interpretations </w:t>
      </w:r>
      <w:proofErr w:type="spellStart"/>
      <w:r w:rsidRPr="008B5CAF">
        <w:t>emphasise</w:t>
      </w:r>
      <w:proofErr w:type="spellEnd"/>
      <w:r w:rsidRPr="008B5CAF">
        <w:t xml:space="preserve"> royal piety, divine instruction, and political legitimation through temple building. Drawing on standard readings from Sumerian textual corpora, archaeology, and architectural studies, this paper revisits the Ningirsu temple as a layered institutional process rather than a static religious monument. Without rejecting established interpretations, the paper proposes a complementary functional–institutional reading, in which deity, number, architecture, material procurement, and ritual practice operate together as mechanisms for validating and sustaining social, ecological, and civic order. The paper is offered as an open, dialogic contribution, inviting further scholarly feedback</w:t>
      </w:r>
      <w:r w:rsidR="00603184">
        <w:t xml:space="preserve"> and research</w:t>
      </w:r>
      <w:r w:rsidRPr="008B5CAF">
        <w:t>.</w:t>
      </w:r>
    </w:p>
    <w:p w14:paraId="6E9ABD1F" w14:textId="77777777" w:rsidR="008B5CAF" w:rsidRPr="008B5CAF" w:rsidRDefault="00000000" w:rsidP="008B5CAF">
      <w:r>
        <w:pict w14:anchorId="561B9ABC">
          <v:rect id="_x0000_i1026" style="width:0;height:1.5pt" o:hralign="center" o:hrstd="t" o:hr="t" fillcolor="#a0a0a0" stroked="f"/>
        </w:pict>
      </w:r>
    </w:p>
    <w:p w14:paraId="41564759" w14:textId="77777777" w:rsidR="008B5CAF" w:rsidRPr="008B5CAF" w:rsidRDefault="008B5CAF" w:rsidP="008B5CAF">
      <w:pPr>
        <w:rPr>
          <w:b/>
          <w:bCs/>
        </w:rPr>
      </w:pPr>
      <w:r w:rsidRPr="008B5CAF">
        <w:rPr>
          <w:b/>
          <w:bCs/>
        </w:rPr>
        <w:t>1. Introduction</w:t>
      </w:r>
    </w:p>
    <w:p w14:paraId="25FBE931" w14:textId="77777777" w:rsidR="008B5CAF" w:rsidRPr="008B5CAF" w:rsidRDefault="008B5CAF" w:rsidP="008B5CAF">
      <w:r w:rsidRPr="008B5CAF">
        <w:t>Among Mesopotamian royal inscriptions, the texts of Gudea describing the construction of the E-NINNU temple to Ningirsu are unusually rich in detail. They describe dreams, divine instruction, precise measurements, procurement of distant materials, ritual correctness, and repeated emphasis on following ancient precedent. For this reason, the Gudea corpus has long been treated as a key source for understanding Sumerian religion, kingship, and institutional life.</w:t>
      </w:r>
    </w:p>
    <w:p w14:paraId="4C2DB7B2" w14:textId="77777777" w:rsidR="008B5CAF" w:rsidRPr="008B5CAF" w:rsidRDefault="008B5CAF" w:rsidP="008B5CAF">
      <w:r w:rsidRPr="008B5CAF">
        <w:t xml:space="preserve">This study situates itself within that scholarly tradition, while proposing a shift in emphasis: from reading the temple primarily as a symbolic or theological structure to understanding it as a functional institution that coordinated authority, </w:t>
      </w:r>
      <w:proofErr w:type="spellStart"/>
      <w:r w:rsidRPr="008B5CAF">
        <w:t>labour</w:t>
      </w:r>
      <w:proofErr w:type="spellEnd"/>
      <w:r w:rsidRPr="008B5CAF">
        <w:t>, knowledge, and environmental realities.</w:t>
      </w:r>
    </w:p>
    <w:p w14:paraId="10ECF8AA" w14:textId="77777777" w:rsidR="008B5CAF" w:rsidRPr="008B5CAF" w:rsidRDefault="00000000" w:rsidP="008B5CAF">
      <w:r>
        <w:pict w14:anchorId="7C0BF7C2">
          <v:rect id="_x0000_i1027" style="width:0;height:1.5pt" o:hralign="center" o:hrstd="t" o:hr="t" fillcolor="#a0a0a0" stroked="f"/>
        </w:pict>
      </w:r>
    </w:p>
    <w:p w14:paraId="6E0C52CB" w14:textId="77777777" w:rsidR="008B5CAF" w:rsidRPr="008B5CAF" w:rsidRDefault="008B5CAF" w:rsidP="008B5CAF">
      <w:pPr>
        <w:rPr>
          <w:b/>
          <w:bCs/>
        </w:rPr>
      </w:pPr>
      <w:r w:rsidRPr="008B5CAF">
        <w:rPr>
          <w:b/>
          <w:bCs/>
        </w:rPr>
        <w:t xml:space="preserve">2. </w:t>
      </w:r>
      <w:proofErr w:type="spellStart"/>
      <w:r w:rsidRPr="008B5CAF">
        <w:rPr>
          <w:b/>
          <w:bCs/>
        </w:rPr>
        <w:t>Sumeriological</w:t>
      </w:r>
      <w:proofErr w:type="spellEnd"/>
      <w:r w:rsidRPr="008B5CAF">
        <w:rPr>
          <w:b/>
          <w:bCs/>
        </w:rPr>
        <w:t xml:space="preserve"> Perspectives on Gudea and Temple Construction</w:t>
      </w:r>
    </w:p>
    <w:p w14:paraId="69D1290F" w14:textId="77777777" w:rsidR="008B5CAF" w:rsidRPr="008B5CAF" w:rsidRDefault="008B5CAF" w:rsidP="008B5CAF">
      <w:proofErr w:type="spellStart"/>
      <w:r w:rsidRPr="008B5CAF">
        <w:t>Sumeriologists</w:t>
      </w:r>
      <w:proofErr w:type="spellEnd"/>
      <w:r w:rsidRPr="008B5CAF">
        <w:t xml:space="preserve"> generally agree that temple construction in Mesopotamia served multiple interconnected purposes: demonstration of piety, legitimation of political authority, restoration of cosmic order, and consolidation of economic and administrative functions. Gudea is typically </w:t>
      </w:r>
      <w:r w:rsidRPr="008B5CAF">
        <w:lastRenderedPageBreak/>
        <w:t>portrayed as an exemplary ruler who restores divine order by carefully executing plans revealed through dreams and omens, rather than asserting personal innovation.</w:t>
      </w:r>
    </w:p>
    <w:p w14:paraId="18211345" w14:textId="77777777" w:rsidR="008B5CAF" w:rsidRPr="008B5CAF" w:rsidRDefault="008B5CAF" w:rsidP="008B5CAF">
      <w:r w:rsidRPr="008B5CAF">
        <w:t>Scholars also note the insistence on antiquity in Gudea’s inscriptions. The temple is presented as ancient, primordial, and foundational to the identity of the city. Archaeology, however, demonstrates that temples were rebuilt repeatedly on the same site, with successive phases raising the platform over time. Thus, “ancient” refers not to a single architectural phase, but to institutional continuity.</w:t>
      </w:r>
    </w:p>
    <w:p w14:paraId="47ED0A58" w14:textId="77777777" w:rsidR="008B5CAF" w:rsidRPr="008B5CAF" w:rsidRDefault="00000000" w:rsidP="008B5CAF">
      <w:r>
        <w:pict w14:anchorId="722CC908">
          <v:rect id="_x0000_i1028" style="width:0;height:1.5pt" o:hralign="center" o:hrstd="t" o:hr="t" fillcolor="#a0a0a0" stroked="f"/>
        </w:pict>
      </w:r>
    </w:p>
    <w:p w14:paraId="6BB2A85C" w14:textId="77777777" w:rsidR="008B5CAF" w:rsidRPr="008B5CAF" w:rsidRDefault="008B5CAF" w:rsidP="008B5CAF">
      <w:pPr>
        <w:rPr>
          <w:b/>
          <w:bCs/>
        </w:rPr>
      </w:pPr>
      <w:r w:rsidRPr="008B5CAF">
        <w:rPr>
          <w:b/>
          <w:bCs/>
        </w:rPr>
        <w:t>3. Numbers, Authority, and Institutional Function</w:t>
      </w:r>
    </w:p>
    <w:p w14:paraId="3FF1BBD2" w14:textId="77777777" w:rsidR="008B5CAF" w:rsidRPr="008B5CAF" w:rsidRDefault="008B5CAF" w:rsidP="008B5CAF">
      <w:r w:rsidRPr="008B5CAF">
        <w:t>Mesopotamian deities are traditionally associated with numbers: An (60), Enlil (50), Nanna (30), and Utu (20, with later traditions occasionally assigning 25). Rather than reading these numbers as mere identifiers, this study treats them as indicators of functional or temporal authority.</w:t>
      </w:r>
    </w:p>
    <w:p w14:paraId="37BF3E6E" w14:textId="77777777" w:rsidR="008B5CAF" w:rsidRPr="008B5CAF" w:rsidRDefault="008B5CAF" w:rsidP="008B5CAF">
      <w:r w:rsidRPr="008B5CAF">
        <w:t xml:space="preserve">In this context, the appearance of </w:t>
      </w:r>
      <w:proofErr w:type="spellStart"/>
      <w:r w:rsidRPr="008B5CAF">
        <w:rPr>
          <w:i/>
          <w:iCs/>
        </w:rPr>
        <w:t>ninnu</w:t>
      </w:r>
      <w:proofErr w:type="spellEnd"/>
      <w:r w:rsidRPr="008B5CAF">
        <w:t xml:space="preserve"> (“fifty”) in the name E-NINNU is significant. The temple of Ningirsu is not a shrine to Enlil, but a local instantiation of the authority associated with the “fifty-function”: coordinated, validated executive power. Enlil embodies authority-in-principle; Ningirsu embodies authority-in-action.</w:t>
      </w:r>
    </w:p>
    <w:p w14:paraId="3ECAE551" w14:textId="77777777" w:rsidR="008B5CAF" w:rsidRPr="008B5CAF" w:rsidRDefault="00000000" w:rsidP="008B5CAF">
      <w:r>
        <w:pict w14:anchorId="3B2925FA">
          <v:rect id="_x0000_i1029" style="width:0;height:1.5pt" o:hralign="center" o:hrstd="t" o:hr="t" fillcolor="#a0a0a0" stroked="f"/>
        </w:pict>
      </w:r>
    </w:p>
    <w:p w14:paraId="08CC28B9" w14:textId="77777777" w:rsidR="008B5CAF" w:rsidRPr="008B5CAF" w:rsidRDefault="008B5CAF" w:rsidP="008B5CAF">
      <w:pPr>
        <w:rPr>
          <w:b/>
          <w:bCs/>
        </w:rPr>
      </w:pPr>
      <w:r w:rsidRPr="008B5CAF">
        <w:rPr>
          <w:b/>
          <w:bCs/>
        </w:rPr>
        <w:t>4. The Temple as Applied Intelligence</w:t>
      </w:r>
    </w:p>
    <w:p w14:paraId="1B4301F3" w14:textId="77777777" w:rsidR="008B5CAF" w:rsidRPr="008B5CAF" w:rsidRDefault="008B5CAF" w:rsidP="008B5CAF">
      <w:r w:rsidRPr="008B5CAF">
        <w:t xml:space="preserve">Gudea’s inscriptions </w:t>
      </w:r>
      <w:proofErr w:type="spellStart"/>
      <w:r w:rsidRPr="008B5CAF">
        <w:t>emphasise</w:t>
      </w:r>
      <w:proofErr w:type="spellEnd"/>
      <w:r w:rsidRPr="008B5CAF">
        <w:t xml:space="preserve"> correctness: correct measurements, proper materials, ritually appropriate timing, and precise execution. This suggests that the temple functioned as a node of validation, where knowledge became effective only when applied correctly. In this sense, the E-NINNU may be read as an institution of applied intelligence, understood here as validated, practice-based knowledge rather than abstract cognition.</w:t>
      </w:r>
    </w:p>
    <w:p w14:paraId="74AE785A" w14:textId="77777777" w:rsidR="008B5CAF" w:rsidRPr="008B5CAF" w:rsidRDefault="00000000" w:rsidP="008B5CAF">
      <w:r>
        <w:pict w14:anchorId="34A2BB37">
          <v:rect id="_x0000_i1030" style="width:0;height:1.5pt" o:hralign="center" o:hrstd="t" o:hr="t" fillcolor="#a0a0a0" stroked="f"/>
        </w:pict>
      </w:r>
    </w:p>
    <w:p w14:paraId="644C13EC" w14:textId="77777777" w:rsidR="008B5CAF" w:rsidRPr="008B5CAF" w:rsidRDefault="008B5CAF" w:rsidP="008B5CAF">
      <w:pPr>
        <w:rPr>
          <w:b/>
          <w:bCs/>
        </w:rPr>
      </w:pPr>
      <w:r w:rsidRPr="008B5CAF">
        <w:rPr>
          <w:b/>
          <w:bCs/>
        </w:rPr>
        <w:t>Conclusion</w:t>
      </w:r>
    </w:p>
    <w:p w14:paraId="55A52F0E" w14:textId="77777777" w:rsidR="008B5CAF" w:rsidRPr="008B5CAF" w:rsidRDefault="008B5CAF" w:rsidP="008B5CAF">
      <w:r w:rsidRPr="008B5CAF">
        <w:t xml:space="preserve">The construction of the E-NINNU temple by Gudea can be understood as the restoration and reinforcement of an ancient institutional order. Reading the temple as a functional system—rather than solely as a religious monument—allows us to integrate textual, architectural, numerical, and material evidence into a coherent interpretation. This approach complements established </w:t>
      </w:r>
      <w:proofErr w:type="spellStart"/>
      <w:r w:rsidRPr="008B5CAF">
        <w:t>Sumeriological</w:t>
      </w:r>
      <w:proofErr w:type="spellEnd"/>
      <w:r w:rsidRPr="008B5CAF">
        <w:t xml:space="preserve"> scholarship while opening new avenues for dialogue.</w:t>
      </w:r>
    </w:p>
    <w:p w14:paraId="3D0B229F" w14:textId="77777777" w:rsidR="008B5CAF" w:rsidRPr="008B5CAF" w:rsidRDefault="00000000" w:rsidP="008B5CAF">
      <w:r>
        <w:pict w14:anchorId="61F50D30">
          <v:rect id="_x0000_i1031" style="width:0;height:1.5pt" o:hralign="center" o:hrstd="t" o:hr="t" fillcolor="#a0a0a0" stroked="f"/>
        </w:pict>
      </w:r>
    </w:p>
    <w:p w14:paraId="6F3C153C" w14:textId="77777777" w:rsidR="008B5CAF" w:rsidRPr="008B5CAF" w:rsidRDefault="008B5CAF" w:rsidP="008B5CAF">
      <w:pPr>
        <w:rPr>
          <w:b/>
          <w:bCs/>
        </w:rPr>
      </w:pPr>
      <w:r w:rsidRPr="008B5CAF">
        <w:rPr>
          <w:b/>
          <w:bCs/>
        </w:rPr>
        <w:t xml:space="preserve">Annexure–1: Interpretive Framework for Reading the Construction of </w:t>
      </w:r>
      <w:proofErr w:type="spellStart"/>
      <w:r w:rsidRPr="008B5CAF">
        <w:rPr>
          <w:b/>
          <w:bCs/>
        </w:rPr>
        <w:t>Ningirsu’s</w:t>
      </w:r>
      <w:proofErr w:type="spellEnd"/>
      <w:r w:rsidRPr="008B5CAF">
        <w:rPr>
          <w:b/>
          <w:bCs/>
        </w:rPr>
        <w:t xml:space="preserve"> Temple</w:t>
      </w:r>
    </w:p>
    <w:p w14:paraId="6F079914" w14:textId="77777777" w:rsidR="008B5CAF" w:rsidRPr="008B5CAF" w:rsidRDefault="008B5CAF" w:rsidP="008B5CAF">
      <w:r w:rsidRPr="008B5CAF">
        <w:lastRenderedPageBreak/>
        <w:t>This annexure sets out the interpretive assumptions and methodological boundaries within which the main article should be read. It is intended to orient readers coming from archaeology, philology, architecture, or comparative studies, and to prevent misreading the article as speculative theology or linguistic derivation.</w:t>
      </w:r>
    </w:p>
    <w:p w14:paraId="11887EE4" w14:textId="77777777" w:rsidR="008B5CAF" w:rsidRPr="008B5CAF" w:rsidRDefault="008B5CAF" w:rsidP="008B5CAF">
      <w:pPr>
        <w:rPr>
          <w:b/>
          <w:bCs/>
        </w:rPr>
      </w:pPr>
      <w:r w:rsidRPr="008B5CAF">
        <w:rPr>
          <w:b/>
          <w:bCs/>
        </w:rPr>
        <w:t>1. Temple as Institution, Not Object</w:t>
      </w:r>
    </w:p>
    <w:p w14:paraId="3C78B696" w14:textId="77777777" w:rsidR="008B5CAF" w:rsidRPr="008B5CAF" w:rsidRDefault="008B5CAF" w:rsidP="008B5CAF">
      <w:r w:rsidRPr="008B5CAF">
        <w:t xml:space="preserve">Mesopotamian temples were </w:t>
      </w:r>
      <w:proofErr w:type="spellStart"/>
      <w:r w:rsidRPr="008B5CAF">
        <w:t>not</w:t>
      </w:r>
      <w:proofErr w:type="spellEnd"/>
      <w:r w:rsidRPr="008B5CAF">
        <w:t xml:space="preserve"> single, finished architectural objects. Archaeological evidence demonstrates repeated rebuilding on the same sacred site, with successive phases raising the platform over time. This process responded to flooding, grain storage requirements, and ritual continuity. Accordingly, dimensions associated with any one building phase do not define the scale or function of the institution itself.</w:t>
      </w:r>
    </w:p>
    <w:p w14:paraId="7E017673" w14:textId="77777777" w:rsidR="008B5CAF" w:rsidRPr="008B5CAF" w:rsidRDefault="008B5CAF" w:rsidP="008B5CAF">
      <w:pPr>
        <w:rPr>
          <w:b/>
          <w:bCs/>
        </w:rPr>
      </w:pPr>
      <w:r w:rsidRPr="008B5CAF">
        <w:rPr>
          <w:b/>
          <w:bCs/>
        </w:rPr>
        <w:t>2. “Ancient” as Institutional Continuity</w:t>
      </w:r>
    </w:p>
    <w:p w14:paraId="192A1171" w14:textId="77777777" w:rsidR="008B5CAF" w:rsidRPr="008B5CAF" w:rsidRDefault="008B5CAF" w:rsidP="008B5CAF">
      <w:r w:rsidRPr="008B5CAF">
        <w:t>In Gudea’s inscriptions, the Ningirsu temple is described as ancient and primordial. This language refers to the continuity of authority, ritual legitimacy, and institutional memory rather than to an unchanging architectural form. Gudea presents himself as a restorer of an inherited order, not an innovator.</w:t>
      </w:r>
    </w:p>
    <w:p w14:paraId="7DEBD2AC" w14:textId="77777777" w:rsidR="008B5CAF" w:rsidRPr="008B5CAF" w:rsidRDefault="008B5CAF" w:rsidP="008B5CAF">
      <w:pPr>
        <w:rPr>
          <w:b/>
          <w:bCs/>
        </w:rPr>
      </w:pPr>
      <w:r w:rsidRPr="008B5CAF">
        <w:rPr>
          <w:b/>
          <w:bCs/>
        </w:rPr>
        <w:t>3. Numbers as Functional Authorities</w:t>
      </w:r>
    </w:p>
    <w:p w14:paraId="5AFDFA48" w14:textId="77777777" w:rsidR="008B5CAF" w:rsidRPr="008B5CAF" w:rsidRDefault="008B5CAF" w:rsidP="008B5CAF">
      <w:r w:rsidRPr="008B5CAF">
        <w:t xml:space="preserve">Numbers associated with deities (An = 60, Enlil = 50, Nanna = 30, Utu = 20/25) are treated here as indicators of functional or temporal authority. The presence of </w:t>
      </w:r>
      <w:proofErr w:type="spellStart"/>
      <w:r w:rsidRPr="008B5CAF">
        <w:rPr>
          <w:i/>
          <w:iCs/>
        </w:rPr>
        <w:t>ninnu</w:t>
      </w:r>
      <w:proofErr w:type="spellEnd"/>
      <w:r w:rsidRPr="008B5CAF">
        <w:t xml:space="preserve"> (“fifty”) in the name E</w:t>
      </w:r>
      <w:r w:rsidRPr="008B5CAF">
        <w:noBreakHyphen/>
        <w:t>NINNU is interpreted as referring to an office or level of coordinated authority, not to a headcount or a transfer of cult from Enlil to Ningirsu.</w:t>
      </w:r>
    </w:p>
    <w:p w14:paraId="5C778847" w14:textId="77777777" w:rsidR="008B5CAF" w:rsidRPr="008B5CAF" w:rsidRDefault="008B5CAF" w:rsidP="008B5CAF">
      <w:pPr>
        <w:rPr>
          <w:b/>
          <w:bCs/>
        </w:rPr>
      </w:pPr>
      <w:r w:rsidRPr="008B5CAF">
        <w:rPr>
          <w:b/>
          <w:bCs/>
        </w:rPr>
        <w:t>4. Deities as Domain Embodiments</w:t>
      </w:r>
    </w:p>
    <w:p w14:paraId="70B3E9C0" w14:textId="77777777" w:rsidR="008B5CAF" w:rsidRPr="008B5CAF" w:rsidRDefault="008B5CAF" w:rsidP="008B5CAF">
      <w:r w:rsidRPr="008B5CAF">
        <w:t>Deities are read as embodiments of domains of order—cosmic, environmental, civic—rather than as purely mythological personalities. Enlil represents authority</w:t>
      </w:r>
      <w:r w:rsidRPr="008B5CAF">
        <w:noBreakHyphen/>
        <w:t>in</w:t>
      </w:r>
      <w:r w:rsidRPr="008B5CAF">
        <w:noBreakHyphen/>
        <w:t>principle, while Ningirsu represents authority</w:t>
      </w:r>
      <w:r w:rsidRPr="008B5CAF">
        <w:noBreakHyphen/>
        <w:t>in</w:t>
      </w:r>
      <w:r w:rsidRPr="008B5CAF">
        <w:noBreakHyphen/>
        <w:t>action at the local, institutional level.</w:t>
      </w:r>
    </w:p>
    <w:p w14:paraId="411B6269" w14:textId="77777777" w:rsidR="008B5CAF" w:rsidRPr="008B5CAF" w:rsidRDefault="008B5CAF" w:rsidP="008B5CAF">
      <w:pPr>
        <w:rPr>
          <w:b/>
          <w:bCs/>
        </w:rPr>
      </w:pPr>
      <w:r w:rsidRPr="008B5CAF">
        <w:rPr>
          <w:b/>
          <w:bCs/>
        </w:rPr>
        <w:t>5. Validation and Correctness (gin</w:t>
      </w:r>
      <w:r w:rsidRPr="008B5CAF">
        <w:rPr>
          <w:b/>
          <w:bCs/>
        </w:rPr>
        <w:noBreakHyphen/>
        <w:t>logic)</w:t>
      </w:r>
    </w:p>
    <w:p w14:paraId="529B3321" w14:textId="77777777" w:rsidR="008B5CAF" w:rsidRPr="008B5CAF" w:rsidRDefault="008B5CAF" w:rsidP="008B5CAF">
      <w:r w:rsidRPr="008B5CAF">
        <w:t>Repeated emphasis on correctness of measurement, material, timing, and execution suggests that temple activity functioned as a system of validation. Knowledge becomes effective only when correctly applied, a principle central to this study.</w:t>
      </w:r>
    </w:p>
    <w:p w14:paraId="270562CA" w14:textId="77777777" w:rsidR="008B5CAF" w:rsidRPr="008B5CAF" w:rsidRDefault="00000000" w:rsidP="008B5CAF">
      <w:r>
        <w:pict w14:anchorId="1107CCF9">
          <v:rect id="_x0000_i1032" style="width:0;height:1.5pt" o:hralign="center" o:hrstd="t" o:hr="t" fillcolor="#a0a0a0" stroked="f"/>
        </w:pict>
      </w:r>
    </w:p>
    <w:p w14:paraId="14ABA525" w14:textId="77777777" w:rsidR="008B5CAF" w:rsidRPr="008B5CAF" w:rsidRDefault="008B5CAF" w:rsidP="008B5CAF">
      <w:pPr>
        <w:rPr>
          <w:b/>
          <w:bCs/>
        </w:rPr>
      </w:pPr>
      <w:r w:rsidRPr="008B5CAF">
        <w:rPr>
          <w:b/>
          <w:bCs/>
        </w:rPr>
        <w:t>Annexure–2: Builders, Mathematics, and Education in the Sumerian Context</w:t>
      </w:r>
    </w:p>
    <w:p w14:paraId="17EB340A" w14:textId="77777777" w:rsidR="008B5CAF" w:rsidRPr="008B5CAF" w:rsidRDefault="008B5CAF" w:rsidP="008B5CAF">
      <w:r w:rsidRPr="008B5CAF">
        <w:t>This annexure expands on the relationship between construction practice, mathematics, and education implicit in the Gudea corpus.</w:t>
      </w:r>
    </w:p>
    <w:p w14:paraId="353834EE" w14:textId="77777777" w:rsidR="008B5CAF" w:rsidRPr="008B5CAF" w:rsidRDefault="008B5CAF" w:rsidP="008B5CAF">
      <w:pPr>
        <w:rPr>
          <w:b/>
          <w:bCs/>
        </w:rPr>
      </w:pPr>
      <w:r w:rsidRPr="008B5CAF">
        <w:rPr>
          <w:b/>
          <w:bCs/>
        </w:rPr>
        <w:lastRenderedPageBreak/>
        <w:t xml:space="preserve">1. </w:t>
      </w:r>
      <w:proofErr w:type="spellStart"/>
      <w:r w:rsidRPr="008B5CAF">
        <w:rPr>
          <w:b/>
          <w:bCs/>
        </w:rPr>
        <w:t>šid</w:t>
      </w:r>
      <w:proofErr w:type="spellEnd"/>
      <w:r w:rsidRPr="008B5CAF">
        <w:rPr>
          <w:b/>
          <w:bCs/>
        </w:rPr>
        <w:t xml:space="preserve"> and </w:t>
      </w:r>
      <w:proofErr w:type="spellStart"/>
      <w:r w:rsidRPr="008B5CAF">
        <w:rPr>
          <w:b/>
          <w:bCs/>
        </w:rPr>
        <w:t>siddim</w:t>
      </w:r>
      <w:proofErr w:type="spellEnd"/>
      <w:r w:rsidRPr="008B5CAF">
        <w:rPr>
          <w:b/>
          <w:bCs/>
        </w:rPr>
        <w:t>: Counting and Building</w:t>
      </w:r>
    </w:p>
    <w:p w14:paraId="48536B5F" w14:textId="77777777" w:rsidR="008B5CAF" w:rsidRPr="008B5CAF" w:rsidRDefault="008B5CAF" w:rsidP="008B5CAF">
      <w:r w:rsidRPr="008B5CAF">
        <w:t xml:space="preserve">The Sumerian verb </w:t>
      </w:r>
      <w:proofErr w:type="spellStart"/>
      <w:r w:rsidRPr="008B5CAF">
        <w:rPr>
          <w:i/>
          <w:iCs/>
        </w:rPr>
        <w:t>šid</w:t>
      </w:r>
      <w:proofErr w:type="spellEnd"/>
      <w:r w:rsidRPr="008B5CAF">
        <w:t xml:space="preserve"> (to count or measure) and the noun </w:t>
      </w:r>
      <w:proofErr w:type="spellStart"/>
      <w:r w:rsidRPr="008B5CAF">
        <w:rPr>
          <w:i/>
          <w:iCs/>
        </w:rPr>
        <w:t>siddim</w:t>
      </w:r>
      <w:proofErr w:type="spellEnd"/>
      <w:r w:rsidRPr="008B5CAF">
        <w:t xml:space="preserve"> (builder/architect) share a conceptual field. This indicates that numerical reasoning and construction were integrated practices. Builders were necessarily mathematicians, surveyors, and planners.</w:t>
      </w:r>
    </w:p>
    <w:p w14:paraId="434AFE58" w14:textId="77777777" w:rsidR="008B5CAF" w:rsidRPr="008B5CAF" w:rsidRDefault="008B5CAF" w:rsidP="008B5CAF">
      <w:pPr>
        <w:rPr>
          <w:b/>
          <w:bCs/>
        </w:rPr>
      </w:pPr>
      <w:r w:rsidRPr="008B5CAF">
        <w:rPr>
          <w:b/>
          <w:bCs/>
        </w:rPr>
        <w:t>2. Mathematics as Applied Knowledge</w:t>
      </w:r>
    </w:p>
    <w:p w14:paraId="2F0C3FD9" w14:textId="77777777" w:rsidR="008B5CAF" w:rsidRPr="008B5CAF" w:rsidRDefault="008B5CAF" w:rsidP="008B5CAF">
      <w:r w:rsidRPr="008B5CAF">
        <w:t>Old Babylonian mathematical tablets frequently present procedures without word problems, implying that the practical context—land measurement, construction, irrigation—was already understood. Mathematics functioned as executable knowledge rather than abstract theory.</w:t>
      </w:r>
    </w:p>
    <w:p w14:paraId="03FA456C" w14:textId="77777777" w:rsidR="008B5CAF" w:rsidRPr="008B5CAF" w:rsidRDefault="008B5CAF" w:rsidP="008B5CAF">
      <w:pPr>
        <w:rPr>
          <w:b/>
          <w:bCs/>
        </w:rPr>
      </w:pPr>
      <w:r w:rsidRPr="008B5CAF">
        <w:rPr>
          <w:b/>
          <w:bCs/>
        </w:rPr>
        <w:t>3. Education and the e</w:t>
      </w:r>
      <w:r w:rsidRPr="008B5CAF">
        <w:rPr>
          <w:b/>
          <w:bCs/>
        </w:rPr>
        <w:noBreakHyphen/>
        <w:t>dub</w:t>
      </w:r>
      <w:r w:rsidRPr="008B5CAF">
        <w:rPr>
          <w:b/>
          <w:bCs/>
        </w:rPr>
        <w:noBreakHyphen/>
      </w:r>
      <w:proofErr w:type="spellStart"/>
      <w:r w:rsidRPr="008B5CAF">
        <w:rPr>
          <w:b/>
          <w:bCs/>
        </w:rPr>
        <w:t>ba</w:t>
      </w:r>
      <w:proofErr w:type="spellEnd"/>
      <w:r w:rsidRPr="008B5CAF">
        <w:rPr>
          <w:b/>
          <w:bCs/>
        </w:rPr>
        <w:noBreakHyphen/>
        <w:t>a</w:t>
      </w:r>
    </w:p>
    <w:p w14:paraId="3345EEB1" w14:textId="77777777" w:rsidR="008B5CAF" w:rsidRPr="008B5CAF" w:rsidRDefault="008B5CAF" w:rsidP="008B5CAF">
      <w:r w:rsidRPr="008B5CAF">
        <w:t xml:space="preserve">Sumerian education </w:t>
      </w:r>
      <w:proofErr w:type="spellStart"/>
      <w:r w:rsidRPr="008B5CAF">
        <w:t>emphasised</w:t>
      </w:r>
      <w:proofErr w:type="spellEnd"/>
      <w:r w:rsidRPr="008B5CAF">
        <w:t xml:space="preserve"> copying, correction, and repetition. Errors were corrected by re</w:t>
      </w:r>
      <w:r w:rsidRPr="008B5CAF">
        <w:noBreakHyphen/>
        <w:t>working tablets. This pedagogy mirrors the emphasis on correctness and validation found in Gudea’s construction narrative.</w:t>
      </w:r>
    </w:p>
    <w:p w14:paraId="1CE2C775" w14:textId="77777777" w:rsidR="008B5CAF" w:rsidRPr="008B5CAF" w:rsidRDefault="008B5CAF" w:rsidP="008B5CAF">
      <w:pPr>
        <w:rPr>
          <w:b/>
          <w:bCs/>
        </w:rPr>
      </w:pPr>
      <w:r w:rsidRPr="008B5CAF">
        <w:rPr>
          <w:b/>
          <w:bCs/>
        </w:rPr>
        <w:t>4. Temple Construction as Pedagogical Model</w:t>
      </w:r>
    </w:p>
    <w:p w14:paraId="430A8E19" w14:textId="77777777" w:rsidR="008B5CAF" w:rsidRPr="008B5CAF" w:rsidRDefault="008B5CAF" w:rsidP="008B5CAF">
      <w:r w:rsidRPr="008B5CAF">
        <w:t>The temple thus emerges as a site where knowledge, skill, and authority converge. Building becomes both an educational and institutional act.</w:t>
      </w:r>
    </w:p>
    <w:p w14:paraId="06FA3093" w14:textId="77777777" w:rsidR="008B5CAF" w:rsidRPr="008B5CAF" w:rsidRDefault="00000000" w:rsidP="008B5CAF">
      <w:r>
        <w:pict w14:anchorId="734F1A76">
          <v:rect id="_x0000_i1033" style="width:0;height:1.5pt" o:hralign="center" o:hrstd="t" o:hr="t" fillcolor="#a0a0a0" stroked="f"/>
        </w:pict>
      </w:r>
    </w:p>
    <w:p w14:paraId="47262290" w14:textId="77777777" w:rsidR="008B5CAF" w:rsidRPr="008B5CAF" w:rsidRDefault="008B5CAF" w:rsidP="008B5CAF">
      <w:pPr>
        <w:rPr>
          <w:b/>
          <w:bCs/>
        </w:rPr>
      </w:pPr>
      <w:r w:rsidRPr="008B5CAF">
        <w:rPr>
          <w:b/>
          <w:bCs/>
        </w:rPr>
        <w:t>Annexure–3: Notes on Gudea’s Temple Floor Plan and Spatial Logic</w:t>
      </w:r>
    </w:p>
    <w:p w14:paraId="1D08B9C5" w14:textId="77777777" w:rsidR="008B5CAF" w:rsidRPr="008B5CAF" w:rsidRDefault="008B5CAF" w:rsidP="008B5CAF">
      <w:r w:rsidRPr="008B5CAF">
        <w:t>This annexure records interpretive observations on temple planning principles, based on archaeological reconstructions and earlier analytical notes.</w:t>
      </w:r>
    </w:p>
    <w:p w14:paraId="72CB6AAB" w14:textId="77777777" w:rsidR="008B5CAF" w:rsidRPr="008B5CAF" w:rsidRDefault="008B5CAF" w:rsidP="008B5CAF">
      <w:pPr>
        <w:rPr>
          <w:b/>
          <w:bCs/>
        </w:rPr>
      </w:pPr>
      <w:r w:rsidRPr="008B5CAF">
        <w:rPr>
          <w:b/>
          <w:bCs/>
        </w:rPr>
        <w:t>1. Integration of Inside and Outside Space</w:t>
      </w:r>
    </w:p>
    <w:p w14:paraId="00C8137E" w14:textId="77777777" w:rsidR="008B5CAF" w:rsidRPr="008B5CAF" w:rsidRDefault="008B5CAF" w:rsidP="008B5CAF">
      <w:r w:rsidRPr="008B5CAF">
        <w:t>The temple plan suggests a graded transition from open civic space to restricted sacred zones. Order is intensified gradually rather than imposed abruptly.</w:t>
      </w:r>
    </w:p>
    <w:p w14:paraId="16A07582" w14:textId="77777777" w:rsidR="008B5CAF" w:rsidRPr="008B5CAF" w:rsidRDefault="008B5CAF" w:rsidP="008B5CAF">
      <w:pPr>
        <w:rPr>
          <w:b/>
          <w:bCs/>
        </w:rPr>
      </w:pPr>
      <w:r w:rsidRPr="008B5CAF">
        <w:rPr>
          <w:b/>
          <w:bCs/>
        </w:rPr>
        <w:t>2. Thresholds as Validation Zones</w:t>
      </w:r>
    </w:p>
    <w:p w14:paraId="24C8C090" w14:textId="77777777" w:rsidR="008B5CAF" w:rsidRPr="008B5CAF" w:rsidRDefault="008B5CAF" w:rsidP="008B5CAF">
      <w:r w:rsidRPr="008B5CAF">
        <w:t>Doorways and gateways function as points of verification, where persons, materials, or actions are ritually and administratively validated.</w:t>
      </w:r>
    </w:p>
    <w:p w14:paraId="44902C77" w14:textId="77777777" w:rsidR="008B5CAF" w:rsidRPr="008B5CAF" w:rsidRDefault="008B5CAF" w:rsidP="008B5CAF">
      <w:pPr>
        <w:rPr>
          <w:b/>
          <w:bCs/>
        </w:rPr>
      </w:pPr>
      <w:r w:rsidRPr="008B5CAF">
        <w:rPr>
          <w:b/>
          <w:bCs/>
        </w:rPr>
        <w:t>3. Orientation and Directionality</w:t>
      </w:r>
    </w:p>
    <w:p w14:paraId="6A06B2BF" w14:textId="77777777" w:rsidR="008B5CAF" w:rsidRPr="008B5CAF" w:rsidRDefault="008B5CAF" w:rsidP="008B5CAF">
      <w:r w:rsidRPr="008B5CAF">
        <w:t>Orientation likely reflects alignment with natural forces (sun, wind, water flow) and urban layout, reinforcing the temple’s role as mediator between environment and society.</w:t>
      </w:r>
    </w:p>
    <w:p w14:paraId="1E0445EC" w14:textId="77777777" w:rsidR="008B5CAF" w:rsidRPr="008B5CAF" w:rsidRDefault="008B5CAF" w:rsidP="008B5CAF">
      <w:pPr>
        <w:rPr>
          <w:b/>
          <w:bCs/>
        </w:rPr>
      </w:pPr>
      <w:r w:rsidRPr="008B5CAF">
        <w:rPr>
          <w:b/>
          <w:bCs/>
        </w:rPr>
        <w:t>4. Raised Platform and Ziggurat Emergence</w:t>
      </w:r>
    </w:p>
    <w:p w14:paraId="24FB1DDE" w14:textId="77777777" w:rsidR="008B5CAF" w:rsidRPr="008B5CAF" w:rsidRDefault="008B5CAF" w:rsidP="008B5CAF">
      <w:r w:rsidRPr="008B5CAF">
        <w:lastRenderedPageBreak/>
        <w:t>Repeated rebuilding raised the platform for flood protection and storage, eventually producing the ziggurat form as an emergent architectural solution rather than an original design.</w:t>
      </w:r>
    </w:p>
    <w:p w14:paraId="50B58ACA" w14:textId="77777777" w:rsidR="008B5CAF" w:rsidRPr="008B5CAF" w:rsidRDefault="00000000" w:rsidP="008B5CAF">
      <w:r>
        <w:pict w14:anchorId="3CB70EF0">
          <v:rect id="_x0000_i1034" style="width:0;height:1.5pt" o:hralign="center" o:hrstd="t" o:hr="t" fillcolor="#a0a0a0" stroked="f"/>
        </w:pict>
      </w:r>
    </w:p>
    <w:p w14:paraId="5F9A499D" w14:textId="77777777" w:rsidR="008B5CAF" w:rsidRPr="008B5CAF" w:rsidRDefault="008B5CAF" w:rsidP="008B5CAF">
      <w:pPr>
        <w:rPr>
          <w:b/>
          <w:bCs/>
        </w:rPr>
      </w:pPr>
      <w:r w:rsidRPr="008B5CAF">
        <w:rPr>
          <w:b/>
          <w:bCs/>
        </w:rPr>
        <w:t>Annexure–4: Poetic Interpretation of Stone Procurement</w:t>
      </w:r>
    </w:p>
    <w:p w14:paraId="3D06EAE5" w14:textId="77777777" w:rsidR="008B5CAF" w:rsidRPr="008B5CAF" w:rsidRDefault="008B5CAF" w:rsidP="008B5CAF">
      <w:r w:rsidRPr="008B5CAF">
        <w:rPr>
          <w:i/>
          <w:iCs/>
        </w:rPr>
        <w:t>This annexure adopts a deliberately interpretive tone to foreground experiential dimensions often underrepresented in architectural analysis.</w:t>
      </w:r>
    </w:p>
    <w:p w14:paraId="4D6E2B62" w14:textId="77777777" w:rsidR="008B5CAF" w:rsidRPr="008B5CAF" w:rsidRDefault="008B5CAF" w:rsidP="008B5CAF">
      <w:r w:rsidRPr="008B5CAF">
        <w:t xml:space="preserve">Gudea’s inscriptions describe the procurement of stone from distant regions in vivid language. In a land dominated by clay and reed, stone represents permanence and resistance. Its transport required coordination of </w:t>
      </w:r>
      <w:proofErr w:type="spellStart"/>
      <w:r w:rsidRPr="008B5CAF">
        <w:t>labour</w:t>
      </w:r>
      <w:proofErr w:type="spellEnd"/>
      <w:r w:rsidRPr="008B5CAF">
        <w:t>, planning, and timing.</w:t>
      </w:r>
    </w:p>
    <w:p w14:paraId="1683206D" w14:textId="77777777" w:rsidR="008B5CAF" w:rsidRPr="008B5CAF" w:rsidRDefault="008B5CAF" w:rsidP="008B5CAF">
      <w:r w:rsidRPr="008B5CAF">
        <w:t>One striking visualization is that of a heavily loaded boat descending a slope like a wild horse—an image that conveys speed, weight, danger, and controlled force. Such imagery records embodied experience rather than metaphor alone. The poetry encodes logistical intelligence, transforming material movement into collective memory.</w:t>
      </w:r>
    </w:p>
    <w:p w14:paraId="3F7FB690" w14:textId="77777777" w:rsidR="008B5CAF" w:rsidRPr="008B5CAF" w:rsidRDefault="008B5CAF" w:rsidP="008B5CAF">
      <w:r w:rsidRPr="008B5CAF">
        <w:t>Stone slabs, once set in place, outlast generations. They anchor authority and institutional memory in a flood</w:t>
      </w:r>
      <w:r w:rsidRPr="008B5CAF">
        <w:noBreakHyphen/>
        <w:t>prone landscape, making order visible and durable.</w:t>
      </w:r>
    </w:p>
    <w:p w14:paraId="218B784C" w14:textId="77777777" w:rsidR="008B5CAF" w:rsidRPr="008B5CAF" w:rsidRDefault="00000000" w:rsidP="008B5CAF">
      <w:r>
        <w:pict w14:anchorId="55C4E095">
          <v:rect id="_x0000_i1035" style="width:0;height:1.5pt" o:hralign="center" o:hrstd="t" o:hr="t" fillcolor="#a0a0a0" stroked="f"/>
        </w:pict>
      </w:r>
    </w:p>
    <w:p w14:paraId="7E92C81C" w14:textId="77777777" w:rsidR="008B5CAF" w:rsidRPr="008B5CAF" w:rsidRDefault="008B5CAF" w:rsidP="008B5CAF">
      <w:pPr>
        <w:rPr>
          <w:b/>
          <w:bCs/>
        </w:rPr>
      </w:pPr>
      <w:r w:rsidRPr="008B5CAF">
        <w:rPr>
          <w:b/>
          <w:bCs/>
        </w:rPr>
        <w:t xml:space="preserve">Annexure–5: </w:t>
      </w:r>
      <w:proofErr w:type="spellStart"/>
      <w:r w:rsidRPr="008B5CAF">
        <w:rPr>
          <w:b/>
          <w:bCs/>
        </w:rPr>
        <w:t>Revisitable</w:t>
      </w:r>
      <w:proofErr w:type="spellEnd"/>
      <w:r w:rsidRPr="008B5CAF">
        <w:rPr>
          <w:b/>
          <w:bCs/>
        </w:rPr>
        <w:t xml:space="preserve"> Terms and Conceptual Clusters</w:t>
      </w:r>
    </w:p>
    <w:p w14:paraId="6013C578" w14:textId="77777777" w:rsidR="008B5CAF" w:rsidRPr="008B5CAF" w:rsidRDefault="008B5CAF" w:rsidP="008B5CAF">
      <w:r w:rsidRPr="008B5CAF">
        <w:rPr>
          <w:i/>
          <w:iCs/>
        </w:rPr>
        <w:t>This annexure identifies terms that remain open for further philological and comparative inquiry.</w:t>
      </w:r>
    </w:p>
    <w:p w14:paraId="718B6AA0" w14:textId="77777777" w:rsidR="008B5CAF" w:rsidRPr="008B5CAF" w:rsidRDefault="008B5CAF" w:rsidP="008B5CAF">
      <w:pPr>
        <w:rPr>
          <w:b/>
          <w:bCs/>
        </w:rPr>
      </w:pPr>
      <w:r w:rsidRPr="008B5CAF">
        <w:rPr>
          <w:b/>
          <w:bCs/>
        </w:rPr>
        <w:t xml:space="preserve">1. </w:t>
      </w:r>
      <w:proofErr w:type="spellStart"/>
      <w:r w:rsidRPr="008B5CAF">
        <w:rPr>
          <w:b/>
          <w:bCs/>
        </w:rPr>
        <w:t>šid</w:t>
      </w:r>
      <w:proofErr w:type="spellEnd"/>
      <w:r w:rsidRPr="008B5CAF">
        <w:rPr>
          <w:b/>
          <w:bCs/>
        </w:rPr>
        <w:t xml:space="preserve"> / </w:t>
      </w:r>
      <w:proofErr w:type="spellStart"/>
      <w:r w:rsidRPr="008B5CAF">
        <w:rPr>
          <w:b/>
          <w:bCs/>
        </w:rPr>
        <w:t>siddim</w:t>
      </w:r>
      <w:proofErr w:type="spellEnd"/>
    </w:p>
    <w:p w14:paraId="0C867AC2" w14:textId="77777777" w:rsidR="008B5CAF" w:rsidRPr="008B5CAF" w:rsidRDefault="008B5CAF" w:rsidP="008B5CAF">
      <w:r w:rsidRPr="008B5CAF">
        <w:t>Counting, measuring, and building form an integrated practice.</w:t>
      </w:r>
    </w:p>
    <w:p w14:paraId="1E20170E" w14:textId="77777777" w:rsidR="008B5CAF" w:rsidRPr="008B5CAF" w:rsidRDefault="008B5CAF" w:rsidP="008B5CAF">
      <w:pPr>
        <w:rPr>
          <w:b/>
          <w:bCs/>
        </w:rPr>
      </w:pPr>
      <w:r w:rsidRPr="008B5CAF">
        <w:rPr>
          <w:b/>
          <w:bCs/>
        </w:rPr>
        <w:t>2. gin / gen</w:t>
      </w:r>
    </w:p>
    <w:p w14:paraId="50213EDD" w14:textId="77777777" w:rsidR="008B5CAF" w:rsidRPr="008B5CAF" w:rsidRDefault="008B5CAF" w:rsidP="008B5CAF">
      <w:r w:rsidRPr="008B5CAF">
        <w:t>Markers of firmness, correctness, and validation achieved through process.</w:t>
      </w:r>
    </w:p>
    <w:p w14:paraId="267588C4" w14:textId="77777777" w:rsidR="008B5CAF" w:rsidRPr="008B5CAF" w:rsidRDefault="008B5CAF" w:rsidP="008B5CAF">
      <w:pPr>
        <w:rPr>
          <w:b/>
          <w:bCs/>
        </w:rPr>
      </w:pPr>
      <w:r w:rsidRPr="008B5CAF">
        <w:rPr>
          <w:b/>
          <w:bCs/>
        </w:rPr>
        <w:t xml:space="preserve">3. </w:t>
      </w:r>
      <w:proofErr w:type="spellStart"/>
      <w:r w:rsidRPr="008B5CAF">
        <w:rPr>
          <w:b/>
          <w:bCs/>
        </w:rPr>
        <w:t>nin</w:t>
      </w:r>
      <w:proofErr w:type="spellEnd"/>
      <w:r w:rsidRPr="008B5CAF">
        <w:rPr>
          <w:b/>
          <w:bCs/>
        </w:rPr>
        <w:t xml:space="preserve"> / </w:t>
      </w:r>
      <w:proofErr w:type="spellStart"/>
      <w:r w:rsidRPr="008B5CAF">
        <w:rPr>
          <w:b/>
          <w:bCs/>
        </w:rPr>
        <w:t>ba</w:t>
      </w:r>
      <w:proofErr w:type="spellEnd"/>
      <w:r w:rsidRPr="008B5CAF">
        <w:rPr>
          <w:b/>
          <w:bCs/>
        </w:rPr>
        <w:t xml:space="preserve"> / </w:t>
      </w:r>
      <w:proofErr w:type="spellStart"/>
      <w:r w:rsidRPr="008B5CAF">
        <w:rPr>
          <w:b/>
          <w:bCs/>
        </w:rPr>
        <w:t>sal</w:t>
      </w:r>
      <w:proofErr w:type="spellEnd"/>
    </w:p>
    <w:p w14:paraId="060C90F0" w14:textId="77777777" w:rsidR="008B5CAF" w:rsidRPr="008B5CAF" w:rsidRDefault="008B5CAF" w:rsidP="008B5CAF">
      <w:r w:rsidRPr="008B5CAF">
        <w:t>Clusters associated with possession, allocation, division, and containment; later gendered readings are treated as secondary developments.</w:t>
      </w:r>
    </w:p>
    <w:p w14:paraId="2B20F079" w14:textId="77777777" w:rsidR="008B5CAF" w:rsidRPr="008B5CAF" w:rsidRDefault="008B5CAF" w:rsidP="008B5CAF">
      <w:pPr>
        <w:rPr>
          <w:b/>
          <w:bCs/>
        </w:rPr>
      </w:pPr>
      <w:r w:rsidRPr="008B5CAF">
        <w:rPr>
          <w:b/>
          <w:bCs/>
        </w:rPr>
        <w:t>4. nu / nun / nil / anu</w:t>
      </w:r>
    </w:p>
    <w:p w14:paraId="29B62F05" w14:textId="77777777" w:rsidR="008B5CAF" w:rsidRPr="008B5CAF" w:rsidRDefault="008B5CAF" w:rsidP="008B5CAF">
      <w:r w:rsidRPr="008B5CAF">
        <w:t>Terms associated with subtlety, minimality, and emergence, noted here as cognitive parallels rather than linguistic derivations.</w:t>
      </w:r>
    </w:p>
    <w:p w14:paraId="4D369D38" w14:textId="77777777" w:rsidR="008B5CAF" w:rsidRPr="008B5CAF" w:rsidRDefault="008B5CAF" w:rsidP="008B5CAF">
      <w:r w:rsidRPr="008B5CAF">
        <w:lastRenderedPageBreak/>
        <w:t>These clusters are presented as points of re</w:t>
      </w:r>
      <w:r w:rsidRPr="008B5CAF">
        <w:noBreakHyphen/>
        <w:t>entry rather than conclusions, inviting further scholarly dialogue.</w:t>
      </w:r>
    </w:p>
    <w:p w14:paraId="433A5558" w14:textId="77777777" w:rsidR="008B5CAF" w:rsidRDefault="00000000" w:rsidP="008B5CAF">
      <w:r>
        <w:pict w14:anchorId="7CE89455">
          <v:rect id="_x0000_i1036" style="width:0;height:1.5pt" o:hralign="center" o:hrstd="t" o:hr="t" fillcolor="#a0a0a0" stroked="f"/>
        </w:pict>
      </w:r>
    </w:p>
    <w:p w14:paraId="5CC93BB8" w14:textId="77777777" w:rsidR="00380DF0" w:rsidRPr="00380DF0" w:rsidRDefault="00380DF0" w:rsidP="00380DF0">
      <w:pPr>
        <w:rPr>
          <w:b/>
          <w:bCs/>
        </w:rPr>
      </w:pPr>
      <w:r w:rsidRPr="00380DF0">
        <w:rPr>
          <w:b/>
          <w:bCs/>
        </w:rPr>
        <w:t>Annexure–6: Material Procurement, Place Names, and Literary Sources in the Gudea Corpus</w:t>
      </w:r>
    </w:p>
    <w:p w14:paraId="2F04DAEF" w14:textId="77777777" w:rsidR="00380DF0" w:rsidRPr="00380DF0" w:rsidRDefault="00380DF0" w:rsidP="00380DF0">
      <w:r w:rsidRPr="00380DF0">
        <w:t xml:space="preserve">This annexure clarifies how modern scholars—most notably Samuel Noah Kramer—reconstructed the lists of materials, places, and </w:t>
      </w:r>
      <w:proofErr w:type="spellStart"/>
      <w:r w:rsidRPr="00380DF0">
        <w:t>labour</w:t>
      </w:r>
      <w:proofErr w:type="spellEnd"/>
      <w:r w:rsidRPr="00380DF0">
        <w:t xml:space="preserve"> associated with the construction of the E</w:t>
      </w:r>
      <w:r w:rsidRPr="00380DF0">
        <w:noBreakHyphen/>
        <w:t>NINNU temple, and how these reconstructions relate to the poetic lines in Gudea’s inscriptions.</w:t>
      </w:r>
    </w:p>
    <w:p w14:paraId="684FDB8A" w14:textId="77777777" w:rsidR="00380DF0" w:rsidRPr="00380DF0" w:rsidRDefault="00380DF0" w:rsidP="00380DF0">
      <w:pPr>
        <w:rPr>
          <w:b/>
          <w:bCs/>
        </w:rPr>
      </w:pPr>
      <w:r w:rsidRPr="00380DF0">
        <w:rPr>
          <w:b/>
          <w:bCs/>
        </w:rPr>
        <w:t>1. Source of the Material Lists (Kramer’s Method)</w:t>
      </w:r>
    </w:p>
    <w:p w14:paraId="5AA6195E" w14:textId="77777777" w:rsidR="00380DF0" w:rsidRPr="00380DF0" w:rsidRDefault="00380DF0" w:rsidP="00380DF0">
      <w:r w:rsidRPr="00380DF0">
        <w:t xml:space="preserve">Kramer did not invent or speculate these procurement lists. They are derived directly from the Gudea Cylinders (especially Cylinders A and B), which contain extended poetic catalogues describing materials, craftsmen, and regions that “came” to Lagash for the building of </w:t>
      </w:r>
      <w:proofErr w:type="spellStart"/>
      <w:r w:rsidRPr="00380DF0">
        <w:t>Ningirsu’s</w:t>
      </w:r>
      <w:proofErr w:type="spellEnd"/>
      <w:r w:rsidRPr="00380DF0">
        <w:t xml:space="preserve"> temple.</w:t>
      </w:r>
    </w:p>
    <w:p w14:paraId="31281BFE" w14:textId="77777777" w:rsidR="00380DF0" w:rsidRPr="00380DF0" w:rsidRDefault="00380DF0" w:rsidP="00380DF0">
      <w:r w:rsidRPr="00380DF0">
        <w:t>Kramer’s method involved:</w:t>
      </w:r>
    </w:p>
    <w:p w14:paraId="6AC6A7E0" w14:textId="77777777" w:rsidR="00380DF0" w:rsidRPr="00380DF0" w:rsidRDefault="00380DF0" w:rsidP="00380DF0">
      <w:pPr>
        <w:numPr>
          <w:ilvl w:val="0"/>
          <w:numId w:val="27"/>
        </w:numPr>
      </w:pPr>
      <w:r w:rsidRPr="00380DF0">
        <w:t>close philological translation of the Sumerian poetic lines,</w:t>
      </w:r>
    </w:p>
    <w:p w14:paraId="62233CF3" w14:textId="77777777" w:rsidR="00380DF0" w:rsidRPr="00380DF0" w:rsidRDefault="00380DF0" w:rsidP="00380DF0">
      <w:pPr>
        <w:numPr>
          <w:ilvl w:val="0"/>
          <w:numId w:val="27"/>
        </w:numPr>
      </w:pPr>
      <w:r w:rsidRPr="00380DF0">
        <w:t>identification of material terms (metals, stones, woods),</w:t>
      </w:r>
    </w:p>
    <w:p w14:paraId="7CE62ACA" w14:textId="77777777" w:rsidR="00380DF0" w:rsidRPr="00380DF0" w:rsidRDefault="00380DF0" w:rsidP="00380DF0">
      <w:pPr>
        <w:numPr>
          <w:ilvl w:val="0"/>
          <w:numId w:val="27"/>
        </w:numPr>
      </w:pPr>
      <w:r w:rsidRPr="00380DF0">
        <w:t>correlation of toponyms with known geographical regions from other Mesopotamian texts,</w:t>
      </w:r>
    </w:p>
    <w:p w14:paraId="25047288" w14:textId="77777777" w:rsidR="00380DF0" w:rsidRPr="00380DF0" w:rsidRDefault="00380DF0" w:rsidP="00380DF0">
      <w:pPr>
        <w:numPr>
          <w:ilvl w:val="0"/>
          <w:numId w:val="27"/>
        </w:numPr>
      </w:pPr>
      <w:r w:rsidRPr="00380DF0">
        <w:t>and comparison with archaeological evidence of long</w:t>
      </w:r>
      <w:r w:rsidRPr="00380DF0">
        <w:noBreakHyphen/>
        <w:t>distance trade networks.</w:t>
      </w:r>
    </w:p>
    <w:p w14:paraId="36AA9BA8" w14:textId="77777777" w:rsidR="00380DF0" w:rsidRPr="00380DF0" w:rsidRDefault="00380DF0" w:rsidP="00380DF0">
      <w:r w:rsidRPr="00380DF0">
        <w:t xml:space="preserve">Thus, the lists are </w:t>
      </w:r>
      <w:r w:rsidRPr="00380DF0">
        <w:rPr>
          <w:b/>
          <w:bCs/>
        </w:rPr>
        <w:t xml:space="preserve">literary extractions grounded in </w:t>
      </w:r>
      <w:proofErr w:type="gramStart"/>
      <w:r w:rsidRPr="00380DF0">
        <w:rPr>
          <w:b/>
          <w:bCs/>
        </w:rPr>
        <w:t>text</w:t>
      </w:r>
      <w:r w:rsidRPr="00380DF0">
        <w:t>,</w:t>
      </w:r>
      <w:proofErr w:type="gramEnd"/>
      <w:r w:rsidRPr="00380DF0">
        <w:t xml:space="preserve"> not later economic reconstructions imposed from outside.</w:t>
      </w:r>
    </w:p>
    <w:p w14:paraId="4A22441D" w14:textId="77777777" w:rsidR="00380DF0" w:rsidRPr="00380DF0" w:rsidRDefault="00380DF0" w:rsidP="00380DF0">
      <w:pPr>
        <w:rPr>
          <w:b/>
          <w:bCs/>
        </w:rPr>
      </w:pPr>
      <w:r w:rsidRPr="00380DF0">
        <w:rPr>
          <w:b/>
          <w:bCs/>
        </w:rPr>
        <w:t>2. Materials and Their Attested Regions</w:t>
      </w:r>
    </w:p>
    <w:p w14:paraId="1F9BDC56" w14:textId="77777777" w:rsidR="00380DF0" w:rsidRPr="00380DF0" w:rsidRDefault="00380DF0" w:rsidP="00380DF0">
      <w:r w:rsidRPr="00380DF0">
        <w:t xml:space="preserve">Based on Kramer’s translations and subsequent </w:t>
      </w:r>
      <w:proofErr w:type="spellStart"/>
      <w:r w:rsidRPr="00380DF0">
        <w:t>Sumeriological</w:t>
      </w:r>
      <w:proofErr w:type="spellEnd"/>
      <w:r w:rsidRPr="00380DF0">
        <w:t xml:space="preserve"> consensus, the following associations are commonly accepted:</w:t>
      </w:r>
    </w:p>
    <w:p w14:paraId="396093E1" w14:textId="77777777" w:rsidR="00380DF0" w:rsidRPr="00380DF0" w:rsidRDefault="00380DF0" w:rsidP="00380DF0">
      <w:pPr>
        <w:numPr>
          <w:ilvl w:val="0"/>
          <w:numId w:val="28"/>
        </w:numPr>
      </w:pPr>
      <w:r w:rsidRPr="00380DF0">
        <w:rPr>
          <w:b/>
          <w:bCs/>
        </w:rPr>
        <w:t>Gold</w:t>
      </w:r>
      <w:r w:rsidRPr="00380DF0">
        <w:t xml:space="preserve"> – associated with Egypt or regions to the west/southwest, reflecting long</w:t>
      </w:r>
      <w:r w:rsidRPr="00380DF0">
        <w:noBreakHyphen/>
        <w:t>distance prestige trade.</w:t>
      </w:r>
    </w:p>
    <w:p w14:paraId="4915E0E6" w14:textId="77777777" w:rsidR="00380DF0" w:rsidRPr="00380DF0" w:rsidRDefault="00380DF0" w:rsidP="00380DF0">
      <w:pPr>
        <w:numPr>
          <w:ilvl w:val="0"/>
          <w:numId w:val="28"/>
        </w:numPr>
      </w:pPr>
      <w:r w:rsidRPr="00380DF0">
        <w:rPr>
          <w:b/>
          <w:bCs/>
        </w:rPr>
        <w:t>Silver</w:t>
      </w:r>
      <w:r w:rsidRPr="00380DF0">
        <w:t xml:space="preserve"> – linked with the </w:t>
      </w:r>
      <w:proofErr w:type="gramStart"/>
      <w:r w:rsidRPr="00380DF0">
        <w:t>Taurus mountain</w:t>
      </w:r>
      <w:proofErr w:type="gramEnd"/>
      <w:r w:rsidRPr="00380DF0">
        <w:t xml:space="preserve"> region, well known for metal resources.</w:t>
      </w:r>
    </w:p>
    <w:p w14:paraId="6761C04D" w14:textId="77777777" w:rsidR="00380DF0" w:rsidRPr="00380DF0" w:rsidRDefault="00380DF0" w:rsidP="00380DF0">
      <w:pPr>
        <w:numPr>
          <w:ilvl w:val="0"/>
          <w:numId w:val="28"/>
        </w:numPr>
      </w:pPr>
      <w:r w:rsidRPr="00380DF0">
        <w:rPr>
          <w:b/>
          <w:bCs/>
        </w:rPr>
        <w:t>Cedar wood</w:t>
      </w:r>
      <w:r w:rsidRPr="00380DF0">
        <w:t xml:space="preserve"> – from the Amanus or Lebanon ranges, frequently mentioned in Mesopotamian royal inscriptions.</w:t>
      </w:r>
    </w:p>
    <w:p w14:paraId="2C1B47A1" w14:textId="77777777" w:rsidR="00380DF0" w:rsidRPr="00380DF0" w:rsidRDefault="00380DF0" w:rsidP="00380DF0">
      <w:pPr>
        <w:numPr>
          <w:ilvl w:val="0"/>
          <w:numId w:val="28"/>
        </w:numPr>
      </w:pPr>
      <w:r w:rsidRPr="00380DF0">
        <w:rPr>
          <w:b/>
          <w:bCs/>
        </w:rPr>
        <w:t>Copper</w:t>
      </w:r>
      <w:r w:rsidRPr="00380DF0">
        <w:t xml:space="preserve"> – associated with the Zagros mountains and eastern highlands.</w:t>
      </w:r>
    </w:p>
    <w:p w14:paraId="2D97B66B" w14:textId="77777777" w:rsidR="00380DF0" w:rsidRPr="00380DF0" w:rsidRDefault="00380DF0" w:rsidP="00380DF0">
      <w:pPr>
        <w:numPr>
          <w:ilvl w:val="0"/>
          <w:numId w:val="28"/>
        </w:numPr>
      </w:pPr>
      <w:r w:rsidRPr="00380DF0">
        <w:rPr>
          <w:b/>
          <w:bCs/>
        </w:rPr>
        <w:lastRenderedPageBreak/>
        <w:t>Diorite</w:t>
      </w:r>
      <w:r w:rsidRPr="00380DF0">
        <w:t xml:space="preserve"> – sourced from distant hard</w:t>
      </w:r>
      <w:r w:rsidRPr="00380DF0">
        <w:noBreakHyphen/>
        <w:t>stone regions (often associated with Egypt or Magan</w:t>
      </w:r>
      <w:r w:rsidRPr="00380DF0">
        <w:noBreakHyphen/>
        <w:t>related zones), valued for durability and symbolic permanence.</w:t>
      </w:r>
    </w:p>
    <w:p w14:paraId="303DF2ED" w14:textId="77777777" w:rsidR="00380DF0" w:rsidRPr="00380DF0" w:rsidRDefault="00380DF0" w:rsidP="00380DF0">
      <w:pPr>
        <w:numPr>
          <w:ilvl w:val="0"/>
          <w:numId w:val="28"/>
        </w:numPr>
      </w:pPr>
      <w:r w:rsidRPr="00380DF0">
        <w:rPr>
          <w:b/>
          <w:bCs/>
        </w:rPr>
        <w:t>Carnelian</w:t>
      </w:r>
      <w:r w:rsidRPr="00380DF0">
        <w:t xml:space="preserve"> – associated with distant southern or southwestern regions, sometimes loosely labelled “Ethiopia” in older scholarship, reflecting limited geographical precision in early studies.</w:t>
      </w:r>
    </w:p>
    <w:p w14:paraId="539D2F96" w14:textId="77777777" w:rsidR="00380DF0" w:rsidRPr="00380DF0" w:rsidRDefault="00380DF0" w:rsidP="00380DF0">
      <w:pPr>
        <w:numPr>
          <w:ilvl w:val="0"/>
          <w:numId w:val="28"/>
        </w:numPr>
      </w:pPr>
      <w:r w:rsidRPr="00380DF0">
        <w:rPr>
          <w:b/>
          <w:bCs/>
        </w:rPr>
        <w:t>Timber</w:t>
      </w:r>
      <w:r w:rsidRPr="00380DF0">
        <w:t xml:space="preserve"> – linked with Dilmun, a key entrepôt rather than a primary forest zone.</w:t>
      </w:r>
    </w:p>
    <w:p w14:paraId="50375DE4" w14:textId="77777777" w:rsidR="00380DF0" w:rsidRPr="00380DF0" w:rsidRDefault="00380DF0" w:rsidP="00380DF0">
      <w:pPr>
        <w:numPr>
          <w:ilvl w:val="0"/>
          <w:numId w:val="28"/>
        </w:numPr>
      </w:pPr>
      <w:r w:rsidRPr="00380DF0">
        <w:rPr>
          <w:b/>
          <w:bCs/>
        </w:rPr>
        <w:t>Craft specialists</w:t>
      </w:r>
      <w:r w:rsidRPr="00380DF0">
        <w:t xml:space="preserve"> – associated with Susa and Elam, indicating movement of skilled </w:t>
      </w:r>
      <w:proofErr w:type="spellStart"/>
      <w:r w:rsidRPr="00380DF0">
        <w:t>labour</w:t>
      </w:r>
      <w:proofErr w:type="spellEnd"/>
      <w:r w:rsidRPr="00380DF0">
        <w:t xml:space="preserve"> rather than raw materials.</w:t>
      </w:r>
    </w:p>
    <w:p w14:paraId="7719C9D8" w14:textId="77777777" w:rsidR="00380DF0" w:rsidRPr="00380DF0" w:rsidRDefault="00380DF0" w:rsidP="00380DF0">
      <w:pPr>
        <w:numPr>
          <w:ilvl w:val="0"/>
          <w:numId w:val="28"/>
        </w:numPr>
      </w:pPr>
      <w:r w:rsidRPr="00380DF0">
        <w:rPr>
          <w:b/>
          <w:bCs/>
        </w:rPr>
        <w:t>Bricks, mud, clay, reeds</w:t>
      </w:r>
      <w:r w:rsidRPr="00380DF0">
        <w:t xml:space="preserve"> – locally sourced, underscoring the integration of local materials with imported prestige goods.</w:t>
      </w:r>
    </w:p>
    <w:p w14:paraId="33615164" w14:textId="77777777" w:rsidR="00380DF0" w:rsidRPr="00380DF0" w:rsidRDefault="00380DF0" w:rsidP="00380DF0">
      <w:r w:rsidRPr="00380DF0">
        <w:t xml:space="preserve">These associations reflect </w:t>
      </w:r>
      <w:r w:rsidRPr="00380DF0">
        <w:rPr>
          <w:b/>
          <w:bCs/>
        </w:rPr>
        <w:t>poetic geography</w:t>
      </w:r>
      <w:r w:rsidRPr="00380DF0">
        <w:t xml:space="preserve"> as much as economic geography: distance itself is part of the meaning.</w:t>
      </w:r>
    </w:p>
    <w:p w14:paraId="377C2ECA" w14:textId="77777777" w:rsidR="00380DF0" w:rsidRPr="00380DF0" w:rsidRDefault="00380DF0" w:rsidP="00380DF0">
      <w:pPr>
        <w:rPr>
          <w:b/>
          <w:bCs/>
        </w:rPr>
      </w:pPr>
      <w:r w:rsidRPr="00380DF0">
        <w:rPr>
          <w:b/>
          <w:bCs/>
        </w:rPr>
        <w:t>3. Poetic Enumeration as Institutional Memory</w:t>
      </w:r>
    </w:p>
    <w:p w14:paraId="321BBD79" w14:textId="77777777" w:rsidR="00380DF0" w:rsidRPr="00380DF0" w:rsidRDefault="00380DF0" w:rsidP="00380DF0">
      <w:r w:rsidRPr="00380DF0">
        <w:t>In the Gudea inscriptions, the listing of materials and places serves several functions:</w:t>
      </w:r>
    </w:p>
    <w:p w14:paraId="6D40865F" w14:textId="77777777" w:rsidR="00380DF0" w:rsidRPr="00380DF0" w:rsidRDefault="00380DF0" w:rsidP="00380DF0">
      <w:pPr>
        <w:numPr>
          <w:ilvl w:val="0"/>
          <w:numId w:val="29"/>
        </w:numPr>
      </w:pPr>
      <w:r w:rsidRPr="00380DF0">
        <w:t xml:space="preserve">it demonstrates the reach of </w:t>
      </w:r>
      <w:proofErr w:type="spellStart"/>
      <w:r w:rsidRPr="00380DF0">
        <w:t>Ningirsu’s</w:t>
      </w:r>
      <w:proofErr w:type="spellEnd"/>
      <w:r w:rsidRPr="00380DF0">
        <w:t xml:space="preserve"> authority,</w:t>
      </w:r>
    </w:p>
    <w:p w14:paraId="5F6FEC49" w14:textId="77777777" w:rsidR="00380DF0" w:rsidRPr="00380DF0" w:rsidRDefault="00380DF0" w:rsidP="00380DF0">
      <w:pPr>
        <w:numPr>
          <w:ilvl w:val="0"/>
          <w:numId w:val="29"/>
        </w:numPr>
      </w:pPr>
      <w:r w:rsidRPr="00380DF0">
        <w:t xml:space="preserve">it </w:t>
      </w:r>
      <w:proofErr w:type="spellStart"/>
      <w:r w:rsidRPr="00380DF0">
        <w:t>legitimises</w:t>
      </w:r>
      <w:proofErr w:type="spellEnd"/>
      <w:r w:rsidRPr="00380DF0">
        <w:t xml:space="preserve"> Gudea’s rule through successful coordination of distant resources,</w:t>
      </w:r>
    </w:p>
    <w:p w14:paraId="63C89D6F" w14:textId="77777777" w:rsidR="00380DF0" w:rsidRPr="00380DF0" w:rsidRDefault="00380DF0" w:rsidP="00380DF0">
      <w:pPr>
        <w:numPr>
          <w:ilvl w:val="0"/>
          <w:numId w:val="29"/>
        </w:numPr>
      </w:pPr>
      <w:r w:rsidRPr="00380DF0">
        <w:t>and it encodes logistical achievement in poetic form.</w:t>
      </w:r>
    </w:p>
    <w:p w14:paraId="224CA143" w14:textId="77777777" w:rsidR="00380DF0" w:rsidRPr="00380DF0" w:rsidRDefault="00380DF0" w:rsidP="00380DF0">
      <w:r w:rsidRPr="00380DF0">
        <w:t xml:space="preserve">Rather than technical inventories, these passages function as </w:t>
      </w:r>
      <w:r w:rsidRPr="00380DF0">
        <w:rPr>
          <w:b/>
          <w:bCs/>
        </w:rPr>
        <w:t>institutional memory</w:t>
      </w:r>
      <w:r w:rsidRPr="00380DF0">
        <w:t>, preserving how order was assembled from dispersed landscapes.</w:t>
      </w:r>
    </w:p>
    <w:p w14:paraId="70D35D6E" w14:textId="77777777" w:rsidR="00380DF0" w:rsidRPr="00380DF0" w:rsidRDefault="00380DF0" w:rsidP="00380DF0">
      <w:pPr>
        <w:rPr>
          <w:b/>
          <w:bCs/>
        </w:rPr>
      </w:pPr>
      <w:r w:rsidRPr="00380DF0">
        <w:rPr>
          <w:b/>
          <w:bCs/>
        </w:rPr>
        <w:t>4. Stone, Rivers, and Movement</w:t>
      </w:r>
    </w:p>
    <w:p w14:paraId="77B439D9" w14:textId="77777777" w:rsidR="00380DF0" w:rsidRPr="00380DF0" w:rsidRDefault="00380DF0" w:rsidP="00380DF0">
      <w:r w:rsidRPr="00380DF0">
        <w:t>While Annexure–4 focused on the experiential imagery of stone transport, it is important to note that many stones would have moved:</w:t>
      </w:r>
    </w:p>
    <w:p w14:paraId="581C2175" w14:textId="77777777" w:rsidR="00380DF0" w:rsidRPr="00380DF0" w:rsidRDefault="00380DF0" w:rsidP="00380DF0">
      <w:pPr>
        <w:numPr>
          <w:ilvl w:val="0"/>
          <w:numId w:val="30"/>
        </w:numPr>
      </w:pPr>
      <w:r w:rsidRPr="00380DF0">
        <w:t>from upstream mountain regions,</w:t>
      </w:r>
    </w:p>
    <w:p w14:paraId="4A3C676F" w14:textId="77777777" w:rsidR="00380DF0" w:rsidRPr="00380DF0" w:rsidRDefault="00380DF0" w:rsidP="00380DF0">
      <w:pPr>
        <w:numPr>
          <w:ilvl w:val="0"/>
          <w:numId w:val="30"/>
        </w:numPr>
      </w:pPr>
      <w:r w:rsidRPr="00380DF0">
        <w:t>along river systems such as the Euphrates and its tributaries,</w:t>
      </w:r>
    </w:p>
    <w:p w14:paraId="0A58F6AD" w14:textId="77777777" w:rsidR="00380DF0" w:rsidRPr="00380DF0" w:rsidRDefault="00380DF0" w:rsidP="00380DF0">
      <w:pPr>
        <w:numPr>
          <w:ilvl w:val="0"/>
          <w:numId w:val="30"/>
        </w:numPr>
      </w:pPr>
      <w:r w:rsidRPr="00380DF0">
        <w:t>then through canals into the urban core.</w:t>
      </w:r>
    </w:p>
    <w:p w14:paraId="11FC0D2A" w14:textId="77777777" w:rsidR="00380DF0" w:rsidRPr="00380DF0" w:rsidRDefault="00380DF0" w:rsidP="00380DF0">
      <w:r w:rsidRPr="00380DF0">
        <w:t xml:space="preserve">The poetic image of a </w:t>
      </w:r>
      <w:r w:rsidRPr="00380DF0">
        <w:rPr>
          <w:b/>
          <w:bCs/>
        </w:rPr>
        <w:t>loaded boat rushing like a wild horse down a slope</w:t>
      </w:r>
      <w:r w:rsidRPr="00380DF0">
        <w:t xml:space="preserve"> should be read as a condensation of this complex riverine logistics into a single embodied metaphor. Kramer’s translations preserve this dynamic imagery rather than flattening it into technical description.</w:t>
      </w:r>
    </w:p>
    <w:p w14:paraId="0D91AE39" w14:textId="77777777" w:rsidR="00380DF0" w:rsidRPr="00380DF0" w:rsidRDefault="00380DF0" w:rsidP="00380DF0">
      <w:pPr>
        <w:rPr>
          <w:b/>
          <w:bCs/>
        </w:rPr>
      </w:pPr>
      <w:r w:rsidRPr="00380DF0">
        <w:rPr>
          <w:b/>
          <w:bCs/>
        </w:rPr>
        <w:t>5. Wood Types and Extended Trade Horizons</w:t>
      </w:r>
    </w:p>
    <w:p w14:paraId="28D56965" w14:textId="77777777" w:rsidR="00380DF0" w:rsidRPr="00380DF0" w:rsidRDefault="00380DF0" w:rsidP="00380DF0">
      <w:r w:rsidRPr="00380DF0">
        <w:lastRenderedPageBreak/>
        <w:t xml:space="preserve">Later comparative studies have suggested that some timber types mentioned in Mesopotamian texts may have originated farther east than traditionally assumed, possibly through intermediary trade networks. Such suggestions remain hypotheses and are noted here only to </w:t>
      </w:r>
      <w:proofErr w:type="spellStart"/>
      <w:r w:rsidRPr="00380DF0">
        <w:t>emphasise</w:t>
      </w:r>
      <w:proofErr w:type="spellEnd"/>
      <w:r w:rsidRPr="00380DF0">
        <w:t xml:space="preserve"> that Dilmun and similar regions functioned as </w:t>
      </w:r>
      <w:r w:rsidRPr="00380DF0">
        <w:rPr>
          <w:b/>
          <w:bCs/>
        </w:rPr>
        <w:t>nodes in extended exchange systems</w:t>
      </w:r>
      <w:r w:rsidRPr="00380DF0">
        <w:t>, not isolated sources.</w:t>
      </w:r>
    </w:p>
    <w:p w14:paraId="1E39135F" w14:textId="77777777" w:rsidR="00380DF0" w:rsidRPr="00380DF0" w:rsidRDefault="00380DF0" w:rsidP="00380DF0">
      <w:pPr>
        <w:rPr>
          <w:b/>
          <w:bCs/>
        </w:rPr>
      </w:pPr>
      <w:r w:rsidRPr="00380DF0">
        <w:rPr>
          <w:b/>
          <w:bCs/>
        </w:rPr>
        <w:t>6. Literature References (Indicative)</w:t>
      </w:r>
    </w:p>
    <w:p w14:paraId="0EA8E886" w14:textId="77777777" w:rsidR="00380DF0" w:rsidRPr="00380DF0" w:rsidRDefault="00380DF0" w:rsidP="00380DF0">
      <w:pPr>
        <w:numPr>
          <w:ilvl w:val="0"/>
          <w:numId w:val="31"/>
        </w:numPr>
      </w:pPr>
      <w:r w:rsidRPr="00380DF0">
        <w:t xml:space="preserve">Kramer, S. N. </w:t>
      </w:r>
      <w:r w:rsidRPr="00380DF0">
        <w:rPr>
          <w:i/>
          <w:iCs/>
        </w:rPr>
        <w:t>The Sumerians: Their History, Culture, and Character.</w:t>
      </w:r>
    </w:p>
    <w:p w14:paraId="00ED1B53" w14:textId="77777777" w:rsidR="00380DF0" w:rsidRPr="00380DF0" w:rsidRDefault="00380DF0" w:rsidP="00380DF0">
      <w:pPr>
        <w:numPr>
          <w:ilvl w:val="0"/>
          <w:numId w:val="31"/>
        </w:numPr>
      </w:pPr>
      <w:r w:rsidRPr="00380DF0">
        <w:t xml:space="preserve">Kramer, S. N. </w:t>
      </w:r>
      <w:r w:rsidRPr="00380DF0">
        <w:rPr>
          <w:i/>
          <w:iCs/>
        </w:rPr>
        <w:t>History Begins at Sumer.</w:t>
      </w:r>
    </w:p>
    <w:p w14:paraId="233DECF0" w14:textId="77777777" w:rsidR="00380DF0" w:rsidRPr="00380DF0" w:rsidRDefault="00380DF0" w:rsidP="00380DF0">
      <w:pPr>
        <w:numPr>
          <w:ilvl w:val="0"/>
          <w:numId w:val="31"/>
        </w:numPr>
      </w:pPr>
      <w:r w:rsidRPr="00380DF0">
        <w:t>Edzard, D. O. Studies on the Gudea inscriptions.</w:t>
      </w:r>
    </w:p>
    <w:p w14:paraId="19B765FE" w14:textId="77777777" w:rsidR="00380DF0" w:rsidRPr="00380DF0" w:rsidRDefault="00380DF0" w:rsidP="00380DF0">
      <w:pPr>
        <w:numPr>
          <w:ilvl w:val="0"/>
          <w:numId w:val="31"/>
        </w:numPr>
      </w:pPr>
      <w:r w:rsidRPr="00380DF0">
        <w:t>ETCSL translations of the Gudea Cylinders (A and B).</w:t>
      </w:r>
    </w:p>
    <w:p w14:paraId="2BD08619" w14:textId="77777777" w:rsidR="00380DF0" w:rsidRPr="00380DF0" w:rsidRDefault="00380DF0" w:rsidP="00380DF0">
      <w:r w:rsidRPr="00380DF0">
        <w:t>These references support the material associations discussed above and provide the philological basis for modern reconstructions.</w:t>
      </w:r>
    </w:p>
    <w:p w14:paraId="79B52D7B" w14:textId="77777777" w:rsidR="00380DF0" w:rsidRPr="00380DF0" w:rsidRDefault="00380DF0" w:rsidP="00380DF0">
      <w:pPr>
        <w:rPr>
          <w:b/>
          <w:bCs/>
        </w:rPr>
      </w:pPr>
      <w:r w:rsidRPr="00380DF0">
        <w:rPr>
          <w:b/>
          <w:bCs/>
        </w:rPr>
        <w:t>7. Purpose of This Annexure</w:t>
      </w:r>
    </w:p>
    <w:p w14:paraId="369EB950" w14:textId="77777777" w:rsidR="00380DF0" w:rsidRPr="00380DF0" w:rsidRDefault="00380DF0" w:rsidP="00380DF0">
      <w:r w:rsidRPr="00380DF0">
        <w:t>This annexure is included to:</w:t>
      </w:r>
    </w:p>
    <w:p w14:paraId="02380A68" w14:textId="77777777" w:rsidR="00380DF0" w:rsidRPr="00380DF0" w:rsidRDefault="00380DF0" w:rsidP="00380DF0">
      <w:pPr>
        <w:numPr>
          <w:ilvl w:val="0"/>
          <w:numId w:val="32"/>
        </w:numPr>
      </w:pPr>
      <w:r w:rsidRPr="00380DF0">
        <w:t>clarify the textual basis of material</w:t>
      </w:r>
      <w:r w:rsidRPr="00380DF0">
        <w:noBreakHyphen/>
        <w:t>place associations,</w:t>
      </w:r>
    </w:p>
    <w:p w14:paraId="3AF3F12D" w14:textId="77777777" w:rsidR="00380DF0" w:rsidRPr="00380DF0" w:rsidRDefault="00380DF0" w:rsidP="00380DF0">
      <w:pPr>
        <w:numPr>
          <w:ilvl w:val="0"/>
          <w:numId w:val="32"/>
        </w:numPr>
      </w:pPr>
      <w:r w:rsidRPr="00380DF0">
        <w:t>distinguish poetic enumeration from modern economic tabulation,</w:t>
      </w:r>
    </w:p>
    <w:p w14:paraId="3B782A6F" w14:textId="77777777" w:rsidR="00380DF0" w:rsidRPr="00380DF0" w:rsidRDefault="00380DF0" w:rsidP="00380DF0">
      <w:pPr>
        <w:numPr>
          <w:ilvl w:val="0"/>
          <w:numId w:val="32"/>
        </w:numPr>
      </w:pPr>
      <w:r w:rsidRPr="00380DF0">
        <w:t>and situate Kramer’s lists within the literary logic of the Gudea corpus.</w:t>
      </w:r>
    </w:p>
    <w:p w14:paraId="0C00C210" w14:textId="77777777" w:rsidR="00380DF0" w:rsidRPr="00380DF0" w:rsidRDefault="00380DF0" w:rsidP="00380DF0">
      <w:r w:rsidRPr="00380DF0">
        <w:t>It reinforces the central argument of this paper: that temple construction was simultaneously poetic, logistical, institutional, and cognitive.</w:t>
      </w:r>
    </w:p>
    <w:p w14:paraId="6A30E56B" w14:textId="2767486D" w:rsidR="00380DF0" w:rsidRPr="008B5CAF" w:rsidRDefault="00000000" w:rsidP="008B5CAF">
      <w:r>
        <w:pict w14:anchorId="78A9DBEF">
          <v:rect id="_x0000_i1037" style="width:0;height:1.5pt" o:hralign="center" o:hrstd="t" o:hr="t" fillcolor="#a0a0a0" stroked="f"/>
        </w:pict>
      </w:r>
    </w:p>
    <w:p w14:paraId="23474CB4" w14:textId="1AFC93D1" w:rsidR="00CF123C" w:rsidRDefault="00CF123C" w:rsidP="000B4C86">
      <w:pPr>
        <w:rPr>
          <w:b/>
          <w:bCs/>
        </w:rPr>
      </w:pPr>
      <w:r w:rsidRPr="00380DF0">
        <w:rPr>
          <w:b/>
          <w:bCs/>
        </w:rPr>
        <w:t>Annexure–</w:t>
      </w:r>
      <w:r>
        <w:rPr>
          <w:b/>
          <w:bCs/>
        </w:rPr>
        <w:t>7</w:t>
      </w:r>
      <w:r w:rsidRPr="00380DF0">
        <w:rPr>
          <w:b/>
          <w:bCs/>
        </w:rPr>
        <w:t xml:space="preserve">: </w:t>
      </w:r>
      <w:r>
        <w:rPr>
          <w:b/>
          <w:bCs/>
        </w:rPr>
        <w:t>Purushothaman Model</w:t>
      </w:r>
    </w:p>
    <w:p w14:paraId="14C0C68B" w14:textId="77777777" w:rsidR="00CF123C" w:rsidRPr="00630B63" w:rsidRDefault="00CF123C" w:rsidP="00CF123C">
      <w:pPr>
        <w:rPr>
          <w:b/>
          <w:bCs/>
        </w:rPr>
      </w:pPr>
      <w:r w:rsidRPr="00630B63">
        <w:rPr>
          <w:b/>
          <w:bCs/>
        </w:rPr>
        <w:t>An Exploratory Framework on Sumerian and the Ancient Forms of Tamil</w:t>
      </w:r>
    </w:p>
    <w:p w14:paraId="428D6F27" w14:textId="77777777" w:rsidR="00CF123C" w:rsidRPr="00630B63" w:rsidRDefault="00CF123C" w:rsidP="00CF123C">
      <w:r w:rsidRPr="00630B63">
        <w:rPr>
          <w:b/>
          <w:bCs/>
        </w:rPr>
        <w:t>Purpose and Scope</w:t>
      </w:r>
    </w:p>
    <w:p w14:paraId="46EE0EE6" w14:textId="56CEF259" w:rsidR="00CF123C" w:rsidRPr="00630B63" w:rsidRDefault="00CF123C" w:rsidP="00CF123C">
      <w:r w:rsidRPr="00630B63">
        <w:t xml:space="preserve">The </w:t>
      </w:r>
      <w:r w:rsidRPr="00630B63">
        <w:rPr>
          <w:i/>
          <w:iCs/>
        </w:rPr>
        <w:t>Purushothaman Model</w:t>
      </w:r>
      <w:r w:rsidRPr="00630B63">
        <w:t xml:space="preserve"> is proposed as an </w:t>
      </w:r>
      <w:r w:rsidRPr="00630B63">
        <w:rPr>
          <w:b/>
          <w:bCs/>
        </w:rPr>
        <w:t>exploratory, testable framework</w:t>
      </w:r>
      <w:r w:rsidRPr="00630B63">
        <w:t xml:space="preserve"> to examine possible relationships between </w:t>
      </w:r>
      <w:r w:rsidRPr="00630B63">
        <w:rPr>
          <w:b/>
          <w:bCs/>
        </w:rPr>
        <w:t>Sumerian</w:t>
      </w:r>
      <w:r w:rsidRPr="00630B63">
        <w:t xml:space="preserve"> and the </w:t>
      </w:r>
      <w:r w:rsidRPr="00630B63">
        <w:rPr>
          <w:b/>
          <w:bCs/>
        </w:rPr>
        <w:t>ancient forms of Tamil</w:t>
      </w:r>
      <w:r w:rsidRPr="00630B63">
        <w:t xml:space="preserve">, and more broadly to understand how early human languages may have evolved, interacted, and propagated across regions. This model does </w:t>
      </w:r>
      <w:r w:rsidRPr="00630B63">
        <w:rPr>
          <w:b/>
          <w:bCs/>
        </w:rPr>
        <w:t>not</w:t>
      </w:r>
      <w:r w:rsidRPr="00630B63">
        <w:t xml:space="preserve"> claim definitive proof. It is offered for testing, critique, modification, or rejection.</w:t>
      </w:r>
      <w:r>
        <w:t xml:space="preserve"> The very fundamental question is, </w:t>
      </w:r>
      <w:proofErr w:type="gramStart"/>
      <w:r>
        <w:t>“ How</w:t>
      </w:r>
      <w:proofErr w:type="gramEnd"/>
      <w:r>
        <w:t xml:space="preserve"> was communication during the pre-historical days?”, particularly in the context of Sumerian.</w:t>
      </w:r>
    </w:p>
    <w:p w14:paraId="35BE5E54" w14:textId="77777777" w:rsidR="00CF123C" w:rsidRPr="00630B63" w:rsidRDefault="00000000" w:rsidP="00CF123C">
      <w:r>
        <w:lastRenderedPageBreak/>
        <w:pict w14:anchorId="1C95AC59">
          <v:rect id="_x0000_i1038" style="width:0;height:1.5pt" o:hralign="center" o:hrstd="t" o:hr="t" fillcolor="#a0a0a0" stroked="f"/>
        </w:pict>
      </w:r>
    </w:p>
    <w:p w14:paraId="63358F03" w14:textId="77777777" w:rsidR="00CF123C" w:rsidRPr="00630B63" w:rsidRDefault="00CF123C" w:rsidP="00CF123C">
      <w:r w:rsidRPr="00630B63">
        <w:rPr>
          <w:b/>
          <w:bCs/>
        </w:rPr>
        <w:t>Background</w:t>
      </w:r>
    </w:p>
    <w:p w14:paraId="18BC3F68" w14:textId="77777777" w:rsidR="00CF123C" w:rsidRPr="00630B63" w:rsidRDefault="00CF123C" w:rsidP="00CF123C">
      <w:r w:rsidRPr="00630B63">
        <w:t xml:space="preserve">Earlier scholars such as Loganathan and Sadasivam proposed connections between Sumerian and Dravidian languages, including Tamil. These proposals were largely rejected by mainstream </w:t>
      </w:r>
      <w:proofErr w:type="spellStart"/>
      <w:r w:rsidRPr="00630B63">
        <w:t>Sumeriology</w:t>
      </w:r>
      <w:proofErr w:type="spellEnd"/>
      <w:r w:rsidRPr="00630B63">
        <w:t xml:space="preserve"> on two principal grounds:</w:t>
      </w:r>
    </w:p>
    <w:p w14:paraId="08D9400B" w14:textId="77777777" w:rsidR="00CF123C" w:rsidRPr="00630B63" w:rsidRDefault="00CF123C" w:rsidP="00CF123C">
      <w:pPr>
        <w:numPr>
          <w:ilvl w:val="0"/>
          <w:numId w:val="64"/>
        </w:numPr>
      </w:pPr>
      <w:r w:rsidRPr="00630B63">
        <w:t>Identifying a limited number of similar words is insufficient to establish linguistic relatedness.</w:t>
      </w:r>
    </w:p>
    <w:p w14:paraId="117A8F82" w14:textId="77777777" w:rsidR="00CF123C" w:rsidRPr="00630B63" w:rsidRDefault="00CF123C" w:rsidP="00CF123C">
      <w:pPr>
        <w:numPr>
          <w:ilvl w:val="0"/>
          <w:numId w:val="64"/>
        </w:numPr>
      </w:pPr>
      <w:r w:rsidRPr="00630B63">
        <w:t>Sumerian is a long-extinct language with no living speech community, despite being structurally agglutinative.</w:t>
      </w:r>
    </w:p>
    <w:p w14:paraId="25E039D5" w14:textId="77777777" w:rsidR="00CF123C" w:rsidRPr="00630B63" w:rsidRDefault="00CF123C" w:rsidP="00CF123C">
      <w:r w:rsidRPr="00630B63">
        <w:t xml:space="preserve">Rather than disputing these objections directly, this model treats them as </w:t>
      </w:r>
      <w:r w:rsidRPr="00630B63">
        <w:rPr>
          <w:b/>
          <w:bCs/>
        </w:rPr>
        <w:t>constraints</w:t>
      </w:r>
      <w:r w:rsidRPr="00630B63">
        <w:t xml:space="preserve"> and asks whether a different methodological approach can be attempted.</w:t>
      </w:r>
    </w:p>
    <w:p w14:paraId="26175E6C" w14:textId="77777777" w:rsidR="00CF123C" w:rsidRPr="00630B63" w:rsidRDefault="00000000" w:rsidP="00CF123C">
      <w:r>
        <w:pict w14:anchorId="350180CA">
          <v:rect id="_x0000_i1039" style="width:0;height:1.5pt" o:hralign="center" o:hrstd="t" o:hr="t" fillcolor="#a0a0a0" stroked="f"/>
        </w:pict>
      </w:r>
    </w:p>
    <w:p w14:paraId="698E17FE" w14:textId="77777777" w:rsidR="00CF123C" w:rsidRPr="00630B63" w:rsidRDefault="00CF123C" w:rsidP="00CF123C">
      <w:r w:rsidRPr="00630B63">
        <w:rPr>
          <w:b/>
          <w:bCs/>
        </w:rPr>
        <w:t>Methodological Position</w:t>
      </w:r>
    </w:p>
    <w:p w14:paraId="0B3B6569" w14:textId="77777777" w:rsidR="00CF123C" w:rsidRPr="00630B63" w:rsidRDefault="00CF123C" w:rsidP="00CF123C">
      <w:r w:rsidRPr="00630B63">
        <w:t xml:space="preserve">Instead of focusing on isolated lexical similarities, the model adopts an </w:t>
      </w:r>
      <w:r w:rsidRPr="00630B63">
        <w:rPr>
          <w:b/>
          <w:bCs/>
        </w:rPr>
        <w:t>interpretability test</w:t>
      </w:r>
      <w:r w:rsidRPr="00630B63">
        <w:t>:</w:t>
      </w:r>
    </w:p>
    <w:p w14:paraId="00AE2379" w14:textId="77777777" w:rsidR="00CF123C" w:rsidRPr="00630B63" w:rsidRDefault="00CF123C" w:rsidP="00CF123C">
      <w:pPr>
        <w:numPr>
          <w:ilvl w:val="0"/>
          <w:numId w:val="65"/>
        </w:numPr>
      </w:pPr>
      <w:r w:rsidRPr="00630B63">
        <w:t xml:space="preserve">Can Sumerian syllables and structures be meaningfully examined through the lens of </w:t>
      </w:r>
      <w:r w:rsidRPr="00630B63">
        <w:rPr>
          <w:b/>
          <w:bCs/>
        </w:rPr>
        <w:t>present-day Tamil</w:t>
      </w:r>
      <w:r w:rsidRPr="00630B63">
        <w:t>, without forcing equivalence?</w:t>
      </w:r>
    </w:p>
    <w:p w14:paraId="33938085" w14:textId="77777777" w:rsidR="00CF123C" w:rsidRPr="00630B63" w:rsidRDefault="00CF123C" w:rsidP="00CF123C">
      <w:pPr>
        <w:numPr>
          <w:ilvl w:val="0"/>
          <w:numId w:val="65"/>
        </w:numPr>
      </w:pPr>
      <w:r w:rsidRPr="00630B63">
        <w:t>Can extended Sumerian compositions—not just individual words—be read coherently using this lens?</w:t>
      </w:r>
    </w:p>
    <w:p w14:paraId="3CB64490" w14:textId="50FB53CC" w:rsidR="00CF123C" w:rsidRPr="00630B63" w:rsidRDefault="00CF123C" w:rsidP="00CF123C">
      <w:r w:rsidRPr="00630B63">
        <w:t>Using this approach, two complete Sumerian compositions (</w:t>
      </w:r>
      <w:r w:rsidRPr="00630B63">
        <w:rPr>
          <w:i/>
          <w:iCs/>
        </w:rPr>
        <w:t>E-dub-</w:t>
      </w:r>
      <w:proofErr w:type="spellStart"/>
      <w:r w:rsidRPr="00630B63">
        <w:rPr>
          <w:i/>
          <w:iCs/>
        </w:rPr>
        <w:t>ba</w:t>
      </w:r>
      <w:proofErr w:type="spellEnd"/>
      <w:r w:rsidRPr="00630B63">
        <w:rPr>
          <w:i/>
          <w:iCs/>
        </w:rPr>
        <w:t>-a</w:t>
      </w:r>
      <w:r w:rsidRPr="00630B63">
        <w:t xml:space="preserve"> and the Flood narrative) were examined exploratively. It was found that most Sumerian syllables in these texts can be mapped, interpreted, or refined through present Tamil forms in a way that produces coherent readings. While this does not constitute proof of identity, it addresses the objection of “insufficiency” at an exploratory level.</w:t>
      </w:r>
      <w:r>
        <w:t xml:space="preserve"> Study of construction of Ningirsu temple is taken in those lines.</w:t>
      </w:r>
    </w:p>
    <w:p w14:paraId="377109EA" w14:textId="77777777" w:rsidR="00CF123C" w:rsidRPr="00630B63" w:rsidRDefault="00000000" w:rsidP="00CF123C">
      <w:r>
        <w:pict w14:anchorId="15B6908A">
          <v:rect id="_x0000_i1040" style="width:0;height:1.5pt" o:hralign="center" o:hrstd="t" o:hr="t" fillcolor="#a0a0a0" stroked="f"/>
        </w:pict>
      </w:r>
    </w:p>
    <w:p w14:paraId="06961DA5" w14:textId="77777777" w:rsidR="00CF123C" w:rsidRPr="00630B63" w:rsidRDefault="00CF123C" w:rsidP="00CF123C">
      <w:r w:rsidRPr="00630B63">
        <w:rPr>
          <w:b/>
          <w:bCs/>
        </w:rPr>
        <w:t>Core Assumptions</w:t>
      </w:r>
    </w:p>
    <w:p w14:paraId="47FBE8EE" w14:textId="77777777" w:rsidR="00CF123C" w:rsidRPr="00630B63" w:rsidRDefault="00CF123C" w:rsidP="00CF123C">
      <w:pPr>
        <w:numPr>
          <w:ilvl w:val="0"/>
          <w:numId w:val="66"/>
        </w:numPr>
      </w:pPr>
      <w:r w:rsidRPr="00630B63">
        <w:t xml:space="preserve">Early languages were </w:t>
      </w:r>
      <w:r w:rsidRPr="00630B63">
        <w:rPr>
          <w:b/>
          <w:bCs/>
        </w:rPr>
        <w:t>process-oriented and context-rich</w:t>
      </w:r>
      <w:r w:rsidRPr="00630B63">
        <w:t>, not abstractly lexicalized in modern terms.</w:t>
      </w:r>
    </w:p>
    <w:p w14:paraId="2623CFD3" w14:textId="77777777" w:rsidR="00CF123C" w:rsidRPr="00630B63" w:rsidRDefault="00CF123C" w:rsidP="00CF123C">
      <w:pPr>
        <w:numPr>
          <w:ilvl w:val="0"/>
          <w:numId w:val="66"/>
        </w:numPr>
      </w:pPr>
      <w:r w:rsidRPr="00630B63">
        <w:t xml:space="preserve">Writing systems evolved from </w:t>
      </w:r>
      <w:r w:rsidRPr="00630B63">
        <w:rPr>
          <w:b/>
          <w:bCs/>
        </w:rPr>
        <w:t>pictograms with embedded material and experiential cues</w:t>
      </w:r>
      <w:r w:rsidRPr="00630B63">
        <w:t>, many of which are now lost.</w:t>
      </w:r>
    </w:p>
    <w:p w14:paraId="46E89191" w14:textId="77777777" w:rsidR="00CF123C" w:rsidRPr="00630B63" w:rsidRDefault="00CF123C" w:rsidP="00CF123C">
      <w:pPr>
        <w:numPr>
          <w:ilvl w:val="0"/>
          <w:numId w:val="66"/>
        </w:numPr>
      </w:pPr>
      <w:r w:rsidRPr="00630B63">
        <w:lastRenderedPageBreak/>
        <w:t xml:space="preserve">Polysemy in early languages often reflects </w:t>
      </w:r>
      <w:r w:rsidRPr="00630B63">
        <w:rPr>
          <w:b/>
          <w:bCs/>
        </w:rPr>
        <w:t>material use, institutional practice, and state change</w:t>
      </w:r>
      <w:r w:rsidRPr="00630B63">
        <w:t>, rather than semantic confusion.</w:t>
      </w:r>
    </w:p>
    <w:p w14:paraId="63253F31" w14:textId="77777777" w:rsidR="00CF123C" w:rsidRPr="00630B63" w:rsidRDefault="00CF123C" w:rsidP="00CF123C">
      <w:pPr>
        <w:numPr>
          <w:ilvl w:val="0"/>
          <w:numId w:val="66"/>
        </w:numPr>
      </w:pPr>
      <w:r w:rsidRPr="00630B63">
        <w:t xml:space="preserve">Linguistic continuity need not imply racial or ethnic continuity; the model is </w:t>
      </w:r>
      <w:r w:rsidRPr="00630B63">
        <w:rPr>
          <w:b/>
          <w:bCs/>
        </w:rPr>
        <w:t>linguistic, not racial</w:t>
      </w:r>
      <w:r w:rsidRPr="00630B63">
        <w:t>.</w:t>
      </w:r>
    </w:p>
    <w:p w14:paraId="26F61AA3" w14:textId="77777777" w:rsidR="00CF123C" w:rsidRPr="00630B63" w:rsidRDefault="00000000" w:rsidP="00CF123C">
      <w:r>
        <w:pict w14:anchorId="17D3B8BB">
          <v:rect id="_x0000_i1041" style="width:0;height:1.5pt" o:hralign="center" o:hrstd="t" o:hr="t" fillcolor="#a0a0a0" stroked="f"/>
        </w:pict>
      </w:r>
    </w:p>
    <w:p w14:paraId="4A689EE7" w14:textId="77777777" w:rsidR="00CF123C" w:rsidRPr="00630B63" w:rsidRDefault="00CF123C" w:rsidP="00CF123C">
      <w:r w:rsidRPr="00630B63">
        <w:rPr>
          <w:b/>
          <w:bCs/>
        </w:rPr>
        <w:t>Broader Interaction Hypothesis</w:t>
      </w:r>
    </w:p>
    <w:p w14:paraId="2AA4ECE5" w14:textId="77777777" w:rsidR="00CF123C" w:rsidRPr="00630B63" w:rsidRDefault="00CF123C" w:rsidP="00CF123C">
      <w:r w:rsidRPr="00630B63">
        <w:t>The model situates language development within early human interaction across interconnected regions:</w:t>
      </w:r>
    </w:p>
    <w:p w14:paraId="1420D307" w14:textId="77777777" w:rsidR="00CF123C" w:rsidRPr="00630B63" w:rsidRDefault="00CF123C" w:rsidP="00CF123C">
      <w:pPr>
        <w:numPr>
          <w:ilvl w:val="0"/>
          <w:numId w:val="67"/>
        </w:numPr>
      </w:pPr>
      <w:r w:rsidRPr="00630B63">
        <w:t>Mesopotamia</w:t>
      </w:r>
    </w:p>
    <w:p w14:paraId="4A4C721C" w14:textId="77777777" w:rsidR="00CF123C" w:rsidRPr="00630B63" w:rsidRDefault="00CF123C" w:rsidP="00CF123C">
      <w:pPr>
        <w:numPr>
          <w:ilvl w:val="0"/>
          <w:numId w:val="67"/>
        </w:numPr>
      </w:pPr>
      <w:r w:rsidRPr="00630B63">
        <w:t>Iran</w:t>
      </w:r>
    </w:p>
    <w:p w14:paraId="71C26958" w14:textId="77777777" w:rsidR="00CF123C" w:rsidRPr="00630B63" w:rsidRDefault="00CF123C" w:rsidP="00CF123C">
      <w:pPr>
        <w:numPr>
          <w:ilvl w:val="0"/>
          <w:numId w:val="67"/>
        </w:numPr>
      </w:pPr>
      <w:r w:rsidRPr="00630B63">
        <w:t>The Indus region</w:t>
      </w:r>
    </w:p>
    <w:p w14:paraId="4A50589E" w14:textId="77777777" w:rsidR="00CF123C" w:rsidRPr="00630B63" w:rsidRDefault="00CF123C" w:rsidP="00CF123C">
      <w:pPr>
        <w:numPr>
          <w:ilvl w:val="0"/>
          <w:numId w:val="67"/>
        </w:numPr>
      </w:pPr>
      <w:r w:rsidRPr="00630B63">
        <w:t>The Deccan Plateau and its coastal zones</w:t>
      </w:r>
    </w:p>
    <w:p w14:paraId="076484C9" w14:textId="77777777" w:rsidR="00CF123C" w:rsidRPr="00630B63" w:rsidRDefault="00CF123C" w:rsidP="00CF123C">
      <w:pPr>
        <w:numPr>
          <w:ilvl w:val="0"/>
          <w:numId w:val="67"/>
        </w:numPr>
      </w:pPr>
      <w:r w:rsidRPr="00630B63">
        <w:t>East Africa</w:t>
      </w:r>
    </w:p>
    <w:p w14:paraId="3646CF43" w14:textId="77777777" w:rsidR="00CF123C" w:rsidRPr="00630B63" w:rsidRDefault="00CF123C" w:rsidP="00CF123C">
      <w:r w:rsidRPr="00630B63">
        <w:t>Following major post-African migrations (c. 80,000–60,000 BP), populations could have interacted via land and maritime routes. Coastal and inland corridors may have supported sustained contact, enabling linguistic exchange and divergence over time. The Deccan Plateau, associated with early Dravidian language development, is treated as one such zone of innovation.</w:t>
      </w:r>
    </w:p>
    <w:p w14:paraId="558A18AD" w14:textId="77777777" w:rsidR="00CF123C" w:rsidRPr="00630B63" w:rsidRDefault="00CF123C" w:rsidP="00CF123C">
      <w:r w:rsidRPr="00630B63">
        <w:t xml:space="preserve">This interactional hypothesis is </w:t>
      </w:r>
      <w:r w:rsidRPr="00630B63">
        <w:rPr>
          <w:b/>
          <w:bCs/>
        </w:rPr>
        <w:t>explicitly provisional</w:t>
      </w:r>
      <w:r w:rsidRPr="00630B63">
        <w:t xml:space="preserve"> and intended for evaluation against archaeological, linguistic, and genetic evidence.</w:t>
      </w:r>
    </w:p>
    <w:p w14:paraId="2DE18ECC" w14:textId="77777777" w:rsidR="00CF123C" w:rsidRPr="00630B63" w:rsidRDefault="00000000" w:rsidP="00CF123C">
      <w:r>
        <w:pict w14:anchorId="3062930F">
          <v:rect id="_x0000_i1042" style="width:0;height:1.5pt" o:hralign="center" o:hrstd="t" o:hr="t" fillcolor="#a0a0a0" stroked="f"/>
        </w:pict>
      </w:r>
    </w:p>
    <w:p w14:paraId="412FFBCE" w14:textId="77777777" w:rsidR="00CF123C" w:rsidRPr="00630B63" w:rsidRDefault="00CF123C" w:rsidP="00CF123C">
      <w:r w:rsidRPr="00630B63">
        <w:rPr>
          <w:b/>
          <w:bCs/>
        </w:rPr>
        <w:t>Relation to Other Unresolved Questions</w:t>
      </w:r>
    </w:p>
    <w:p w14:paraId="68DBE38D" w14:textId="77777777" w:rsidR="00CF123C" w:rsidRPr="00630B63" w:rsidRDefault="00CF123C" w:rsidP="00CF123C">
      <w:r w:rsidRPr="00630B63">
        <w:t>The model acknowledges parallels with unresolved issues such as:</w:t>
      </w:r>
    </w:p>
    <w:p w14:paraId="56B590A2" w14:textId="77777777" w:rsidR="00CF123C" w:rsidRPr="00630B63" w:rsidRDefault="00CF123C" w:rsidP="00CF123C">
      <w:pPr>
        <w:numPr>
          <w:ilvl w:val="0"/>
          <w:numId w:val="68"/>
        </w:numPr>
      </w:pPr>
      <w:r w:rsidRPr="00630B63">
        <w:t>the undeciphered Indus script,</w:t>
      </w:r>
    </w:p>
    <w:p w14:paraId="0E7A6CB9" w14:textId="77777777" w:rsidR="00CF123C" w:rsidRPr="00630B63" w:rsidRDefault="00CF123C" w:rsidP="00CF123C">
      <w:pPr>
        <w:numPr>
          <w:ilvl w:val="0"/>
          <w:numId w:val="68"/>
        </w:numPr>
      </w:pPr>
      <w:r w:rsidRPr="00630B63">
        <w:t>ancient flood narratives,</w:t>
      </w:r>
    </w:p>
    <w:p w14:paraId="09A9AED5" w14:textId="77777777" w:rsidR="00CF123C" w:rsidRPr="00630B63" w:rsidRDefault="00CF123C" w:rsidP="00CF123C">
      <w:pPr>
        <w:numPr>
          <w:ilvl w:val="0"/>
          <w:numId w:val="68"/>
        </w:numPr>
      </w:pPr>
      <w:r w:rsidRPr="00630B63">
        <w:t xml:space="preserve">references to Dilmun, Magan, and </w:t>
      </w:r>
      <w:proofErr w:type="spellStart"/>
      <w:r w:rsidRPr="00630B63">
        <w:t>Meluha</w:t>
      </w:r>
      <w:proofErr w:type="spellEnd"/>
      <w:r w:rsidRPr="00630B63">
        <w:t xml:space="preserve"> in Sumerian texts,</w:t>
      </w:r>
    </w:p>
    <w:p w14:paraId="4DA4C8A4" w14:textId="77777777" w:rsidR="00CF123C" w:rsidRPr="00630B63" w:rsidRDefault="00CF123C" w:rsidP="00CF123C">
      <w:pPr>
        <w:numPr>
          <w:ilvl w:val="0"/>
          <w:numId w:val="68"/>
        </w:numPr>
      </w:pPr>
      <w:r w:rsidRPr="00630B63">
        <w:t>and the disappearance of spoken languages despite surviving written records.</w:t>
      </w:r>
    </w:p>
    <w:p w14:paraId="45B21C4F" w14:textId="77777777" w:rsidR="00CF123C" w:rsidRPr="00630B63" w:rsidRDefault="00CF123C" w:rsidP="00CF123C">
      <w:r w:rsidRPr="00630B63">
        <w:t xml:space="preserve">These are treated as </w:t>
      </w:r>
      <w:r w:rsidRPr="00630B63">
        <w:rPr>
          <w:b/>
          <w:bCs/>
        </w:rPr>
        <w:t>open problems</w:t>
      </w:r>
      <w:r w:rsidRPr="00630B63">
        <w:t>, not evidence.</w:t>
      </w:r>
    </w:p>
    <w:p w14:paraId="5CF4EFA5" w14:textId="77777777" w:rsidR="00CF123C" w:rsidRPr="00630B63" w:rsidRDefault="00000000" w:rsidP="00CF123C">
      <w:r>
        <w:lastRenderedPageBreak/>
        <w:pict w14:anchorId="50B077F8">
          <v:rect id="_x0000_i1043" style="width:0;height:1.5pt" o:hralign="center" o:hrstd="t" o:hr="t" fillcolor="#a0a0a0" stroked="f"/>
        </w:pict>
      </w:r>
    </w:p>
    <w:p w14:paraId="3B9A6AD4" w14:textId="77777777" w:rsidR="00CF123C" w:rsidRPr="00630B63" w:rsidRDefault="00CF123C" w:rsidP="00CF123C">
      <w:r w:rsidRPr="00630B63">
        <w:rPr>
          <w:b/>
          <w:bCs/>
        </w:rPr>
        <w:t>Position and Invitation</w:t>
      </w:r>
    </w:p>
    <w:p w14:paraId="2E011159" w14:textId="36A2A9C2" w:rsidR="00CF123C" w:rsidRPr="00630B63" w:rsidRDefault="00CF123C" w:rsidP="00CF123C">
      <w:r w:rsidRPr="00630B63">
        <w:t xml:space="preserve">The Purushothaman Model does </w:t>
      </w:r>
      <w:r w:rsidRPr="00630B63">
        <w:rPr>
          <w:b/>
          <w:bCs/>
        </w:rPr>
        <w:t>not</w:t>
      </w:r>
      <w:r w:rsidRPr="00630B63">
        <w:t xml:space="preserve"> assert that Sumerian “was” Tamil in a definitive </w:t>
      </w:r>
      <w:r w:rsidR="00603184">
        <w:t xml:space="preserve">re-positioning </w:t>
      </w:r>
      <w:r w:rsidRPr="00630B63">
        <w:t xml:space="preserve">sense. It proposes that Sumerian may represent an </w:t>
      </w:r>
      <w:r w:rsidRPr="00630B63">
        <w:rPr>
          <w:b/>
          <w:bCs/>
        </w:rPr>
        <w:t>early linguistic form closely aligned with ancient Tamil</w:t>
      </w:r>
      <w:r w:rsidRPr="00630B63">
        <w:t>, later differentiated through time, geography, and institutional writing practices.</w:t>
      </w:r>
    </w:p>
    <w:p w14:paraId="7A033DFF" w14:textId="77777777" w:rsidR="00CF123C" w:rsidRPr="00630B63" w:rsidRDefault="00CF123C" w:rsidP="00CF123C">
      <w:r w:rsidRPr="00630B63">
        <w:t xml:space="preserve">The model is offered as a </w:t>
      </w:r>
      <w:r w:rsidRPr="00630B63">
        <w:rPr>
          <w:b/>
          <w:bCs/>
        </w:rPr>
        <w:t>base framework</w:t>
      </w:r>
      <w:r w:rsidRPr="00630B63">
        <w:t>—to be tested, refined, or rejected by others. Its value lies not in certainty, but in providing a structured way to ask how ancient humans communicated orally and in writing, and how traces of those systems persist.</w:t>
      </w:r>
    </w:p>
    <w:p w14:paraId="696E6874" w14:textId="77777777" w:rsidR="00CF123C" w:rsidRPr="00630B63" w:rsidRDefault="00000000" w:rsidP="00CF123C">
      <w:r>
        <w:pict w14:anchorId="1CF756EA">
          <v:rect id="_x0000_i1044" style="width:0;height:1.5pt" o:hralign="center" o:hrstd="t" o:hr="t" fillcolor="#a0a0a0" stroked="f"/>
        </w:pict>
      </w:r>
    </w:p>
    <w:p w14:paraId="4BAA1E0E" w14:textId="77777777" w:rsidR="00CF123C" w:rsidRPr="00630B63" w:rsidRDefault="00CF123C" w:rsidP="00CF123C">
      <w:r w:rsidRPr="00630B63">
        <w:rPr>
          <w:b/>
          <w:bCs/>
        </w:rPr>
        <w:t>Status</w:t>
      </w:r>
    </w:p>
    <w:p w14:paraId="584FD8D9" w14:textId="13094225" w:rsidR="00CF123C" w:rsidRPr="00630B63" w:rsidRDefault="00CF123C" w:rsidP="00CF123C">
      <w:r w:rsidRPr="00630B63">
        <w:t>Exploratory | Provisional | Open to critique</w:t>
      </w:r>
      <w:r w:rsidR="00603184">
        <w:t xml:space="preserve"> </w:t>
      </w:r>
      <w:r w:rsidR="00603184" w:rsidRPr="00630B63">
        <w:t xml:space="preserve">| </w:t>
      </w:r>
      <w:r w:rsidR="00603184">
        <w:t>Sets Future Research Directions</w:t>
      </w:r>
    </w:p>
    <w:p w14:paraId="30ED59AA" w14:textId="77777777" w:rsidR="00CF123C" w:rsidRDefault="00CF123C" w:rsidP="000B4C86">
      <w:pPr>
        <w:rPr>
          <w:i/>
          <w:iCs/>
        </w:rPr>
      </w:pPr>
    </w:p>
    <w:p w14:paraId="1A61C17B" w14:textId="77777777" w:rsidR="00603184" w:rsidRPr="00630B63" w:rsidRDefault="00000000" w:rsidP="00603184">
      <w:r>
        <w:pict w14:anchorId="3496DB24">
          <v:rect id="_x0000_i1045" style="width:0;height:1.5pt" o:hralign="center" o:hrstd="t" o:hr="t" fillcolor="#a0a0a0" stroked="f"/>
        </w:pict>
      </w:r>
    </w:p>
    <w:p w14:paraId="7E4B5345" w14:textId="7DC277BA" w:rsidR="008B5CAF" w:rsidRDefault="008B5CAF" w:rsidP="000B4C86">
      <w:pPr>
        <w:rPr>
          <w:i/>
          <w:iCs/>
        </w:rPr>
      </w:pPr>
      <w:r w:rsidRPr="008B5CAF">
        <w:rPr>
          <w:i/>
          <w:iCs/>
        </w:rPr>
        <w:t>Author’s note: This paper was developed through a human–AI collaborative writing process, with interpretive responsibility resting entirely with the author</w:t>
      </w:r>
      <w:r w:rsidR="00603184">
        <w:rPr>
          <w:i/>
          <w:iCs/>
        </w:rPr>
        <w:t xml:space="preserve"> with highest freedom to the readers / research scholars</w:t>
      </w:r>
      <w:r w:rsidRPr="008B5CAF">
        <w:rPr>
          <w:i/>
          <w:iCs/>
        </w:rPr>
        <w:t>.</w:t>
      </w:r>
      <w:r w:rsidR="00467D5C">
        <w:rPr>
          <w:i/>
          <w:iCs/>
        </w:rPr>
        <w:t xml:space="preserve"> This is shared for feedbacks and comments, free use and testing.</w:t>
      </w:r>
    </w:p>
    <w:p w14:paraId="78F643F9" w14:textId="77777777" w:rsidR="00603184" w:rsidRPr="00630B63" w:rsidRDefault="00000000" w:rsidP="00603184">
      <w:r>
        <w:pict w14:anchorId="503E169C">
          <v:rect id="_x0000_i1046" style="width:0;height:1.5pt" o:hralign="center" o:hrstd="t" o:hr="t" fillcolor="#a0a0a0" stroked="f"/>
        </w:pict>
      </w:r>
    </w:p>
    <w:sectPr w:rsidR="00603184" w:rsidRPr="00630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EF9"/>
    <w:multiLevelType w:val="multilevel"/>
    <w:tmpl w:val="FDB2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1DF5"/>
    <w:multiLevelType w:val="multilevel"/>
    <w:tmpl w:val="CB2E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75374"/>
    <w:multiLevelType w:val="multilevel"/>
    <w:tmpl w:val="A8EE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25B6D"/>
    <w:multiLevelType w:val="multilevel"/>
    <w:tmpl w:val="374A6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47A08"/>
    <w:multiLevelType w:val="multilevel"/>
    <w:tmpl w:val="8F100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82B97"/>
    <w:multiLevelType w:val="multilevel"/>
    <w:tmpl w:val="0A407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91818"/>
    <w:multiLevelType w:val="multilevel"/>
    <w:tmpl w:val="E66EC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C52D9"/>
    <w:multiLevelType w:val="multilevel"/>
    <w:tmpl w:val="337E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311D9"/>
    <w:multiLevelType w:val="multilevel"/>
    <w:tmpl w:val="F0E63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27C1B"/>
    <w:multiLevelType w:val="multilevel"/>
    <w:tmpl w:val="F572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341C7"/>
    <w:multiLevelType w:val="multilevel"/>
    <w:tmpl w:val="6B2E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F27FD"/>
    <w:multiLevelType w:val="multilevel"/>
    <w:tmpl w:val="9BA6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346C1"/>
    <w:multiLevelType w:val="multilevel"/>
    <w:tmpl w:val="27B8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D0C80"/>
    <w:multiLevelType w:val="multilevel"/>
    <w:tmpl w:val="6EE2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F6DAD"/>
    <w:multiLevelType w:val="multilevel"/>
    <w:tmpl w:val="A27A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92DA6"/>
    <w:multiLevelType w:val="multilevel"/>
    <w:tmpl w:val="E936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42873"/>
    <w:multiLevelType w:val="multilevel"/>
    <w:tmpl w:val="DB60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201915"/>
    <w:multiLevelType w:val="multilevel"/>
    <w:tmpl w:val="FF0C3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6C6CB1"/>
    <w:multiLevelType w:val="multilevel"/>
    <w:tmpl w:val="3FFC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FF6C85"/>
    <w:multiLevelType w:val="multilevel"/>
    <w:tmpl w:val="F5F0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8658F"/>
    <w:multiLevelType w:val="multilevel"/>
    <w:tmpl w:val="B37E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454AE"/>
    <w:multiLevelType w:val="multilevel"/>
    <w:tmpl w:val="9CE8F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DD150E"/>
    <w:multiLevelType w:val="multilevel"/>
    <w:tmpl w:val="E10C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07CAF"/>
    <w:multiLevelType w:val="multilevel"/>
    <w:tmpl w:val="370E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7405A1"/>
    <w:multiLevelType w:val="multilevel"/>
    <w:tmpl w:val="22F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9347D"/>
    <w:multiLevelType w:val="multilevel"/>
    <w:tmpl w:val="C928A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934286"/>
    <w:multiLevelType w:val="multilevel"/>
    <w:tmpl w:val="853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E15781"/>
    <w:multiLevelType w:val="multilevel"/>
    <w:tmpl w:val="8222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E72CF9"/>
    <w:multiLevelType w:val="multilevel"/>
    <w:tmpl w:val="ECE8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B73C0D"/>
    <w:multiLevelType w:val="multilevel"/>
    <w:tmpl w:val="D9C875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18517B"/>
    <w:multiLevelType w:val="multilevel"/>
    <w:tmpl w:val="610C8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89331A"/>
    <w:multiLevelType w:val="multilevel"/>
    <w:tmpl w:val="4134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FF7A3B"/>
    <w:multiLevelType w:val="multilevel"/>
    <w:tmpl w:val="1720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C10BB2"/>
    <w:multiLevelType w:val="multilevel"/>
    <w:tmpl w:val="AC8AB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452F83"/>
    <w:multiLevelType w:val="multilevel"/>
    <w:tmpl w:val="DD325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824467"/>
    <w:multiLevelType w:val="multilevel"/>
    <w:tmpl w:val="C0F4E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6C237A"/>
    <w:multiLevelType w:val="multilevel"/>
    <w:tmpl w:val="8C92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FF033D"/>
    <w:multiLevelType w:val="multilevel"/>
    <w:tmpl w:val="CE20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6920EF"/>
    <w:multiLevelType w:val="multilevel"/>
    <w:tmpl w:val="771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8409F9"/>
    <w:multiLevelType w:val="multilevel"/>
    <w:tmpl w:val="AD08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436F6B"/>
    <w:multiLevelType w:val="multilevel"/>
    <w:tmpl w:val="59B2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5715A8"/>
    <w:multiLevelType w:val="multilevel"/>
    <w:tmpl w:val="1040D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2E49A2"/>
    <w:multiLevelType w:val="multilevel"/>
    <w:tmpl w:val="1E52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2E2665"/>
    <w:multiLevelType w:val="multilevel"/>
    <w:tmpl w:val="2F0A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AB45BD"/>
    <w:multiLevelType w:val="multilevel"/>
    <w:tmpl w:val="56429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A652C1"/>
    <w:multiLevelType w:val="multilevel"/>
    <w:tmpl w:val="1E9A4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A005C0"/>
    <w:multiLevelType w:val="multilevel"/>
    <w:tmpl w:val="8180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E0242A"/>
    <w:multiLevelType w:val="multilevel"/>
    <w:tmpl w:val="2F8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1A2708"/>
    <w:multiLevelType w:val="multilevel"/>
    <w:tmpl w:val="375A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517967"/>
    <w:multiLevelType w:val="multilevel"/>
    <w:tmpl w:val="5316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D369DF"/>
    <w:multiLevelType w:val="multilevel"/>
    <w:tmpl w:val="C0C8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A55547"/>
    <w:multiLevelType w:val="multilevel"/>
    <w:tmpl w:val="B0AE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A12CCA"/>
    <w:multiLevelType w:val="multilevel"/>
    <w:tmpl w:val="16D2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2E567E"/>
    <w:multiLevelType w:val="multilevel"/>
    <w:tmpl w:val="C9ECF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552EA4"/>
    <w:multiLevelType w:val="multilevel"/>
    <w:tmpl w:val="1AC6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9F1653"/>
    <w:multiLevelType w:val="multilevel"/>
    <w:tmpl w:val="2862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AB5CE5"/>
    <w:multiLevelType w:val="multilevel"/>
    <w:tmpl w:val="FCAA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520A5A"/>
    <w:multiLevelType w:val="multilevel"/>
    <w:tmpl w:val="A282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122366"/>
    <w:multiLevelType w:val="multilevel"/>
    <w:tmpl w:val="8F18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9C31BDF"/>
    <w:multiLevelType w:val="multilevel"/>
    <w:tmpl w:val="E7EE2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641939"/>
    <w:multiLevelType w:val="multilevel"/>
    <w:tmpl w:val="884A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D545BF"/>
    <w:multiLevelType w:val="multilevel"/>
    <w:tmpl w:val="CB24C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9961B6"/>
    <w:multiLevelType w:val="multilevel"/>
    <w:tmpl w:val="A4A0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4F19CE"/>
    <w:multiLevelType w:val="multilevel"/>
    <w:tmpl w:val="3784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D902EB"/>
    <w:multiLevelType w:val="multilevel"/>
    <w:tmpl w:val="4718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86797B"/>
    <w:multiLevelType w:val="multilevel"/>
    <w:tmpl w:val="58BE0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5008DA"/>
    <w:multiLevelType w:val="multilevel"/>
    <w:tmpl w:val="6234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5A17A8"/>
    <w:multiLevelType w:val="multilevel"/>
    <w:tmpl w:val="7B3E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BC27C1"/>
    <w:multiLevelType w:val="multilevel"/>
    <w:tmpl w:val="C332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4A46ED"/>
    <w:multiLevelType w:val="multilevel"/>
    <w:tmpl w:val="5798C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03062E"/>
    <w:multiLevelType w:val="multilevel"/>
    <w:tmpl w:val="9F24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597493">
    <w:abstractNumId w:val="69"/>
  </w:num>
  <w:num w:numId="2" w16cid:durableId="320889121">
    <w:abstractNumId w:val="22"/>
  </w:num>
  <w:num w:numId="3" w16cid:durableId="338972419">
    <w:abstractNumId w:val="68"/>
  </w:num>
  <w:num w:numId="4" w16cid:durableId="252975798">
    <w:abstractNumId w:val="56"/>
  </w:num>
  <w:num w:numId="5" w16cid:durableId="1431661036">
    <w:abstractNumId w:val="0"/>
  </w:num>
  <w:num w:numId="6" w16cid:durableId="256792935">
    <w:abstractNumId w:val="38"/>
  </w:num>
  <w:num w:numId="7" w16cid:durableId="1371800594">
    <w:abstractNumId w:val="48"/>
  </w:num>
  <w:num w:numId="8" w16cid:durableId="1200703504">
    <w:abstractNumId w:val="58"/>
  </w:num>
  <w:num w:numId="9" w16cid:durableId="1946037349">
    <w:abstractNumId w:val="45"/>
  </w:num>
  <w:num w:numId="10" w16cid:durableId="274141833">
    <w:abstractNumId w:val="51"/>
  </w:num>
  <w:num w:numId="11" w16cid:durableId="1111122412">
    <w:abstractNumId w:val="42"/>
  </w:num>
  <w:num w:numId="12" w16cid:durableId="1371370344">
    <w:abstractNumId w:val="21"/>
  </w:num>
  <w:num w:numId="13" w16cid:durableId="1791121379">
    <w:abstractNumId w:val="34"/>
  </w:num>
  <w:num w:numId="14" w16cid:durableId="1344169520">
    <w:abstractNumId w:val="62"/>
  </w:num>
  <w:num w:numId="15" w16cid:durableId="1157771726">
    <w:abstractNumId w:val="26"/>
  </w:num>
  <w:num w:numId="16" w16cid:durableId="1926837581">
    <w:abstractNumId w:val="49"/>
  </w:num>
  <w:num w:numId="17" w16cid:durableId="1089497625">
    <w:abstractNumId w:val="15"/>
  </w:num>
  <w:num w:numId="18" w16cid:durableId="517501006">
    <w:abstractNumId w:val="11"/>
  </w:num>
  <w:num w:numId="19" w16cid:durableId="257447971">
    <w:abstractNumId w:val="31"/>
  </w:num>
  <w:num w:numId="20" w16cid:durableId="1901475784">
    <w:abstractNumId w:val="67"/>
  </w:num>
  <w:num w:numId="21" w16cid:durableId="575092089">
    <w:abstractNumId w:val="24"/>
  </w:num>
  <w:num w:numId="22" w16cid:durableId="185992590">
    <w:abstractNumId w:val="20"/>
  </w:num>
  <w:num w:numId="23" w16cid:durableId="572471755">
    <w:abstractNumId w:val="32"/>
  </w:num>
  <w:num w:numId="24" w16cid:durableId="59452022">
    <w:abstractNumId w:val="54"/>
  </w:num>
  <w:num w:numId="25" w16cid:durableId="824706763">
    <w:abstractNumId w:val="41"/>
  </w:num>
  <w:num w:numId="26" w16cid:durableId="534853856">
    <w:abstractNumId w:val="44"/>
  </w:num>
  <w:num w:numId="27" w16cid:durableId="1458714747">
    <w:abstractNumId w:val="60"/>
  </w:num>
  <w:num w:numId="28" w16cid:durableId="1176771249">
    <w:abstractNumId w:val="70"/>
  </w:num>
  <w:num w:numId="29" w16cid:durableId="229001382">
    <w:abstractNumId w:val="27"/>
  </w:num>
  <w:num w:numId="30" w16cid:durableId="97533534">
    <w:abstractNumId w:val="39"/>
  </w:num>
  <w:num w:numId="31" w16cid:durableId="1739984094">
    <w:abstractNumId w:val="55"/>
  </w:num>
  <w:num w:numId="32" w16cid:durableId="1060440848">
    <w:abstractNumId w:val="40"/>
  </w:num>
  <w:num w:numId="33" w16cid:durableId="1663925348">
    <w:abstractNumId w:val="28"/>
  </w:num>
  <w:num w:numId="34" w16cid:durableId="1135223152">
    <w:abstractNumId w:val="59"/>
  </w:num>
  <w:num w:numId="35" w16cid:durableId="2021348969">
    <w:abstractNumId w:val="64"/>
  </w:num>
  <w:num w:numId="36" w16cid:durableId="443697786">
    <w:abstractNumId w:val="36"/>
  </w:num>
  <w:num w:numId="37" w16cid:durableId="2056461303">
    <w:abstractNumId w:val="50"/>
  </w:num>
  <w:num w:numId="38" w16cid:durableId="2145811226">
    <w:abstractNumId w:val="9"/>
  </w:num>
  <w:num w:numId="39" w16cid:durableId="1947495037">
    <w:abstractNumId w:val="47"/>
  </w:num>
  <w:num w:numId="40" w16cid:durableId="956906465">
    <w:abstractNumId w:val="19"/>
  </w:num>
  <w:num w:numId="41" w16cid:durableId="657811316">
    <w:abstractNumId w:val="46"/>
  </w:num>
  <w:num w:numId="42" w16cid:durableId="332341783">
    <w:abstractNumId w:val="16"/>
  </w:num>
  <w:num w:numId="43" w16cid:durableId="235405654">
    <w:abstractNumId w:val="2"/>
  </w:num>
  <w:num w:numId="44" w16cid:durableId="2064602220">
    <w:abstractNumId w:val="37"/>
  </w:num>
  <w:num w:numId="45" w16cid:durableId="53741573">
    <w:abstractNumId w:val="4"/>
  </w:num>
  <w:num w:numId="46" w16cid:durableId="1543588904">
    <w:abstractNumId w:val="52"/>
  </w:num>
  <w:num w:numId="47" w16cid:durableId="365065623">
    <w:abstractNumId w:val="61"/>
  </w:num>
  <w:num w:numId="48" w16cid:durableId="2016417879">
    <w:abstractNumId w:val="3"/>
  </w:num>
  <w:num w:numId="49" w16cid:durableId="1350451724">
    <w:abstractNumId w:val="5"/>
  </w:num>
  <w:num w:numId="50" w16cid:durableId="1942566285">
    <w:abstractNumId w:val="65"/>
  </w:num>
  <w:num w:numId="51" w16cid:durableId="935789557">
    <w:abstractNumId w:val="18"/>
  </w:num>
  <w:num w:numId="52" w16cid:durableId="648635329">
    <w:abstractNumId w:val="6"/>
  </w:num>
  <w:num w:numId="53" w16cid:durableId="1158765146">
    <w:abstractNumId w:val="33"/>
  </w:num>
  <w:num w:numId="54" w16cid:durableId="1744180738">
    <w:abstractNumId w:val="63"/>
  </w:num>
  <w:num w:numId="55" w16cid:durableId="1745179416">
    <w:abstractNumId w:val="10"/>
  </w:num>
  <w:num w:numId="56" w16cid:durableId="392854653">
    <w:abstractNumId w:val="13"/>
  </w:num>
  <w:num w:numId="57" w16cid:durableId="1695574384">
    <w:abstractNumId w:val="23"/>
  </w:num>
  <w:num w:numId="58" w16cid:durableId="1138112359">
    <w:abstractNumId w:val="29"/>
  </w:num>
  <w:num w:numId="59" w16cid:durableId="1248348131">
    <w:abstractNumId w:val="30"/>
  </w:num>
  <w:num w:numId="60" w16cid:durableId="1320504927">
    <w:abstractNumId w:val="7"/>
  </w:num>
  <w:num w:numId="61" w16cid:durableId="1573544102">
    <w:abstractNumId w:val="53"/>
  </w:num>
  <w:num w:numId="62" w16cid:durableId="490604925">
    <w:abstractNumId w:val="8"/>
  </w:num>
  <w:num w:numId="63" w16cid:durableId="936867230">
    <w:abstractNumId w:val="35"/>
  </w:num>
  <w:num w:numId="64" w16cid:durableId="852693973">
    <w:abstractNumId w:val="25"/>
  </w:num>
  <w:num w:numId="65" w16cid:durableId="1186871870">
    <w:abstractNumId w:val="12"/>
  </w:num>
  <w:num w:numId="66" w16cid:durableId="81075281">
    <w:abstractNumId w:val="17"/>
  </w:num>
  <w:num w:numId="67" w16cid:durableId="538007606">
    <w:abstractNumId w:val="66"/>
  </w:num>
  <w:num w:numId="68" w16cid:durableId="1620408463">
    <w:abstractNumId w:val="43"/>
  </w:num>
  <w:num w:numId="69" w16cid:durableId="712464920">
    <w:abstractNumId w:val="57"/>
  </w:num>
  <w:num w:numId="70" w16cid:durableId="172652958">
    <w:abstractNumId w:val="14"/>
  </w:num>
  <w:num w:numId="71" w16cid:durableId="1127704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2BE"/>
    <w:rsid w:val="00034A11"/>
    <w:rsid w:val="00097280"/>
    <w:rsid w:val="000B4C86"/>
    <w:rsid w:val="00247C64"/>
    <w:rsid w:val="002B6948"/>
    <w:rsid w:val="00380DF0"/>
    <w:rsid w:val="00467D5C"/>
    <w:rsid w:val="004F7A56"/>
    <w:rsid w:val="00514AEA"/>
    <w:rsid w:val="005A2DAD"/>
    <w:rsid w:val="00603184"/>
    <w:rsid w:val="00630B63"/>
    <w:rsid w:val="006911C5"/>
    <w:rsid w:val="00722210"/>
    <w:rsid w:val="007E20C4"/>
    <w:rsid w:val="00834A7C"/>
    <w:rsid w:val="008B5CAF"/>
    <w:rsid w:val="008D7847"/>
    <w:rsid w:val="009F0D1D"/>
    <w:rsid w:val="00AD4D3E"/>
    <w:rsid w:val="00B0752D"/>
    <w:rsid w:val="00B72B42"/>
    <w:rsid w:val="00CF123C"/>
    <w:rsid w:val="00D42B6F"/>
    <w:rsid w:val="00D734A6"/>
    <w:rsid w:val="00D77901"/>
    <w:rsid w:val="00DE3756"/>
    <w:rsid w:val="00E712BE"/>
    <w:rsid w:val="00EA012F"/>
    <w:rsid w:val="00EC05C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BF56F"/>
  <w15:chartTrackingRefBased/>
  <w15:docId w15:val="{73B6407B-5482-45F5-A126-9B2C06EF6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184"/>
  </w:style>
  <w:style w:type="paragraph" w:styleId="Heading1">
    <w:name w:val="heading 1"/>
    <w:basedOn w:val="Normal"/>
    <w:next w:val="Normal"/>
    <w:link w:val="Heading1Char"/>
    <w:uiPriority w:val="9"/>
    <w:qFormat/>
    <w:rsid w:val="00E712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2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2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2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2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2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2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2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2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2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2BE"/>
    <w:rPr>
      <w:rFonts w:eastAsiaTheme="majorEastAsia" w:cstheme="majorBidi"/>
      <w:color w:val="272727" w:themeColor="text1" w:themeTint="D8"/>
    </w:rPr>
  </w:style>
  <w:style w:type="paragraph" w:styleId="Title">
    <w:name w:val="Title"/>
    <w:basedOn w:val="Normal"/>
    <w:next w:val="Normal"/>
    <w:link w:val="TitleChar"/>
    <w:uiPriority w:val="10"/>
    <w:qFormat/>
    <w:rsid w:val="00E71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2BE"/>
    <w:pPr>
      <w:spacing w:before="160"/>
      <w:jc w:val="center"/>
    </w:pPr>
    <w:rPr>
      <w:i/>
      <w:iCs/>
      <w:color w:val="404040" w:themeColor="text1" w:themeTint="BF"/>
    </w:rPr>
  </w:style>
  <w:style w:type="character" w:customStyle="1" w:styleId="QuoteChar">
    <w:name w:val="Quote Char"/>
    <w:basedOn w:val="DefaultParagraphFont"/>
    <w:link w:val="Quote"/>
    <w:uiPriority w:val="29"/>
    <w:rsid w:val="00E712BE"/>
    <w:rPr>
      <w:i/>
      <w:iCs/>
      <w:color w:val="404040" w:themeColor="text1" w:themeTint="BF"/>
    </w:rPr>
  </w:style>
  <w:style w:type="paragraph" w:styleId="ListParagraph">
    <w:name w:val="List Paragraph"/>
    <w:basedOn w:val="Normal"/>
    <w:uiPriority w:val="34"/>
    <w:qFormat/>
    <w:rsid w:val="00E712BE"/>
    <w:pPr>
      <w:ind w:left="720"/>
      <w:contextualSpacing/>
    </w:pPr>
  </w:style>
  <w:style w:type="character" w:styleId="IntenseEmphasis">
    <w:name w:val="Intense Emphasis"/>
    <w:basedOn w:val="DefaultParagraphFont"/>
    <w:uiPriority w:val="21"/>
    <w:qFormat/>
    <w:rsid w:val="00E712BE"/>
    <w:rPr>
      <w:i/>
      <w:iCs/>
      <w:color w:val="2F5496" w:themeColor="accent1" w:themeShade="BF"/>
    </w:rPr>
  </w:style>
  <w:style w:type="paragraph" w:styleId="IntenseQuote">
    <w:name w:val="Intense Quote"/>
    <w:basedOn w:val="Normal"/>
    <w:next w:val="Normal"/>
    <w:link w:val="IntenseQuoteChar"/>
    <w:uiPriority w:val="30"/>
    <w:qFormat/>
    <w:rsid w:val="00E712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2BE"/>
    <w:rPr>
      <w:i/>
      <w:iCs/>
      <w:color w:val="2F5496" w:themeColor="accent1" w:themeShade="BF"/>
    </w:rPr>
  </w:style>
  <w:style w:type="character" w:styleId="IntenseReference">
    <w:name w:val="Intense Reference"/>
    <w:basedOn w:val="DefaultParagraphFont"/>
    <w:uiPriority w:val="32"/>
    <w:qFormat/>
    <w:rsid w:val="00E712BE"/>
    <w:rPr>
      <w:b/>
      <w:bCs/>
      <w:smallCaps/>
      <w:color w:val="2F5496" w:themeColor="accent1" w:themeShade="BF"/>
      <w:spacing w:val="5"/>
    </w:rPr>
  </w:style>
  <w:style w:type="character" w:styleId="SubtleEmphasis">
    <w:name w:val="Subtle Emphasis"/>
    <w:basedOn w:val="DefaultParagraphFont"/>
    <w:uiPriority w:val="19"/>
    <w:qFormat/>
    <w:rsid w:val="009F0D1D"/>
    <w:rPr>
      <w:i/>
      <w:iCs/>
      <w:color w:val="404040" w:themeColor="text1" w:themeTint="BF"/>
    </w:rPr>
  </w:style>
  <w:style w:type="character" w:styleId="Hyperlink">
    <w:name w:val="Hyperlink"/>
    <w:basedOn w:val="DefaultParagraphFont"/>
    <w:uiPriority w:val="99"/>
    <w:unhideWhenUsed/>
    <w:rsid w:val="009F0D1D"/>
    <w:rPr>
      <w:color w:val="0563C1" w:themeColor="hyperlink"/>
      <w:u w:val="single"/>
    </w:rPr>
  </w:style>
  <w:style w:type="character" w:styleId="UnresolvedMention">
    <w:name w:val="Unresolved Mention"/>
    <w:basedOn w:val="DefaultParagraphFont"/>
    <w:uiPriority w:val="99"/>
    <w:semiHidden/>
    <w:unhideWhenUsed/>
    <w:rsid w:val="009F0D1D"/>
    <w:rPr>
      <w:color w:val="605E5C"/>
      <w:shd w:val="clear" w:color="auto" w:fill="E1DFDD"/>
    </w:rPr>
  </w:style>
  <w:style w:type="paragraph" w:styleId="NormalWeb">
    <w:name w:val="Normal (Web)"/>
    <w:basedOn w:val="Normal"/>
    <w:uiPriority w:val="99"/>
    <w:semiHidden/>
    <w:unhideWhenUsed/>
    <w:rsid w:val="00D7790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llapur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11</Pages>
  <Words>2956</Words>
  <Characters>16851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Purushothaman P</dc:creator>
  <cp:keywords/>
  <dc:description/>
  <cp:lastModifiedBy>Purushothaman P</cp:lastModifiedBy>
  <cp:revision>2</cp:revision>
  <dcterms:created xsi:type="dcterms:W3CDTF">2026-01-05T18:18:00Z</dcterms:created>
  <dcterms:modified xsi:type="dcterms:W3CDTF">2026-01-05T18:18:00Z</dcterms:modified>
</cp:coreProperties>
</file>