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" w:line="240" w:lineRule="auto"/>
        <w:jc w:val="center"/>
        <w:rPr>
          <w:bCs/>
          <w:lang w:val="ru-RU"/>
        </w:rPr>
      </w:pPr>
      <w:r>
        <w:rPr>
          <w:bCs/>
          <w:lang w:val="ru-RU"/>
        </w:rPr>
        <w:t>МИНИСТЕРСТВО НАУКИ И ВЫСШЕГО ОБРАЗОВАНИЯ</w:t>
      </w:r>
    </w:p>
    <w:p>
      <w:pPr>
        <w:spacing w:after="40" w:line="240" w:lineRule="auto"/>
        <w:jc w:val="center"/>
        <w:rPr>
          <w:bCs/>
          <w:lang w:val="ru-RU"/>
        </w:rPr>
      </w:pPr>
      <w:r>
        <w:rPr>
          <w:bCs/>
          <w:lang w:val="ru-RU"/>
        </w:rPr>
        <w:t>РОССИЙСКОЙ ФЕДЕРАЦИИ</w:t>
      </w:r>
    </w:p>
    <w:p>
      <w:pPr>
        <w:spacing w:after="40" w:line="240" w:lineRule="auto"/>
        <w:jc w:val="center"/>
        <w:rPr>
          <w:bCs/>
          <w:lang w:val="ru-RU"/>
        </w:rPr>
      </w:pPr>
      <w:r>
        <w:rPr>
          <w:bCs/>
          <w:lang w:val="ru-RU"/>
        </w:rPr>
        <w:t>ФГБОУ ВО «ДонНТУ»</w:t>
      </w:r>
    </w:p>
    <w:p>
      <w:pPr>
        <w:spacing w:after="40" w:line="240" w:lineRule="auto"/>
        <w:jc w:val="center"/>
        <w:rPr>
          <w:bCs/>
          <w:lang w:val="ru-RU"/>
        </w:rPr>
      </w:pPr>
      <w:r>
        <w:rPr>
          <w:bCs/>
          <w:lang w:val="ru-RU"/>
        </w:rPr>
        <w:t>Факультет Интеллектуальных систем и программирования</w:t>
      </w:r>
    </w:p>
    <w:p>
      <w:pPr>
        <w:spacing w:after="40" w:line="240" w:lineRule="auto"/>
        <w:jc w:val="center"/>
        <w:rPr>
          <w:bCs/>
          <w:lang w:val="ru-RU"/>
        </w:rPr>
      </w:pPr>
      <w:r>
        <w:rPr>
          <w:bCs/>
          <w:lang w:val="ru-RU"/>
        </w:rPr>
        <w:t>Кафедра «Программная инженерия» им. Л.П. Фельдмана</w:t>
      </w:r>
    </w:p>
    <w:p>
      <w:pPr>
        <w:rPr>
          <w:bCs/>
          <w:lang w:val="ru-RU"/>
        </w:rPr>
      </w:pPr>
    </w:p>
    <w:p>
      <w:pPr>
        <w:rPr>
          <w:bCs/>
          <w:lang w:val="ru-RU"/>
        </w:rPr>
      </w:pPr>
    </w:p>
    <w:p>
      <w:pPr>
        <w:rPr>
          <w:bCs/>
          <w:lang w:val="ru-RU"/>
        </w:rPr>
      </w:pPr>
    </w:p>
    <w:p>
      <w:pPr>
        <w:rPr>
          <w:bCs/>
          <w:lang w:val="ru-RU"/>
        </w:rPr>
      </w:pPr>
    </w:p>
    <w:p>
      <w:pPr>
        <w:spacing w:after="120" w:line="240" w:lineRule="auto"/>
        <w:jc w:val="center"/>
        <w:rPr>
          <w:bCs/>
          <w:lang w:val="ru-RU"/>
        </w:rPr>
      </w:pPr>
      <w:r>
        <w:rPr>
          <w:bCs/>
          <w:sz w:val="32"/>
          <w:lang w:val="ru-RU"/>
        </w:rPr>
        <w:t>Лабораторная работа №5</w:t>
      </w:r>
    </w:p>
    <w:p>
      <w:pPr>
        <w:spacing w:after="120" w:line="240" w:lineRule="auto"/>
        <w:jc w:val="center"/>
        <w:rPr>
          <w:bCs/>
          <w:lang w:val="ru-RU"/>
        </w:rPr>
      </w:pPr>
      <w:r>
        <w:rPr>
          <w:bCs/>
          <w:lang w:val="ru-RU"/>
        </w:rPr>
        <w:t>по курсу: «Профессиональная практика программной инженерии»</w:t>
      </w:r>
    </w:p>
    <w:p>
      <w:pPr>
        <w:spacing w:after="0" w:line="240" w:lineRule="auto"/>
        <w:jc w:val="center"/>
        <w:rPr>
          <w:bCs/>
          <w:lang w:val="ru-RU"/>
        </w:rPr>
      </w:pPr>
      <w:r>
        <w:rPr>
          <w:bCs/>
          <w:lang w:val="ru-RU"/>
        </w:rPr>
        <w:t>по теме: «Разработка ручной документации»</w:t>
      </w:r>
    </w:p>
    <w:p>
      <w:pPr>
        <w:rPr>
          <w:bCs/>
          <w:lang w:val="ru-RU"/>
        </w:rPr>
      </w:pPr>
    </w:p>
    <w:p>
      <w:pPr>
        <w:rPr>
          <w:bCs/>
          <w:lang w:val="ru-RU"/>
        </w:rPr>
      </w:pPr>
    </w:p>
    <w:p>
      <w:pPr>
        <w:rPr>
          <w:bCs/>
          <w:lang w:val="ru-RU"/>
        </w:rPr>
      </w:pPr>
    </w:p>
    <w:p>
      <w:pPr>
        <w:rPr>
          <w:bCs/>
          <w:lang w:val="ru-RU"/>
        </w:rPr>
      </w:pPr>
    </w:p>
    <w:p>
      <w:pPr>
        <w:spacing w:line="240" w:lineRule="auto"/>
        <w:jc w:val="right"/>
        <w:rPr>
          <w:bCs/>
          <w:lang w:val="ru-RU"/>
        </w:rPr>
      </w:pPr>
      <w:r>
        <w:rPr>
          <w:bCs/>
          <w:lang w:val="ru-RU"/>
        </w:rPr>
        <w:t>Выполнил:</w:t>
      </w:r>
    </w:p>
    <w:p>
      <w:pPr>
        <w:spacing w:line="240" w:lineRule="auto"/>
        <w:jc w:val="right"/>
        <w:rPr>
          <w:bCs/>
          <w:lang w:val="ru-RU"/>
        </w:rPr>
      </w:pPr>
      <w:r>
        <w:rPr>
          <w:bCs/>
          <w:lang w:val="ru-RU"/>
        </w:rPr>
        <w:t>ст. гр. ПИ-22б</w:t>
      </w:r>
    </w:p>
    <w:p>
      <w:pPr>
        <w:spacing w:line="240" w:lineRule="auto"/>
        <w:jc w:val="right"/>
        <w:rPr>
          <w:rFonts w:hint="default"/>
          <w:bCs/>
          <w:lang w:val="ru-RU"/>
        </w:rPr>
      </w:pPr>
      <w:r>
        <w:rPr>
          <w:bCs/>
          <w:lang w:val="ru-RU"/>
        </w:rPr>
        <w:t>Кривошей</w:t>
      </w:r>
      <w:r>
        <w:rPr>
          <w:rFonts w:hint="default"/>
          <w:bCs/>
          <w:lang w:val="ru-RU"/>
        </w:rPr>
        <w:t xml:space="preserve"> Д.Р.</w:t>
      </w:r>
    </w:p>
    <w:p>
      <w:pPr>
        <w:spacing w:line="240" w:lineRule="auto"/>
        <w:jc w:val="right"/>
        <w:rPr>
          <w:rFonts w:hint="default"/>
          <w:bCs/>
          <w:lang w:val="ru-RU"/>
        </w:rPr>
      </w:pPr>
    </w:p>
    <w:p>
      <w:pPr>
        <w:spacing w:line="240" w:lineRule="auto"/>
        <w:jc w:val="right"/>
        <w:rPr>
          <w:bCs/>
          <w:lang w:val="ru-RU"/>
        </w:rPr>
      </w:pPr>
      <w:r>
        <w:rPr>
          <w:bCs/>
          <w:lang w:val="ru-RU"/>
        </w:rPr>
        <w:t>Проверил:</w:t>
      </w:r>
    </w:p>
    <w:p>
      <w:pPr>
        <w:spacing w:line="240" w:lineRule="auto"/>
        <w:jc w:val="right"/>
        <w:rPr>
          <w:bCs/>
          <w:lang w:val="ru-RU"/>
        </w:rPr>
      </w:pPr>
      <w:r>
        <w:rPr>
          <w:bCs/>
          <w:lang w:val="ru-RU"/>
        </w:rPr>
        <w:t>Ищенко А.П.</w:t>
      </w:r>
    </w:p>
    <w:p>
      <w:pPr>
        <w:spacing w:line="240" w:lineRule="auto"/>
        <w:jc w:val="right"/>
        <w:rPr>
          <w:bCs/>
          <w:lang w:val="ru-RU"/>
        </w:rPr>
      </w:pPr>
      <w:r>
        <w:rPr>
          <w:bCs/>
          <w:lang w:val="ru-RU"/>
        </w:rPr>
        <w:t>Филипишин Д.А.</w:t>
      </w:r>
    </w:p>
    <w:p>
      <w:pPr>
        <w:spacing w:line="240" w:lineRule="auto"/>
        <w:jc w:val="right"/>
        <w:rPr>
          <w:bCs/>
          <w:lang w:val="ru-RU"/>
        </w:rPr>
      </w:pPr>
    </w:p>
    <w:p>
      <w:pPr>
        <w:spacing w:line="240" w:lineRule="auto"/>
        <w:jc w:val="right"/>
        <w:rPr>
          <w:bCs/>
          <w:lang w:val="ru-RU"/>
        </w:rPr>
      </w:pPr>
    </w:p>
    <w:p>
      <w:pPr>
        <w:spacing w:line="240" w:lineRule="auto"/>
        <w:jc w:val="both"/>
        <w:rPr>
          <w:bCs/>
          <w:lang w:val="ru-RU"/>
        </w:rPr>
      </w:pPr>
    </w:p>
    <w:p>
      <w:pPr>
        <w:spacing w:after="0" w:line="240" w:lineRule="auto"/>
        <w:jc w:val="center"/>
        <w:rPr>
          <w:bCs/>
          <w:lang w:val="ru-RU"/>
        </w:rPr>
      </w:pPr>
      <w:r>
        <w:rPr>
          <w:bCs/>
          <w:lang w:val="ru-RU"/>
        </w:rPr>
        <w:t>ДОНЕЦК – 2026</w:t>
      </w:r>
    </w:p>
    <w:p>
      <w:pPr>
        <w:rPr>
          <w:lang w:val="ru-RU"/>
        </w:rPr>
      </w:pPr>
      <w:r>
        <w:rPr>
          <w:lang w:val="ru-RU"/>
        </w:rPr>
        <w:br w:type="page"/>
      </w:r>
    </w:p>
    <w:p>
      <w:pPr>
        <w:spacing w:line="360" w:lineRule="auto"/>
        <w:rPr>
          <w:lang w:val="ru-RU"/>
        </w:rPr>
      </w:pPr>
      <w:r>
        <w:rPr>
          <w:b/>
          <w:lang w:val="ru-RU"/>
        </w:rPr>
        <w:t>Цель работы:</w:t>
      </w:r>
    </w:p>
    <w:p>
      <w:pPr>
        <w:spacing w:line="360" w:lineRule="auto"/>
        <w:rPr>
          <w:lang w:val="ru-RU"/>
        </w:rPr>
      </w:pPr>
      <w:r>
        <w:rPr>
          <w:lang w:val="ru-RU"/>
        </w:rPr>
        <w:t>Получить практические навыки в разработке справочного руководства пользователя в форматах CHM, HTA или в аналогичном формате на основе ранее разработанного программного проекта.</w:t>
      </w:r>
    </w:p>
    <w:p>
      <w:pPr>
        <w:spacing w:line="360" w:lineRule="auto"/>
        <w:rPr>
          <w:lang w:val="ru-RU"/>
        </w:rPr>
      </w:pPr>
      <w:r>
        <w:rPr>
          <w:b/>
          <w:lang w:val="ru-RU"/>
        </w:rPr>
        <w:t>Задание к лабораторной работе:</w:t>
      </w:r>
    </w:p>
    <w:p>
      <w:pPr>
        <w:spacing w:line="360" w:lineRule="auto"/>
        <w:rPr>
          <w:lang w:val="ru-RU"/>
        </w:rPr>
      </w:pPr>
      <w:r>
        <w:rPr>
          <w:lang w:val="ru-RU"/>
        </w:rPr>
        <w:t>Разработать документацию пользователя вручную в формате HTA на основе ранее подготовленного описания модулей проекта. Описать использование всех основных модулей программного продукта и подготовить иллюстративные материалы для демонстрации структуры и разделов руководства пользователя.</w:t>
      </w:r>
    </w:p>
    <w:p>
      <w:pPr>
        <w:spacing w:line="360" w:lineRule="auto"/>
        <w:rPr>
          <w:lang w:val="ru-RU"/>
        </w:rPr>
      </w:pPr>
      <w:r>
        <w:rPr>
          <w:b/>
          <w:lang w:val="ru-RU"/>
        </w:rPr>
        <w:t>Тема выбранного проекта</w:t>
      </w:r>
    </w:p>
    <w:p>
      <w:pPr>
        <w:spacing w:line="360" w:lineRule="auto"/>
        <w:rPr>
          <w:lang w:val="ru-RU"/>
        </w:rPr>
      </w:pPr>
      <w:r>
        <w:rPr>
          <w:lang w:val="ru-RU"/>
        </w:rPr>
        <w:t>6. Видео игра RPG (Аналогичная DarkSouls).</w:t>
      </w:r>
    </w:p>
    <w:p>
      <w:pPr>
        <w:spacing w:line="360" w:lineRule="auto"/>
        <w:ind w:firstLine="709"/>
        <w:rPr>
          <w:lang w:val="ru-RU"/>
        </w:rPr>
      </w:pPr>
      <w:r>
        <w:rPr>
          <w:lang w:val="ru-RU"/>
        </w:rPr>
        <w:t>В рамках лабораторной работы для программного проекта SoulForgeRPG было разработано ручное руководство пользователя в формате HTA. Выбор данного формата обусловлен возможностью создать автономное интерактивное справочное руководство с навигационной панелью, тематическими разделами и визуально понятной структурой представления информации.</w:t>
      </w:r>
    </w:p>
    <w:p>
      <w:pPr>
        <w:spacing w:line="360" w:lineRule="auto"/>
        <w:ind w:firstLine="709"/>
        <w:rPr>
          <w:lang w:val="ru-RU"/>
        </w:rPr>
      </w:pPr>
      <w:r>
        <w:rPr>
          <w:lang w:val="ru-RU"/>
        </w:rPr>
        <w:t>Подготовленное руководство предназначено для ознакомления пользователя с основными возможностями программы. В нём описаны назначение приложения, интерфейс, запуск игры, перемещение по локациям, боевая система, инвентарь, работа с настройками, сохранением, контрольными точками и уведомлениями.</w:t>
      </w:r>
    </w:p>
    <w:p>
      <w:pPr>
        <w:spacing w:line="360" w:lineRule="auto"/>
        <w:ind w:firstLine="709"/>
        <w:rPr>
          <w:lang w:val="ru-RU"/>
        </w:rPr>
      </w:pPr>
      <w:r>
        <w:rPr>
          <w:lang w:val="ru-RU"/>
        </w:rPr>
        <w:t>Структура руководства была сформирована на основе модулей, определённых в лабораторной работе №1. Для каждого функционального блока приведено краткое описание назначения и порядка использования соответствующих возможностей программного продукта. Это позволяет рассматривать руководство как единый справочный документ для конечного пользователя.</w:t>
      </w:r>
    </w:p>
    <w:p>
      <w:pPr>
        <w:spacing w:line="360" w:lineRule="auto"/>
        <w:ind w:firstLine="709"/>
        <w:rPr>
          <w:lang w:val="ru-RU"/>
        </w:rPr>
      </w:pPr>
      <w:r>
        <w:rPr>
          <w:lang w:val="ru-RU"/>
        </w:rPr>
        <w:t>Руководство оформлено в виде HTA-приложения с боковым меню навигации и отдельными информационными страницами. Такой подход обеспечивает удобный переход между разделами, наглядное представление возможностей программы и возможность дальнейшего расширения документации по мере развития проекта.</w:t>
      </w:r>
    </w:p>
    <w:p>
      <w:pPr>
        <w:spacing w:line="360" w:lineRule="auto"/>
        <w:rPr>
          <w:lang w:val="ru-RU"/>
        </w:rPr>
      </w:pPr>
      <w:r>
        <w:rPr>
          <w:b/>
          <w:lang w:val="ru-RU"/>
        </w:rPr>
        <w:t>Скриншоты итогового руководства</w:t>
      </w:r>
    </w:p>
    <w:p>
      <w:pPr>
        <w:spacing w:line="240" w:lineRule="auto"/>
        <w:jc w:val="center"/>
        <w:rPr>
          <w:b/>
          <w:lang w:val="ru-RU"/>
        </w:rPr>
      </w:pPr>
      <w:r>
        <w:drawing>
          <wp:inline distT="0" distB="0" distL="114300" distR="114300">
            <wp:extent cx="6142355" cy="2813685"/>
            <wp:effectExtent l="0" t="0" r="10795" b="5715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  <w:rPr>
          <w:lang w:val="ru-RU"/>
        </w:rPr>
      </w:pPr>
      <w:r>
        <w:rPr>
          <w:lang w:val="ru-RU"/>
        </w:rPr>
        <w:t>Рисунок 1 – Руководство пользователя HTA</w:t>
      </w:r>
    </w:p>
    <w:p>
      <w:pPr>
        <w:spacing w:line="240" w:lineRule="auto"/>
        <w:jc w:val="center"/>
        <w:rPr>
          <w:lang w:val="ru-RU"/>
        </w:rPr>
      </w:pPr>
      <w:r>
        <w:drawing>
          <wp:inline distT="0" distB="0" distL="114300" distR="114300">
            <wp:extent cx="6136005" cy="2498090"/>
            <wp:effectExtent l="0" t="0" r="17145" b="16510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  <w:rPr>
          <w:lang w:val="ru-RU"/>
        </w:rPr>
      </w:pPr>
      <w:r>
        <w:rPr>
          <w:lang w:val="ru-RU"/>
        </w:rPr>
        <w:t>Рисунок 2 – Раздел «Исследование мира»</w:t>
      </w:r>
    </w:p>
    <w:p>
      <w:pPr>
        <w:spacing w:line="240" w:lineRule="auto"/>
        <w:jc w:val="center"/>
        <w:rPr>
          <w:lang w:val="ru-RU"/>
        </w:rPr>
      </w:pPr>
      <w:r>
        <w:drawing>
          <wp:inline distT="0" distB="0" distL="114300" distR="114300">
            <wp:extent cx="6151245" cy="2482215"/>
            <wp:effectExtent l="0" t="0" r="1905" b="13335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245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line="240" w:lineRule="auto"/>
        <w:jc w:val="center"/>
        <w:rPr>
          <w:lang w:val="ru-RU"/>
        </w:rPr>
      </w:pPr>
      <w:r>
        <w:rPr>
          <w:lang w:val="ru-RU"/>
        </w:rPr>
        <w:t>Рисунок 3 – Раздел «Боевая система»</w:t>
      </w:r>
    </w:p>
    <w:p>
      <w:pPr>
        <w:spacing w:line="360" w:lineRule="auto"/>
        <w:rPr>
          <w:lang w:val="ru-RU"/>
        </w:rPr>
      </w:pPr>
    </w:p>
    <w:sectPr>
      <w:pgSz w:w="12240" w:h="15840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文泉驿正黑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文泉驿正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panose1 w:val="02040803050406030204"/>
    <w:charset w:val="CC"/>
    <w:family w:val="roman"/>
    <w:pitch w:val="default"/>
    <w:sig w:usb0="E00006FF" w:usb1="4000045F" w:usb2="00000000" w:usb3="00000000" w:csb0="2000019F" w:csb1="00000000"/>
  </w:font>
  <w:font w:name="Cambria">
    <w:panose1 w:val="02040803050406030204"/>
    <w:charset w:val="00"/>
    <w:family w:val="auto"/>
    <w:pitch w:val="default"/>
    <w:sig w:usb0="E00006FF" w:usb1="4000045F" w:usb2="00000000" w:usb3="00000000" w:csb0="2000019F" w:csb1="00000000"/>
  </w:font>
  <w:font w:name="ＭＳ 明朝">
    <w:altName w:val="Noto Sans CJK H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Noto Sans CJK HK">
    <w:panose1 w:val="020B0500000000000000"/>
    <w:charset w:val="88"/>
    <w:family w:val="auto"/>
    <w:pitch w:val="default"/>
    <w:sig w:usb0="30000083" w:usb1="2BDF3C10" w:usb2="00000016" w:usb3="00000000" w:csb0="603A0107" w:csb1="00000000"/>
  </w:font>
  <w:font w:name="ＭＳ 明朝">
    <w:altName w:val="Noto Sans CJK H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ＭＳ 明朝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3F8A"/>
    <w:rsid w:val="0015074B"/>
    <w:rsid w:val="0029639D"/>
    <w:rsid w:val="00326F90"/>
    <w:rsid w:val="004427C4"/>
    <w:rsid w:val="008745E4"/>
    <w:rsid w:val="00AA1D8D"/>
    <w:rsid w:val="00B47730"/>
    <w:rsid w:val="00C102DE"/>
    <w:rsid w:val="00C65B96"/>
    <w:rsid w:val="00CB0664"/>
    <w:rsid w:val="00F51885"/>
    <w:rsid w:val="00FC693F"/>
    <w:rsid w:val="0F71120E"/>
    <w:rsid w:val="16ED306C"/>
    <w:rsid w:val="4BFD034C"/>
    <w:rsid w:val="4F79BEAE"/>
    <w:rsid w:val="5BBE09B7"/>
    <w:rsid w:val="5E378719"/>
    <w:rsid w:val="5FEF2889"/>
    <w:rsid w:val="6FBFC0A0"/>
    <w:rsid w:val="7BEFB8B5"/>
    <w:rsid w:val="7C36CC47"/>
    <w:rsid w:val="7FFAF6D8"/>
    <w:rsid w:val="7FFBD06A"/>
    <w:rsid w:val="7FFFA77F"/>
    <w:rsid w:val="BBAFD303"/>
    <w:rsid w:val="FB79D271"/>
    <w:rsid w:val="FDD331AC"/>
    <w:rsid w:val="FE5578EF"/>
    <w:rsid w:val="FFEEA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Верхний колонтитул Знак"/>
    <w:basedOn w:val="11"/>
    <w:link w:val="19"/>
    <w:qFormat/>
    <w:uiPriority w:val="99"/>
  </w:style>
  <w:style w:type="character" w:customStyle="1" w:styleId="38">
    <w:name w:val="Нижний колонтитул Знак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Заголовок 2 Знак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Заголовок 3 Знак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Заголовок Знак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Подзаголовок Знак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Основной текст Знак"/>
    <w:basedOn w:val="11"/>
    <w:link w:val="20"/>
    <w:qFormat/>
    <w:uiPriority w:val="99"/>
  </w:style>
  <w:style w:type="character" w:customStyle="1" w:styleId="47">
    <w:name w:val="Основной текст 2 Знак"/>
    <w:basedOn w:val="11"/>
    <w:link w:val="16"/>
    <w:qFormat/>
    <w:uiPriority w:val="99"/>
  </w:style>
  <w:style w:type="character" w:customStyle="1" w:styleId="48">
    <w:name w:val="Основной текст 3 Знак"/>
    <w:basedOn w:val="11"/>
    <w:link w:val="30"/>
    <w:qFormat/>
    <w:uiPriority w:val="99"/>
    <w:rPr>
      <w:sz w:val="16"/>
      <w:szCs w:val="16"/>
    </w:rPr>
  </w:style>
  <w:style w:type="character" w:customStyle="1" w:styleId="49">
    <w:name w:val="Текст макроса Знак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Цитата 2 Знак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Заголовок 4 Знак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Заголовок 5 Знак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Заголовок 6 Знак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Заголовок 8 Знак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Выделенная цитата Знак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388</Words>
  <Characters>2218</Characters>
  <Lines>18</Lines>
  <Paragraphs>5</Paragraphs>
  <TotalTime>104</TotalTime>
  <ScaleCrop>false</ScaleCrop>
  <LinksUpToDate>false</LinksUpToDate>
  <CharactersWithSpaces>2601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2026-03-13T17:14:00Z</dcterms:created>
  <dc:creator>python-docx</dc:creator>
  <dc:description>generated by python-docx</dc:description>
  <cp:lastModifiedBy>hellboy</cp:lastModifiedBy>
  <dcterms:modified xsi:type="dcterms:W3CDTF">2026-04-03T04:04:39Z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