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681F12">
      <w:pPr>
        <w:keepNext/>
        <w:keepLines/>
        <w:widowControl w:val="0"/>
        <w:spacing w:before="240" w:beforeLines="100" w:after="240" w:afterLines="100"/>
        <w:jc w:val="center"/>
        <w:outlineLvl w:val="0"/>
        <w:rPr>
          <w:rFonts w:ascii="Times New Roman" w:hAnsi="Times New Roman" w:eastAsia="黑体" w:cs="Times New Roman"/>
          <w:bCs/>
          <w:kern w:val="44"/>
          <w:sz w:val="36"/>
          <w:szCs w:val="44"/>
          <w:lang w:val="en-US" w:eastAsia="zh-CN" w:bidi="ar-SA"/>
        </w:rPr>
      </w:pPr>
      <w:bookmarkStart w:id="1" w:name="_GoBack"/>
      <w:bookmarkEnd w:id="1"/>
      <w:bookmarkStart w:id="0" w:name="_Toc500925485"/>
      <w:r>
        <w:rPr>
          <w:rFonts w:ascii="Times New Roman" w:hAnsi="Times New Roman" w:eastAsia="黑体" w:cs="Times New Roman"/>
          <w:bCs/>
          <w:w w:val="90"/>
          <w:kern w:val="44"/>
          <w:sz w:val="36"/>
          <w:szCs w:val="44"/>
          <w:lang w:val="en-US" w:eastAsia="zh-CN" w:bidi="ar-SA"/>
        </w:rPr>
        <w:t>19</w:t>
      </w:r>
      <w:r>
        <w:rPr>
          <w:rFonts w:ascii="Times New Roman" w:hAnsi="Times New Roman" w:eastAsia="黑体" w:cs="Times New Roman"/>
          <w:bCs/>
          <w:kern w:val="44"/>
          <w:sz w:val="36"/>
          <w:szCs w:val="44"/>
          <w:lang w:val="en-US" w:eastAsia="zh-CN" w:bidi="ar-SA"/>
        </w:rPr>
        <w:t>.</w:t>
      </w:r>
      <w:r>
        <w:rPr>
          <w:rFonts w:ascii="Times New Roman" w:hAnsi="Times New Roman" w:eastAsia="黑体" w:cs="Times New Roman"/>
          <w:bCs/>
          <w:w w:val="90"/>
          <w:kern w:val="44"/>
          <w:sz w:val="36"/>
          <w:szCs w:val="44"/>
          <w:lang w:val="en-US" w:eastAsia="zh-CN" w:bidi="ar-SA"/>
        </w:rPr>
        <w:t>毕业设计（论文）开题报告</w:t>
      </w:r>
      <w:r>
        <w:rPr>
          <w:rFonts w:hint="eastAsia" w:ascii="Times New Roman" w:hAnsi="Times New Roman" w:eastAsia="黑体" w:cs="Times New Roman"/>
          <w:bCs/>
          <w:w w:val="90"/>
          <w:kern w:val="44"/>
          <w:sz w:val="36"/>
          <w:szCs w:val="44"/>
          <w:lang w:val="en-US" w:eastAsia="zh-CN" w:bidi="ar-SA"/>
        </w:rPr>
        <w:t>、论文</w:t>
      </w:r>
      <w:r>
        <w:rPr>
          <w:rFonts w:ascii="Times New Roman" w:hAnsi="Times New Roman" w:eastAsia="黑体" w:cs="Times New Roman"/>
          <w:bCs/>
          <w:w w:val="90"/>
          <w:kern w:val="44"/>
          <w:sz w:val="36"/>
          <w:szCs w:val="44"/>
          <w:lang w:val="en-US" w:eastAsia="zh-CN" w:bidi="ar-SA"/>
        </w:rPr>
        <w:t>撰写参考格式</w:t>
      </w:r>
      <w:bookmarkEnd w:id="0"/>
    </w:p>
    <w:p w14:paraId="13166F55">
      <w:pPr>
        <w:widowControl w:val="0"/>
        <w:snapToGrid w:val="0"/>
        <w:spacing w:line="300" w:lineRule="auto"/>
        <w:ind w:left="1701" w:hanging="1985"/>
        <w:jc w:val="center"/>
        <w:rPr>
          <w:rFonts w:ascii="Times New Roman" w:hAnsi="Times New Roman" w:eastAsia="宋体" w:cs="Times New Roman"/>
          <w:kern w:val="2"/>
          <w:sz w:val="21"/>
          <w:lang w:val="en-US" w:eastAsia="zh-CN" w:bidi="ar-SA"/>
        </w:rPr>
      </w:pPr>
      <w:r>
        <w:rPr>
          <w:rFonts w:ascii="Times New Roman" w:hAnsi="Times New Roman" w:eastAsia="宋体" w:cs="Times New Roman"/>
          <w:kern w:val="2"/>
          <w:sz w:val="32"/>
          <w:szCs w:val="32"/>
          <w:lang w:val="en-US" w:eastAsia="zh-CN" w:bidi="ar-SA"/>
        </w:rPr>
        <w:t>□□□□□□□□□□□□□□□</w:t>
      </w:r>
      <w:r>
        <w:rPr>
          <w:rFonts w:ascii="Times New Roman" w:hAnsi="Times New Roman" w:eastAsia="宋体" w:cs="Times New Roman"/>
          <w:b/>
          <w:kern w:val="2"/>
          <w:sz w:val="21"/>
          <w:lang w:val="en-US" w:eastAsia="zh-CN" w:bidi="ar-SA"/>
        </w:rPr>
        <w:t>（题目三</w:t>
      </w:r>
      <w:r>
        <w:rPr>
          <w:rFonts w:ascii="Times New Roman" w:hAnsi="Times New Roman" w:eastAsia="宋体" w:cs="Times New Roman"/>
          <w:kern w:val="2"/>
          <w:sz w:val="21"/>
          <w:lang w:val="en-US" w:eastAsia="zh-CN" w:bidi="ar-SA"/>
        </w:rPr>
        <w:t>号宋体居中）</w:t>
      </w:r>
    </w:p>
    <w:p w14:paraId="78960852">
      <w:pPr>
        <w:rPr>
          <w:rFonts w:ascii="Times New Roman" w:hAnsi="Times New Roman" w:eastAsia="宋体" w:cs="Times New Roman"/>
          <w:kern w:val="0"/>
          <w:sz w:val="24"/>
          <w:szCs w:val="20"/>
        </w:rPr>
      </w:pPr>
    </w:p>
    <w:p w14:paraId="326AB133">
      <w:pPr>
        <w:jc w:val="center"/>
        <w:rPr>
          <w:rFonts w:ascii="Times New Roman" w:hAnsi="Times New Roman" w:eastAsia="宋体" w:cs="Times New Roman"/>
          <w:kern w:val="0"/>
          <w:sz w:val="24"/>
          <w:szCs w:val="20"/>
        </w:rPr>
      </w:pPr>
      <w:r>
        <w:rPr>
          <w:rFonts w:ascii="Times New Roman" w:hAnsi="Times New Roman" w:eastAsia="楷体_GB2312" w:cs="Times New Roman"/>
          <w:kern w:val="0"/>
          <w:sz w:val="52"/>
          <w:szCs w:val="20"/>
        </w:rPr>
        <w:t xml:space="preserve">     开题报告</w:t>
      </w:r>
      <w:r>
        <w:rPr>
          <w:rFonts w:ascii="Times New Roman" w:hAnsi="Times New Roman" w:eastAsia="宋体" w:cs="Times New Roman"/>
          <w:kern w:val="0"/>
          <w:sz w:val="24"/>
          <w:szCs w:val="20"/>
        </w:rPr>
        <w:t>（楷体、一号、加粗、居中）</w:t>
      </w:r>
    </w:p>
    <w:p w14:paraId="1F2E7194">
      <w:pPr>
        <w:rPr>
          <w:rFonts w:ascii="Times New Roman" w:hAnsi="Times New Roman" w:eastAsia="宋体" w:cs="Times New Roman"/>
          <w:kern w:val="0"/>
          <w:sz w:val="24"/>
          <w:szCs w:val="20"/>
        </w:rPr>
      </w:pPr>
      <w:r>
        <w:rPr>
          <w:rFonts w:ascii="Times New Roman" w:hAnsi="Times New Roman" w:eastAsia="宋体" w:cs="Times New Roman"/>
          <w:kern w:val="0"/>
          <w:sz w:val="24"/>
          <w:szCs w:val="20"/>
        </w:rPr>
        <w:t xml:space="preserve"> </w:t>
      </w:r>
    </w:p>
    <w:p w14:paraId="6C52F334">
      <w:pPr>
        <w:rPr>
          <w:rFonts w:ascii="Times New Roman" w:hAnsi="Times New Roman" w:eastAsia="宋体" w:cs="Times New Roman"/>
          <w:b/>
          <w:kern w:val="0"/>
          <w:sz w:val="24"/>
          <w:szCs w:val="20"/>
        </w:rPr>
      </w:pPr>
      <w:r>
        <w:rPr>
          <w:rFonts w:ascii="Times New Roman" w:hAnsi="Times New Roman" w:eastAsia="宋体" w:cs="Times New Roman"/>
          <w:kern w:val="0"/>
          <w:sz w:val="24"/>
          <w:szCs w:val="20"/>
        </w:rPr>
        <w:t xml:space="preserve">                      </w:t>
      </w:r>
      <w:r>
        <w:rPr>
          <w:rFonts w:ascii="Times New Roman" w:hAnsi="Times New Roman" w:eastAsia="宋体" w:cs="Times New Roman"/>
          <w:b/>
          <w:kern w:val="0"/>
          <w:sz w:val="24"/>
          <w:szCs w:val="20"/>
        </w:rPr>
        <w:t xml:space="preserve"> 班级（学号）          姓名</w:t>
      </w:r>
    </w:p>
    <w:p w14:paraId="1C8AC80C">
      <w:pPr>
        <w:rPr>
          <w:rFonts w:ascii="Times New Roman" w:hAnsi="Times New Roman" w:eastAsia="宋体" w:cs="Times New Roman"/>
          <w:b/>
          <w:kern w:val="0"/>
          <w:sz w:val="24"/>
          <w:szCs w:val="20"/>
        </w:rPr>
      </w:pPr>
      <w:r>
        <w:rPr>
          <w:rFonts w:ascii="Times New Roman" w:hAnsi="Times New Roman" w:eastAsia="宋体" w:cs="Times New Roman"/>
          <w:b/>
          <w:kern w:val="0"/>
          <w:sz w:val="24"/>
          <w:szCs w:val="20"/>
        </w:rPr>
        <w:t xml:space="preserve">                       指导教师     □□□ </w:t>
      </w:r>
      <w:r>
        <w:rPr>
          <w:rFonts w:ascii="Times New Roman" w:hAnsi="Times New Roman" w:eastAsia="宋体" w:cs="Times New Roman"/>
          <w:kern w:val="0"/>
          <w:sz w:val="24"/>
          <w:szCs w:val="20"/>
        </w:rPr>
        <w:t>（宋体、小四、加粗、居中）</w:t>
      </w:r>
    </w:p>
    <w:p w14:paraId="11021A53">
      <w:pPr>
        <w:widowControl w:val="0"/>
        <w:snapToGrid w:val="0"/>
        <w:spacing w:line="300" w:lineRule="auto"/>
        <w:jc w:val="both"/>
        <w:rPr>
          <w:rFonts w:ascii="Times New Roman" w:hAnsi="Times New Roman" w:eastAsia="宋体" w:cs="Times New Roman"/>
          <w:b/>
          <w:kern w:val="2"/>
          <w:sz w:val="21"/>
          <w:lang w:val="en-US" w:eastAsia="zh-CN" w:bidi="ar-SA"/>
        </w:rPr>
      </w:pPr>
    </w:p>
    <w:p w14:paraId="745EFEB0">
      <w:pPr>
        <w:widowControl w:val="0"/>
        <w:snapToGrid w:val="0"/>
        <w:spacing w:line="300" w:lineRule="auto"/>
        <w:jc w:val="both"/>
        <w:rPr>
          <w:rFonts w:ascii="Times New Roman" w:hAnsi="Times New Roman" w:eastAsia="宋体" w:cs="Times New Roman"/>
          <w:kern w:val="2"/>
          <w:sz w:val="21"/>
          <w:lang w:val="en-US" w:eastAsia="zh-CN" w:bidi="ar-SA"/>
        </w:rPr>
      </w:pPr>
      <w:r>
        <w:rPr>
          <w:rFonts w:ascii="Times New Roman" w:hAnsi="Times New Roman" w:eastAsia="宋体" w:cs="Times New Roman"/>
          <w:b/>
          <w:kern w:val="2"/>
          <w:sz w:val="21"/>
          <w:lang w:val="en-US" w:eastAsia="zh-CN" w:bidi="ar-SA"/>
        </w:rPr>
        <w:t>一、</w:t>
      </w:r>
      <w:r>
        <w:rPr>
          <w:rFonts w:ascii="Times New Roman" w:hAnsi="Times New Roman" w:eastAsia="宋体" w:cs="Times New Roman"/>
          <w:b/>
          <w:kern w:val="2"/>
          <w:sz w:val="24"/>
          <w:lang w:val="en-US" w:eastAsia="zh-CN" w:bidi="ar-SA"/>
        </w:rPr>
        <w:t>综述</w:t>
      </w:r>
      <w:r>
        <w:rPr>
          <w:rFonts w:ascii="Times New Roman" w:hAnsi="Times New Roman" w:eastAsia="宋体" w:cs="Times New Roman"/>
          <w:kern w:val="2"/>
          <w:sz w:val="21"/>
          <w:lang w:val="en-US" w:eastAsia="zh-CN" w:bidi="ar-SA"/>
        </w:rPr>
        <w:t>（宋体、小四号、加粗）</w:t>
      </w:r>
    </w:p>
    <w:p w14:paraId="13898E5E">
      <w:pPr>
        <w:widowControl w:val="0"/>
        <w:snapToGrid w:val="0"/>
        <w:spacing w:line="300" w:lineRule="auto"/>
        <w:jc w:val="both"/>
        <w:rPr>
          <w:rFonts w:ascii="Times New Roman" w:hAnsi="Times New Roman" w:eastAsia="宋体" w:cs="Times New Roman"/>
          <w:kern w:val="2"/>
          <w:sz w:val="24"/>
          <w:lang w:val="en-US" w:eastAsia="zh-CN" w:bidi="ar-SA"/>
        </w:rPr>
      </w:pPr>
      <w:r>
        <w:rPr>
          <w:rFonts w:ascii="Times New Roman" w:hAnsi="Times New Roman" w:eastAsia="宋体" w:cs="Times New Roman"/>
          <w:kern w:val="2"/>
          <w:sz w:val="24"/>
          <w:lang w:val="en-US" w:eastAsia="zh-CN" w:bidi="ar-SA"/>
        </w:rPr>
        <w:t xml:space="preserve">    （本课题研究的意义、研究的现状及已有成果）</w:t>
      </w:r>
    </w:p>
    <w:p w14:paraId="503C6A3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Theme="minorEastAsia"/>
          <w:sz w:val="24"/>
          <w:szCs w:val="24"/>
        </w:rPr>
      </w:pPr>
      <w:r>
        <w:rPr>
          <w:rFonts w:ascii="Times New Roman" w:hAnsi="Times New Roman" w:eastAsiaTheme="minorEastAsia"/>
          <w:b w:val="0"/>
          <w:bCs w:val="0"/>
          <w:i w:val="0"/>
          <w:iCs w:val="0"/>
          <w:sz w:val="24"/>
          <w:szCs w:val="24"/>
        </w:rPr>
        <w:t>当前，全球低轨卫星通信产业正处于爆发式增长阶段，以SpaceX公司的Starlink、亚马逊公司的Project Kuiper以及欧洲OneWeb等为代表的超大规模低轨星座系统正在重塑全球通信基础设施格局。据统计，截至2024年底，Starlink已在近地轨道部署超过5000颗卫星，为全球100多个国家的用户提供互联网接入服务，其终极计划包含42000颗卫星。低轨卫星运行于距地面300至2000公里高度的轨道，相比地球同步轨道卫星具有传输时延低，通常仅为20至40毫秒，路径损耗小，自由空间损耗比同步轨道低约30分贝，终端设备轻便，便于便携和移动使用等显著技术优势，可为航空、航海、应急通信及偏远地区互联网接入提供高效服务。然而，低轨卫星通信的广播特性与开放无线信道特征使其天然面临严峻的安全威胁，信号在广阔空域内传播，任何位于波束覆盖范围内的接收设备均可截获信号。特别是在军事应用、政府机密通信及商业敏感数据传输场景中，非法窃听站可能以随机方式分布于卫星波束覆盖范围内的任何地理位置，包括海上移动平台、空中无人机及地面隐蔽站点，甚至可能利用其他低轨卫星作为窃听平台。这种窃听者位置的不确定性给传统基于密钥上层加密体制带来巨大挑战，因为密钥分发与管理在星上资源受限及高动态拓扑环境下异常困难，且加密算法的高计算复杂度难以满足低轨卫星高吞吐量和低延迟的业务需求。</w:t>
      </w:r>
    </w:p>
    <w:p w14:paraId="4269BB6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Theme="minorEastAsia"/>
          <w:sz w:val="24"/>
          <w:szCs w:val="24"/>
        </w:rPr>
      </w:pPr>
      <w:r>
        <w:rPr>
          <w:rFonts w:ascii="Times New Roman" w:hAnsi="Times New Roman" w:eastAsiaTheme="minorEastAsia"/>
          <w:b w:val="0"/>
          <w:bCs w:val="0"/>
          <w:i w:val="0"/>
          <w:iCs w:val="0"/>
          <w:sz w:val="24"/>
          <w:szCs w:val="24"/>
        </w:rPr>
        <w:t>物理层安全技术利用无线信道的物理特性如衰落、噪声与干扰来实现信息理论安全，无需依赖计算复杂度假设，被视为解决低轨卫星通信安全问题的有效补充手段。该技术通过信号处理与传输策略优化，确保合法接收端能够正确解码而窃听端无法获取任何有用信息。物理层安全的理论基础源于Wyner于1975年提出的窃听信道模型，该模型定义了安全容量为合法信道与窃听信道容量之差，当该差值为正时可实现完美保密。针对多天线系统，人工噪声辅助的波束成形技术通过向窃听方向投射特定干扰信号来恶化窃听信道质量，同时保证合法用户接收质量，成为当前研究的主流方向。</w:t>
      </w:r>
    </w:p>
    <w:p w14:paraId="7E71FA5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Theme="minorEastAsia"/>
          <w:sz w:val="24"/>
          <w:szCs w:val="24"/>
        </w:rPr>
      </w:pPr>
      <w:r>
        <w:rPr>
          <w:rFonts w:ascii="Times New Roman" w:hAnsi="Times New Roman" w:eastAsiaTheme="minorEastAsia"/>
          <w:b w:val="0"/>
          <w:bCs w:val="0"/>
          <w:i w:val="0"/>
          <w:iCs w:val="0"/>
          <w:sz w:val="24"/>
          <w:szCs w:val="24"/>
        </w:rPr>
        <w:t>近年来，低轨卫星信道建模研究取得了显著进展。学者们针对低轨卫星高移动性导致的严重多普勒频移，在Ka频段可达数十千赫兹，大尺度路径损耗随仰角快速变化，阴影衰落受城市峡谷和植被影响显著，以及雨衰等大气效应在毫米波频段尤为严重等问题，建立了多种复合信道模型。2022年，有研究团队提出了考虑三维几何关系的自由空间光与射频混合信道模型，分析了不同天气条件下的信道状态变化，建立了包含直射径、反射径和散射径的多径模型。2023年，针对超密集低轨星座的同频干扰问题，相关文献建立了包含卫星间干扰的统计信道模型，考虑了卫星轨道运动导致的动态拓扑变化。同年，有学者研究了多普勒频移补偿技术，提出了基于锁相环和预测滤波联合处理的载波同步方案。2024年，针对高频段通信，研究人员建立了考虑氧气和水汽吸收的大气信道模型，分析了不同气候区域下的信道可用度。然而，现有信道模型多假设收发双方位置固定或移动规律已知，较少考虑窃听者随机分布带来的统计不确定性，也未充分考虑卫星高速移动导致的信道快速时变对安全传输的影响。</w:t>
      </w:r>
    </w:p>
    <w:p w14:paraId="3549B9F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Theme="minorEastAsia"/>
          <w:sz w:val="24"/>
          <w:szCs w:val="24"/>
        </w:rPr>
      </w:pPr>
      <w:r>
        <w:rPr>
          <w:rFonts w:ascii="Times New Roman" w:hAnsi="Times New Roman" w:eastAsiaTheme="minorEastAsia"/>
          <w:b w:val="0"/>
          <w:bCs w:val="0"/>
          <w:i w:val="0"/>
          <w:iCs w:val="0"/>
          <w:sz w:val="24"/>
          <w:szCs w:val="24"/>
        </w:rPr>
        <w:t>物理层安全基础理论方面，针对多输入多输出系统的扩展研究已成为热点。2022年以来，研究者们将人工噪声技术应用于卫星通信场景，提出了基于信道状态信息的预编码方案，设计了波束成形向量使信号对准合法用户同时在窃听方向形成零陷。2023年，有学者研究了多波束卫星系统中的波束成形与功率分配联合优化问题，建立了以最大化最小保密速率为目标的优化模型，并提出了基于半定规划的求解算法。同年，针对低轨卫星高速移动特性，相关研究提出了基于时变信道预测的预编码更新策略，利用卡尔曼滤波或长短期记忆网络预测信道状态，提前调整传输策略。2024年，有研究团队提出了基于可重构智能表面的卫星通信安全增强方案，利用地面智能反射面辅助创造有利的信道条件。然而，现有研究多假设窃听者位置固定且已知，或假设窃听信道状态信息可通过训练序列估计，在实际低轨卫星场景下，由于卫星快速过境和全球覆盖特性，难以预先获知窃听者精确位置，且被动窃听者不会发送导频信号，导致传统基于完美信道状态信息的安全传输方案难以适用。</w:t>
      </w:r>
    </w:p>
    <w:p w14:paraId="0A53FEA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Theme="minorEastAsia"/>
          <w:sz w:val="24"/>
          <w:szCs w:val="24"/>
        </w:rPr>
      </w:pPr>
      <w:r>
        <w:rPr>
          <w:rFonts w:ascii="Times New Roman" w:hAnsi="Times New Roman" w:eastAsiaTheme="minorEastAsia"/>
          <w:b w:val="0"/>
          <w:bCs w:val="0"/>
          <w:i w:val="0"/>
          <w:iCs w:val="0"/>
          <w:sz w:val="24"/>
          <w:szCs w:val="24"/>
        </w:rPr>
        <w:t>针对窃听者位置随机性的建模，随机几何理论提供了有力数学工具。齐次泊松点过程被广泛用于描述二维或三维空间中窃听者的随机分布特性，该模型假设窃听者在空间中以恒定密度随机分布，符合实际中非法窃听站难以预测位置的特点。2022年，研究人员利用泊松点过程建模了地面网络中的随机窃听者，推导了保密中断概率的闭合表达式，分析了发射功率和节点密度对保密性能的影响。2023年，该理论被扩展至卫星通信场景，分析了单颗卫星覆盖范围内随机分布窃听者的网络保密性能，考虑了卫星天线方向图和波束成形增益的空间分布。2024年，有研究考虑了卫星本身也按泊松点过程分布的情况，建立了天地一体化网络的安全传输模型，分析了多层网络架构下的干扰累积效应。然而，现有研究多针对地面蜂窝网络或高轨卫星，专门针对低轨星座高动态、多星协同场景的随机窃听分析仍不充分，且现有模型多假设简单的路径损耗模型，未充分考虑低轨卫星独特的传播特性如仰角相关的阴影衰落和雨衰。</w:t>
      </w:r>
    </w:p>
    <w:p w14:paraId="043B6A0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Theme="minorEastAsia"/>
          <w:sz w:val="24"/>
          <w:szCs w:val="24"/>
        </w:rPr>
      </w:pPr>
      <w:r>
        <w:rPr>
          <w:rFonts w:ascii="Times New Roman" w:hAnsi="Times New Roman" w:eastAsiaTheme="minorEastAsia"/>
          <w:b w:val="0"/>
          <w:bCs w:val="0"/>
          <w:i w:val="0"/>
          <w:iCs w:val="0"/>
          <w:sz w:val="24"/>
          <w:szCs w:val="24"/>
        </w:rPr>
        <w:t>线性预编码技术作为物理层安全的核心手段，在低轨卫星场景下具有重要应用价值。零强制预编码通过设计预编码矩阵完全消除对窃听者的信号泄漏，最大比传输预编码最大化接收信噪比以获得阵列增益，正则化迫零预编码则在两者之间取得平衡，通过正则化参数调节信号功率与干扰抑制。2023年，有文献对比了这些预编码方案在卫星通信中的性能表现，分析了不同信道状态信息精度下的鲁棒性。2024年，针对不完美信道状态信息情况，鲁棒预编码设计成为研究热点，研究者提出了基于最差情况优化和基于统计约束的两类鲁棒设计方法。然而，现有预编码方案多假设窃听者位置固定且已知，较少考虑随机窃听场景下的统计优化设计，也未充分考虑低轨卫星功率受限和天线阵列规模受限的约束条件。</w:t>
      </w:r>
    </w:p>
    <w:p w14:paraId="4130C82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Theme="minorEastAsia"/>
          <w:sz w:val="24"/>
          <w:szCs w:val="24"/>
        </w:rPr>
      </w:pPr>
      <w:r>
        <w:rPr>
          <w:rFonts w:ascii="Times New Roman" w:hAnsi="Times New Roman" w:eastAsiaTheme="minorEastAsia"/>
          <w:b w:val="0"/>
          <w:bCs w:val="0"/>
          <w:i w:val="0"/>
          <w:iCs w:val="0"/>
          <w:sz w:val="24"/>
          <w:szCs w:val="24"/>
        </w:rPr>
        <w:t>凸优化理论为物理层安全波束成形设计提供了有效求解工具。半定规划与二阶锥规划可将非凸的保密速率最大化问题转化为凸问题求解，利用凸优化工具箱如CVX、CVXPY可高效求解。2022年，CVX等优化工具箱被广泛应用于卫星通信安全优化，用于求解功率最小化、保密速率最大化等问题。2023年，有研究利用凸优化理论解决了多卫星协同传输中的安全波束成形问题，提出了分布式算法以降低计算复杂度。2024年，针对大规模天线阵列，研究者提出了基于交替方向乘子法的分布式优化算法，降低了星上处理复杂度。然而，现有优化方法多针对确定性场景，针对随机窃听场景的统计优化及分布式算法仍需深入研究，特别是如何在仅知窃听者统计分布而非瞬时信道状态下设计鲁棒预编码仍具挑战。</w:t>
      </w:r>
    </w:p>
    <w:p w14:paraId="4357A2C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Theme="minorEastAsia"/>
          <w:sz w:val="24"/>
          <w:szCs w:val="24"/>
        </w:rPr>
      </w:pPr>
      <w:r>
        <w:rPr>
          <w:rFonts w:ascii="Times New Roman" w:hAnsi="Times New Roman" w:eastAsiaTheme="minorEastAsia"/>
          <w:b w:val="0"/>
          <w:bCs w:val="0"/>
          <w:i w:val="0"/>
          <w:iCs w:val="0"/>
          <w:sz w:val="24"/>
          <w:szCs w:val="24"/>
        </w:rPr>
        <w:t>综上所述，当前面向随机窃听的低轨星座物理层安全研究仍存在以下不足。第一，缺乏同时考虑低轨卫星高动态特性与窃听者随机分布的复合信道模型，现有模型难以准确描述卫星高速移动导致的时变特性与随机窃听威胁的联合影响。第二，现有预编码方案多针对固定窃听者设计，难以适应随机窃听场景下的统计安全需求，且未充分考虑低轨卫星星上功率受限和计算资源受限的实际约束。第三，基于随机几何的网络级保密性能分析多假设简单信道模型，未充分考虑低轨卫星独特的传播特性如仰角相关的路径损耗和大气衰减，且缺乏对多星协同场景下保密性能的深入分析。因此，本课题拟从信道建模、传输优化与网络分析三个层面开展系统性研究，建立面向随机窃听的低轨星座物理层安全理论体系，提出适应随机窃听环境的鲁棒传输方案，为实际系统安全设计提供理论指导与技术支撑。</w:t>
      </w:r>
    </w:p>
    <w:p w14:paraId="4648A10B">
      <w:pPr>
        <w:widowControl w:val="0"/>
        <w:snapToGrid w:val="0"/>
        <w:spacing w:line="300" w:lineRule="auto"/>
        <w:jc w:val="both"/>
        <w:rPr>
          <w:rFonts w:ascii="Times New Roman" w:hAnsi="Times New Roman" w:eastAsia="宋体" w:cs="Times New Roman"/>
          <w:kern w:val="2"/>
          <w:sz w:val="21"/>
          <w:lang w:val="en-US" w:eastAsia="zh-CN" w:bidi="ar-SA"/>
        </w:rPr>
      </w:pPr>
      <w:r>
        <w:rPr>
          <w:rFonts w:ascii="Times New Roman" w:hAnsi="Times New Roman" w:eastAsia="宋体" w:cs="Times New Roman"/>
          <w:b/>
          <w:kern w:val="2"/>
          <w:sz w:val="24"/>
          <w:lang w:val="en-US" w:eastAsia="zh-CN" w:bidi="ar-SA"/>
        </w:rPr>
        <w:t>二、研究内容</w:t>
      </w:r>
      <w:r>
        <w:rPr>
          <w:rFonts w:ascii="Times New Roman" w:hAnsi="Times New Roman" w:eastAsia="宋体" w:cs="Times New Roman"/>
          <w:kern w:val="2"/>
          <w:sz w:val="21"/>
          <w:lang w:val="en-US" w:eastAsia="zh-CN" w:bidi="ar-SA"/>
        </w:rPr>
        <w:t>（宋体、小四号、加粗）</w:t>
      </w:r>
    </w:p>
    <w:p w14:paraId="0073A9CE">
      <w:pPr>
        <w:widowControl w:val="0"/>
        <w:snapToGrid w:val="0"/>
        <w:spacing w:line="300" w:lineRule="auto"/>
        <w:jc w:val="both"/>
        <w:rPr>
          <w:rFonts w:ascii="Times New Roman" w:hAnsi="Times New Roman" w:eastAsia="宋体" w:cs="Times New Roman"/>
          <w:kern w:val="2"/>
          <w:sz w:val="21"/>
          <w:lang w:val="en-US" w:eastAsia="zh-CN" w:bidi="ar-SA"/>
        </w:rPr>
      </w:pPr>
      <w:r>
        <w:rPr>
          <w:rFonts w:ascii="Times New Roman" w:hAnsi="Times New Roman" w:eastAsia="宋体" w:cs="Times New Roman"/>
          <w:kern w:val="2"/>
          <w:sz w:val="21"/>
          <w:lang w:val="en-US" w:eastAsia="zh-CN" w:bidi="ar-SA"/>
        </w:rPr>
        <w:t xml:space="preserve">     </w:t>
      </w:r>
      <w:r>
        <w:rPr>
          <w:rFonts w:ascii="Times New Roman" w:hAnsi="Times New Roman" w:eastAsia="宋体" w:cs="Times New Roman"/>
          <w:kern w:val="2"/>
          <w:sz w:val="24"/>
          <w:lang w:val="en-US" w:eastAsia="zh-CN" w:bidi="ar-SA"/>
        </w:rPr>
        <w:t>（研究方向，研究内容、系统功能）</w:t>
      </w:r>
    </w:p>
    <w:p w14:paraId="0CE96C3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Theme="minorEastAsia"/>
          <w:b w:val="0"/>
          <w:bCs w:val="0"/>
          <w:i w:val="0"/>
          <w:iCs w:val="0"/>
          <w:sz w:val="24"/>
          <w:szCs w:val="24"/>
        </w:rPr>
      </w:pPr>
      <w:r>
        <w:rPr>
          <w:rFonts w:ascii="Times New Roman" w:hAnsi="Times New Roman" w:eastAsiaTheme="minorEastAsia"/>
          <w:b w:val="0"/>
          <w:bCs w:val="0"/>
          <w:i w:val="0"/>
          <w:iCs w:val="0"/>
          <w:sz w:val="24"/>
          <w:szCs w:val="24"/>
        </w:rPr>
        <w:t>研究方向聚焦于面向随机窃听威胁的低轨星座物理层安全传输理论与关键技术。针对低轨卫星通信的高动态特性与窃听者的空间随机分布特征，开展信道建模、安全传输设计与网络性能分析三个层面的研究。通过理论推导、算法设计与仿真实验相结合的方法，构建低轨星座物理层安全基础理论框架，提出适应随机窃听环境的鲁棒传输方案，解决低轨卫星通信系统面临的安全威胁。</w:t>
      </w:r>
    </w:p>
    <w:p w14:paraId="772C93B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Theme="minorEastAsia"/>
          <w:b w:val="0"/>
          <w:bCs w:val="0"/>
          <w:i w:val="0"/>
          <w:iCs w:val="0"/>
          <w:sz w:val="24"/>
          <w:szCs w:val="24"/>
        </w:rPr>
      </w:pPr>
      <w:r>
        <w:rPr>
          <w:rFonts w:ascii="Times New Roman" w:hAnsi="Times New Roman" w:eastAsiaTheme="minorEastAsia"/>
          <w:b w:val="0"/>
          <w:bCs w:val="0"/>
          <w:i w:val="0"/>
          <w:iCs w:val="0"/>
          <w:sz w:val="24"/>
          <w:szCs w:val="24"/>
        </w:rPr>
        <w:t>研究内容一，低轨卫星信道建模与物理层安全容量界分析。针对低轨卫星相对地面用户高速运动导致的时变信道特性，建立综合考虑自由空间路径损耗、多普勒频移、阴影衰落及雨衰影响的复合信道模型。具体而言，路径损耗模型考虑载波频率、传输距离及大气吸收因子，采用对数距离模型描述大尺度衰落，路径损耗指数根据仰角变化在2至2.5之间动态调整。多普勒频移模型根据卫星轨道高度、仰角及用户位置计算最大多普勒频移，建立时变信道响应函数，考虑卫星移动速度约7千米每秒导致的快速时变特性。阴影衰落采用Loo模型或Corazza模型描述直射径与多径分量的复合效应，根据城市、郊区、农村和开阔地等不同环境设置不同的K因子和多径功率。雨衰模型基于ITU-R建议书，根据地理位置与气候条件建立降雨衰减的统计分布，考虑毫米波频段雨衰严重的特性，建立雨衰系数与降雨率的关系模型。</w:t>
      </w:r>
    </w:p>
    <w:p w14:paraId="6787E02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Theme="minorEastAsia"/>
          <w:b w:val="0"/>
          <w:bCs w:val="0"/>
          <w:i w:val="0"/>
          <w:iCs w:val="0"/>
          <w:sz w:val="24"/>
          <w:szCs w:val="24"/>
        </w:rPr>
      </w:pPr>
      <w:r>
        <w:rPr>
          <w:rFonts w:ascii="Times New Roman" w:hAnsi="Times New Roman" w:eastAsiaTheme="minorEastAsia"/>
          <w:b w:val="0"/>
          <w:bCs w:val="0"/>
          <w:i w:val="0"/>
          <w:iCs w:val="0"/>
          <w:sz w:val="24"/>
          <w:szCs w:val="24"/>
        </w:rPr>
        <w:t>在此信道模型基础上，分析单输入单输出与多输入单输出场景下的物理层安全容量。针对单颗卫星与单合法用户、单窃听者的场景，推导遍历安全容量与保密中断概率的理论表达式。利用Jensen不等式与拉格朗日对偶理论，建立安全容量的上界与下界，分析信道参数如多普勒频移、阴影衰落深度对安全容量的影响。针对多天线场景，分析发射相关矩阵与接收相关矩阵对安全容量的影响，推导最大比合并与选择合并接收策略下的保密性能界。考虑卫星天线阵列的波束宽度、旁瓣电平和指向误差对信号泄漏的影响，建立考虑天线方向图的三维信道模型。通过蒙特卡洛仿真验证理论推导的正确性，仿真中生成大量随机信道实现，统计安全容量的经验分布，与理论曲线进行对比分析，验证所提信道模型的准确性。</w:t>
      </w:r>
    </w:p>
    <w:p w14:paraId="7EC14C4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Theme="minorEastAsia"/>
          <w:b w:val="0"/>
          <w:bCs w:val="0"/>
          <w:i w:val="0"/>
          <w:iCs w:val="0"/>
          <w:sz w:val="24"/>
          <w:szCs w:val="24"/>
        </w:rPr>
      </w:pPr>
      <w:r>
        <w:rPr>
          <w:rFonts w:ascii="Times New Roman" w:hAnsi="Times New Roman" w:eastAsiaTheme="minorEastAsia"/>
          <w:b w:val="0"/>
          <w:bCs w:val="0"/>
          <w:i w:val="0"/>
          <w:iCs w:val="0"/>
          <w:sz w:val="24"/>
          <w:szCs w:val="24"/>
        </w:rPr>
        <w:t>研究内容二，基于线性预编码的抗随机窃听波束成形设计。针对低轨卫星波束覆盖范围内窃听者位置随机分布的特点，设计基于零强制、最大比传输与正则化迫零的线性预编码方案。首先，建立系统模型，假设卫星配备均匀平面阵列，阵元数目为数十至数百，合法用户与窃听者均配备单天线，卫星已知合法用户信道状态信息但仅知窃听者统计分布。定义保密速率为合法用户接收信噪比与窃听者接收信噪比之差的对数函数，建立以最大化平均保密速率或最小化保密中断概率为目标的优化问题。</w:t>
      </w:r>
    </w:p>
    <w:p w14:paraId="18D8DA1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Theme="minorEastAsia"/>
          <w:b w:val="0"/>
          <w:bCs w:val="0"/>
          <w:i w:val="0"/>
          <w:iCs w:val="0"/>
          <w:sz w:val="24"/>
          <w:szCs w:val="24"/>
        </w:rPr>
      </w:pPr>
      <w:r>
        <w:rPr>
          <w:rFonts w:ascii="Times New Roman" w:hAnsi="Times New Roman" w:eastAsiaTheme="minorEastAsia"/>
          <w:b w:val="0"/>
          <w:bCs w:val="0"/>
          <w:i w:val="0"/>
          <w:iCs w:val="0"/>
          <w:sz w:val="24"/>
          <w:szCs w:val="24"/>
        </w:rPr>
        <w:t>针对完美信道状态信息场景，设计最大化最小保密速率的波束成形优化问题。将原非凸问题转化为半定规划形式，利用半定松弛技术求解最优预编码向量，证明在单流或窃听者单天线条件下松弛是紧的。针对零强制预编码，推导完全消除窃听信号所需的天线数条件，分析功率分配对保密速率的影响，设计功率在信息信号与人工噪声之间的最优分配策略。针对最大比传输预编码，推导保密速率的闭合表达式，分析信噪比阈值效应，证明在高信噪比区域存在饱和效应。针对正则化迫零预编码，优化正则化参数以平衡信号功率与泄漏干扰，最大化平均保密速率，提出基于二分搜索或梯度下降的优化算法。</w:t>
      </w:r>
    </w:p>
    <w:p w14:paraId="63707FF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Theme="minorEastAsia"/>
          <w:b w:val="0"/>
          <w:bCs w:val="0"/>
          <w:i w:val="0"/>
          <w:iCs w:val="0"/>
          <w:sz w:val="24"/>
          <w:szCs w:val="24"/>
        </w:rPr>
      </w:pPr>
      <w:r>
        <w:rPr>
          <w:rFonts w:ascii="Times New Roman" w:hAnsi="Times New Roman" w:eastAsiaTheme="minorEastAsia"/>
          <w:b w:val="0"/>
          <w:bCs w:val="0"/>
          <w:i w:val="0"/>
          <w:iCs w:val="0"/>
          <w:sz w:val="24"/>
          <w:szCs w:val="24"/>
        </w:rPr>
        <w:t>针对不完美信道状态信息场景，设计鲁棒波束成形算法。考虑信道估计误差服从复高斯分布，建立基于中断概率约束的鲁棒优化问题，确保在概率意义下满足保密速率要求。利用S引理将概率约束转化为线性矩阵不等式，结合半定规划求解鲁棒预编码矩阵。设计低复杂度迭代算法，通过交替优化发射波束成形向量与人工噪声协方差矩阵，提升系统保密性能。针对星上计算资源受限问题，提出基于分簇的波束成形设计，将多用户分组后分别设计预编码向量，降低计算复杂度。利用Python的CVXPY库实现上述优化问题的数值求解，对比不同预编码方案在随机窃听场景下的保密速率累积分布函数，分析发射功率、天线数目、信道估计误差方差对保密性能的影响。</w:t>
      </w:r>
    </w:p>
    <w:p w14:paraId="5D0C014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Theme="minorEastAsia"/>
          <w:b w:val="0"/>
          <w:bCs w:val="0"/>
          <w:i w:val="0"/>
          <w:iCs w:val="0"/>
          <w:sz w:val="24"/>
          <w:szCs w:val="24"/>
        </w:rPr>
      </w:pPr>
      <w:r>
        <w:rPr>
          <w:rFonts w:ascii="Times New Roman" w:hAnsi="Times New Roman" w:eastAsiaTheme="minorEastAsia"/>
          <w:b w:val="0"/>
          <w:bCs w:val="0"/>
          <w:i w:val="0"/>
          <w:iCs w:val="0"/>
          <w:sz w:val="24"/>
          <w:szCs w:val="24"/>
        </w:rPr>
        <w:t>研究内容三，泊松点过程建模的随机窃听网络保密性能分析。针对大规模低轨星座场景，利用齐次泊松点过程建模窃听者在三维空间或二维地面的随机分布，建立网络级分析框架。建立网络模型，假设卫星按一定星座构型分布，如Walker星座，窃听者服从强度为λ的泊松点过程在空间随机分布。考虑典型合法用户位于原点，采用随机几何中的典型用户分析方法，研究其通信保密性能。</w:t>
      </w:r>
    </w:p>
    <w:p w14:paraId="2E6ACEF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Theme="minorEastAsia"/>
          <w:b w:val="0"/>
          <w:bCs w:val="0"/>
          <w:i w:val="0"/>
          <w:iCs w:val="0"/>
          <w:sz w:val="24"/>
          <w:szCs w:val="24"/>
        </w:rPr>
      </w:pPr>
      <w:r>
        <w:rPr>
          <w:rFonts w:ascii="Times New Roman" w:hAnsi="Times New Roman" w:eastAsiaTheme="minorEastAsia"/>
          <w:b w:val="0"/>
          <w:bCs w:val="0"/>
          <w:i w:val="0"/>
          <w:iCs w:val="0"/>
          <w:sz w:val="24"/>
          <w:szCs w:val="24"/>
        </w:rPr>
        <w:t>定义网络级保密性能指标，包括连接中断概率、保密中断概率及保密吞吐量。连接中断概率定义为合法链路信噪比低于阈值的概率，保密中断概率定义为瞬时安全容量小于零的概率，保密吞吐量则综合考虑连接成功与保密成功的联合概率。利用随机几何理论，通过概率生成函数与拉普拉斯变换推导上述中断概率的数学表达式。考虑聚合干扰的影响，推导窃听者接收信号干扰加噪声比的分布特性，分析干扰的统计特性。针对多星协同场景，推导选择最佳可见卫星传输、多卫星协同干扰等策略下的保密性能表达式。</w:t>
      </w:r>
    </w:p>
    <w:p w14:paraId="44FFCA0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Theme="minorEastAsia"/>
          <w:b w:val="0"/>
          <w:bCs w:val="0"/>
          <w:i w:val="0"/>
          <w:iCs w:val="0"/>
          <w:sz w:val="24"/>
          <w:szCs w:val="24"/>
        </w:rPr>
      </w:pPr>
      <w:r>
        <w:rPr>
          <w:rFonts w:ascii="Times New Roman" w:hAnsi="Times New Roman" w:eastAsiaTheme="minorEastAsia"/>
          <w:b w:val="0"/>
          <w:bCs w:val="0"/>
          <w:i w:val="0"/>
          <w:iCs w:val="0"/>
          <w:sz w:val="24"/>
          <w:szCs w:val="24"/>
        </w:rPr>
        <w:t>分析关键系统参数对保密性能的影响，包括卫星发射功率、星座密度、窃听者密度、波束宽度及传输阈值。利用数值积分与蒙特卡洛仿真验证理论分析结果，绘制保密吞吐量随发射功率与窃听者密度的变化曲线，分析保密性能缩放律。针对多星协同场景，分析选择最佳可见卫星传输、多卫星协同干扰等策略对网络保密性能的提升作用，提出基于信干噪比阈值的选择传输策略。探讨波束成形增益、路径损耗指数及阴影衰落参数对保密性能缩放律的影响，建立保密吞吐量与网络参数之间的定量关系，为低轨星座系统参数设计提供理论依据。</w:t>
      </w:r>
    </w:p>
    <w:p w14:paraId="2129D8AD">
      <w:pPr>
        <w:widowControl w:val="0"/>
        <w:snapToGrid w:val="0"/>
        <w:spacing w:line="300" w:lineRule="auto"/>
        <w:jc w:val="both"/>
        <w:rPr>
          <w:rFonts w:ascii="Times New Roman" w:hAnsi="Times New Roman" w:eastAsia="宋体" w:cs="Times New Roman"/>
          <w:kern w:val="2"/>
          <w:sz w:val="21"/>
          <w:lang w:val="en-US" w:eastAsia="zh-CN" w:bidi="ar-SA"/>
        </w:rPr>
      </w:pPr>
      <w:r>
        <w:rPr>
          <w:rFonts w:ascii="Times New Roman" w:hAnsi="Times New Roman" w:eastAsia="宋体" w:cs="Times New Roman"/>
          <w:b/>
          <w:kern w:val="2"/>
          <w:sz w:val="24"/>
          <w:lang w:val="en-US" w:eastAsia="zh-CN" w:bidi="ar-SA"/>
        </w:rPr>
        <w:t>三、实现方法及预期目标</w:t>
      </w:r>
      <w:r>
        <w:rPr>
          <w:rFonts w:ascii="Times New Roman" w:hAnsi="Times New Roman" w:eastAsia="宋体" w:cs="Times New Roman"/>
          <w:kern w:val="2"/>
          <w:sz w:val="21"/>
          <w:lang w:val="en-US" w:eastAsia="zh-CN" w:bidi="ar-SA"/>
        </w:rPr>
        <w:t>（宋体、小四号、加粗）</w:t>
      </w:r>
    </w:p>
    <w:p w14:paraId="4522DC38">
      <w:pPr>
        <w:widowControl w:val="0"/>
        <w:snapToGrid w:val="0"/>
        <w:spacing w:line="300" w:lineRule="auto"/>
        <w:jc w:val="both"/>
        <w:rPr>
          <w:rFonts w:ascii="Times New Roman" w:hAnsi="Times New Roman" w:eastAsia="宋体" w:cs="Times New Roman"/>
          <w:kern w:val="2"/>
          <w:sz w:val="24"/>
          <w:lang w:val="en-US" w:eastAsia="zh-CN" w:bidi="ar-SA"/>
        </w:rPr>
      </w:pPr>
      <w:r>
        <w:rPr>
          <w:rFonts w:ascii="Times New Roman" w:hAnsi="Times New Roman" w:eastAsia="宋体" w:cs="Times New Roman"/>
          <w:kern w:val="2"/>
          <w:sz w:val="24"/>
          <w:lang w:val="en-US" w:eastAsia="zh-CN" w:bidi="ar-SA"/>
        </w:rPr>
        <w:t xml:space="preserve">    （包括实施的初步方案、重点、难点及环境）</w:t>
      </w:r>
    </w:p>
    <w:p w14:paraId="39451C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imes New Roman" w:hAnsi="Times New Roman" w:eastAsiaTheme="minorEastAsia"/>
          <w:b w:val="0"/>
          <w:bCs w:val="0"/>
          <w:i w:val="0"/>
          <w:iCs w:val="0"/>
          <w:sz w:val="24"/>
          <w:szCs w:val="24"/>
        </w:rPr>
      </w:pPr>
      <w:r>
        <w:rPr>
          <w:rFonts w:ascii="Times New Roman" w:hAnsi="Times New Roman" w:eastAsia="宋体" w:cs="Times New Roman"/>
          <w:kern w:val="2"/>
          <w:sz w:val="21"/>
          <w:lang w:val="en-US" w:eastAsia="zh-CN" w:bidi="ar-SA"/>
        </w:rPr>
        <w:t xml:space="preserve">    </w:t>
      </w:r>
      <w:r>
        <w:rPr>
          <w:rFonts w:ascii="Times New Roman" w:hAnsi="Times New Roman" w:eastAsiaTheme="minorEastAsia"/>
          <w:b w:val="0"/>
          <w:bCs w:val="0"/>
          <w:i w:val="0"/>
          <w:iCs w:val="0"/>
          <w:sz w:val="21"/>
          <w:szCs w:val="21"/>
          <w:lang w:val="en-US" w:eastAsia="zh-CN"/>
        </w:rPr>
        <w:t xml:space="preserve"> </w:t>
      </w:r>
      <w:r>
        <w:rPr>
          <w:rFonts w:ascii="Times New Roman" w:hAnsi="Times New Roman" w:eastAsiaTheme="minorEastAsia"/>
          <w:b w:val="0"/>
          <w:bCs w:val="0"/>
          <w:i w:val="0"/>
          <w:iCs w:val="0"/>
          <w:sz w:val="24"/>
          <w:szCs w:val="24"/>
        </w:rPr>
        <w:t>实施的初步方案采用理论分析与计算机仿真相结合的技术路线。首先，建立低轨卫星通信系统的数学模型，包括信道模型、信号模型与噪声模型，明确系统参数如载波频率、带宽、发射功率、天线数目等。其次，推导物理层安全性能的理论界与闭合表达式，利用随机过程理论、凸优化理论和信息论工具进行严格数学证明。然后，设计基于凸优化的波束成形算法与基于随机几何的网络分析框架，提出低复杂度实现方案。最后，利用Python编程实现算法仿真与性能验证，通过蒙特卡洛仿真统计验证理论结果。</w:t>
      </w:r>
    </w:p>
    <w:p w14:paraId="7E72EBE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Theme="minorEastAsia"/>
          <w:b w:val="0"/>
          <w:bCs w:val="0"/>
          <w:i w:val="0"/>
          <w:iCs w:val="0"/>
          <w:sz w:val="24"/>
          <w:szCs w:val="24"/>
        </w:rPr>
      </w:pPr>
      <w:r>
        <w:rPr>
          <w:rFonts w:ascii="Times New Roman" w:hAnsi="Times New Roman" w:eastAsiaTheme="minorEastAsia"/>
          <w:b w:val="0"/>
          <w:bCs w:val="0"/>
          <w:i w:val="0"/>
          <w:iCs w:val="0"/>
          <w:sz w:val="24"/>
          <w:szCs w:val="24"/>
        </w:rPr>
        <w:t>重点在于建立准确的低轨卫星信道模型，该模型需同时考虑大尺度衰落与小尺度衰落，并体现卫星高移动性导致的时变特性。重点还在于设计适应随机窃听场景的预编码方案，在保证合法用户服务质量的同时，对随机分布的潜在窃听者形成有效干扰，且满足星上功率受限和计算复杂度受限的约束条件。难点在于非凸优化问题的求解与随机几何分析中复杂积分的计算，需要合理利用数学近似如高斯近似、矩匹配方法与数值方法如蒙特卡洛积分、重要性采样。</w:t>
      </w:r>
    </w:p>
    <w:p w14:paraId="5BE31EE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Theme="minorEastAsia"/>
          <w:b w:val="0"/>
          <w:bCs w:val="0"/>
          <w:i w:val="0"/>
          <w:iCs w:val="0"/>
          <w:sz w:val="24"/>
          <w:szCs w:val="24"/>
        </w:rPr>
      </w:pPr>
      <w:r>
        <w:rPr>
          <w:rFonts w:ascii="Times New Roman" w:hAnsi="Times New Roman" w:eastAsiaTheme="minorEastAsia"/>
          <w:b w:val="0"/>
          <w:bCs w:val="0"/>
          <w:i w:val="0"/>
          <w:iCs w:val="0"/>
          <w:sz w:val="24"/>
          <w:szCs w:val="24"/>
        </w:rPr>
        <w:t>具体实现环境为Python科学计算生态。使用NumPy库进行矩阵运算与随机数生成，构建蒙特卡洛仿真环境，实现大规模随机实验的向量化计算以提高效率。使用SciPy库进行信号处理、统计分布计算与数值积分，特别是利用其优化模块求解非线性规划问题。使用CVXPY库建模并求解半定规划与二阶锥规划问题，实现波束成形优化，利用其 disciplined convex programming 框架确保建模正确性。使用Matplotlib库绘制性能曲线，包括保密速率分布、中断概率曲线及吞吐量曲面，生成高质量的论文插图。</w:t>
      </w:r>
    </w:p>
    <w:p w14:paraId="0327EC8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Theme="minorEastAsia"/>
          <w:b w:val="0"/>
          <w:bCs w:val="0"/>
          <w:i w:val="0"/>
          <w:iCs w:val="0"/>
          <w:sz w:val="24"/>
          <w:szCs w:val="24"/>
        </w:rPr>
      </w:pPr>
      <w:r>
        <w:rPr>
          <w:rFonts w:ascii="Times New Roman" w:hAnsi="Times New Roman" w:eastAsiaTheme="minorEastAsia"/>
          <w:b w:val="0"/>
          <w:bCs w:val="0"/>
          <w:i w:val="0"/>
          <w:iCs w:val="0"/>
          <w:sz w:val="24"/>
          <w:szCs w:val="24"/>
        </w:rPr>
        <w:t>预期目标是建立面向随机窃听的低轨星座物理层安全理论体系，提出有效的抗窃听传输方案。具体包括，提出适用于低轨卫星的复合信道模型并推导安全容量界，明确信道参数对保密性能的影响规律。提出基于线性预编码的鲁棒波束成形算法并验证其有效性，给出适用于星上实现的低复杂度设计方案。建立基于泊松点过程的随机窃听网络模型并给出保密性能解析表达式，揭示网络参数与保密性能的定量关系。通过仿真验证理论分析的正确性，为低轨卫星通信系统安全设计提供理论依据与算法支持，形成可指导工程实践的结论。</w:t>
      </w:r>
    </w:p>
    <w:p w14:paraId="36E37895">
      <w:pPr>
        <w:widowControl w:val="0"/>
        <w:snapToGrid w:val="0"/>
        <w:spacing w:line="300" w:lineRule="auto"/>
        <w:jc w:val="both"/>
        <w:rPr>
          <w:rFonts w:ascii="Times New Roman" w:hAnsi="Times New Roman" w:eastAsia="宋体" w:cs="Times New Roman"/>
          <w:kern w:val="2"/>
          <w:sz w:val="21"/>
          <w:lang w:val="en-US" w:eastAsia="zh-CN" w:bidi="ar-SA"/>
        </w:rPr>
      </w:pPr>
    </w:p>
    <w:p w14:paraId="0A2C25B5">
      <w:pPr>
        <w:widowControl w:val="0"/>
        <w:snapToGrid w:val="0"/>
        <w:spacing w:line="300" w:lineRule="auto"/>
        <w:jc w:val="both"/>
        <w:rPr>
          <w:rFonts w:ascii="Times New Roman" w:hAnsi="Times New Roman" w:eastAsia="宋体" w:cs="Times New Roman"/>
          <w:kern w:val="2"/>
          <w:sz w:val="21"/>
          <w:lang w:val="en-US" w:eastAsia="zh-CN" w:bidi="ar-SA"/>
        </w:rPr>
      </w:pPr>
      <w:r>
        <w:rPr>
          <w:rFonts w:ascii="Times New Roman" w:hAnsi="Times New Roman" w:eastAsia="宋体" w:cs="Times New Roman"/>
          <w:b/>
          <w:kern w:val="2"/>
          <w:sz w:val="24"/>
          <w:lang w:val="en-US" w:eastAsia="zh-CN" w:bidi="ar-SA"/>
        </w:rPr>
        <w:t>四、论文结构</w:t>
      </w:r>
      <w:r>
        <w:rPr>
          <w:rFonts w:ascii="Times New Roman" w:hAnsi="Times New Roman" w:eastAsia="宋体" w:cs="Times New Roman"/>
          <w:kern w:val="2"/>
          <w:sz w:val="21"/>
          <w:lang w:val="en-US" w:eastAsia="zh-CN" w:bidi="ar-SA"/>
        </w:rPr>
        <w:t>（宋体、小四号、加粗）（此项适用于文管经专业）</w:t>
      </w:r>
    </w:p>
    <w:p w14:paraId="4C46300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Theme="minorEastAsia"/>
          <w:b w:val="0"/>
          <w:bCs w:val="0"/>
          <w:i w:val="0"/>
          <w:iCs w:val="0"/>
          <w:sz w:val="24"/>
          <w:szCs w:val="24"/>
        </w:rPr>
      </w:pPr>
      <w:r>
        <w:rPr>
          <w:rFonts w:ascii="Times New Roman" w:hAnsi="Times New Roman" w:eastAsia="宋体" w:cs="Times New Roman"/>
          <w:kern w:val="2"/>
          <w:sz w:val="24"/>
          <w:lang w:val="en-US" w:eastAsia="zh-CN" w:bidi="ar-SA"/>
        </w:rPr>
        <w:t xml:space="preserve">  </w:t>
      </w:r>
      <w:r>
        <w:rPr>
          <w:rFonts w:ascii="Times New Roman" w:hAnsi="Times New Roman" w:eastAsia="宋体" w:cs="Times New Roman"/>
          <w:kern w:val="2"/>
          <w:sz w:val="21"/>
          <w:lang w:val="en-US" w:eastAsia="zh-CN" w:bidi="ar-SA"/>
        </w:rPr>
        <w:t xml:space="preserve"> </w:t>
      </w:r>
      <w:r>
        <w:rPr>
          <w:rFonts w:ascii="Times New Roman" w:hAnsi="Times New Roman" w:eastAsiaTheme="minorEastAsia"/>
          <w:b w:val="0"/>
          <w:bCs w:val="0"/>
          <w:i w:val="0"/>
          <w:iCs w:val="0"/>
          <w:sz w:val="24"/>
          <w:szCs w:val="24"/>
        </w:rPr>
        <w:t>论文第一章为绪论，阐述研究背景与意义，介绍低轨卫星通信发展与物理层安全基本概念，分析随机窃听威胁特征，综述国内外研究现状，明确论文研究内容与结构安排。</w:t>
      </w:r>
    </w:p>
    <w:p w14:paraId="4B9A282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Theme="minorEastAsia"/>
          <w:b w:val="0"/>
          <w:bCs w:val="0"/>
          <w:i w:val="0"/>
          <w:iCs w:val="0"/>
          <w:sz w:val="24"/>
          <w:szCs w:val="24"/>
        </w:rPr>
      </w:pPr>
      <w:r>
        <w:rPr>
          <w:rFonts w:ascii="Times New Roman" w:hAnsi="Times New Roman" w:eastAsiaTheme="minorEastAsia"/>
          <w:b w:val="0"/>
          <w:bCs w:val="0"/>
          <w:i w:val="0"/>
          <w:iCs w:val="0"/>
          <w:sz w:val="24"/>
          <w:szCs w:val="24"/>
        </w:rPr>
        <w:t>论文第二章为系统模型与理论基础，介绍低轨卫星轨道特性与信道传播特性，建立随机窃听网络模型，阐述物理层安全容量定义与随机几何基础理论，介绍凸优化基本工具。</w:t>
      </w:r>
    </w:p>
    <w:p w14:paraId="57F0959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Theme="minorEastAsia"/>
          <w:b w:val="0"/>
          <w:bCs w:val="0"/>
          <w:i w:val="0"/>
          <w:iCs w:val="0"/>
          <w:sz w:val="24"/>
          <w:szCs w:val="24"/>
        </w:rPr>
      </w:pPr>
      <w:r>
        <w:rPr>
          <w:rFonts w:ascii="Times New Roman" w:hAnsi="Times New Roman" w:eastAsiaTheme="minorEastAsia"/>
          <w:b w:val="0"/>
          <w:bCs w:val="0"/>
          <w:i w:val="0"/>
          <w:iCs w:val="0"/>
          <w:sz w:val="24"/>
          <w:szCs w:val="24"/>
        </w:rPr>
        <w:t>论文第三章为低轨卫星信道建模与安全容量分析，详细推导复合信道模型下的遍历安全容量与保密中断概率，给出性能界并仿真验证，分析信道参数影响。</w:t>
      </w:r>
    </w:p>
    <w:p w14:paraId="398FCBD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Theme="minorEastAsia"/>
          <w:b w:val="0"/>
          <w:bCs w:val="0"/>
          <w:i w:val="0"/>
          <w:iCs w:val="0"/>
          <w:sz w:val="24"/>
          <w:szCs w:val="24"/>
        </w:rPr>
      </w:pPr>
      <w:r>
        <w:rPr>
          <w:rFonts w:ascii="Times New Roman" w:hAnsi="Times New Roman" w:eastAsiaTheme="minorEastAsia"/>
          <w:b w:val="0"/>
          <w:bCs w:val="0"/>
          <w:i w:val="0"/>
          <w:iCs w:val="0"/>
          <w:sz w:val="24"/>
          <w:szCs w:val="24"/>
        </w:rPr>
        <w:t>论文第四章为线性预编码波束成形设计，分别针对完美与不完美信道状态信息，提出零强制、最大比传输与正则化迫零预编码方案，建立优化问题并求解，分析计算复杂度。</w:t>
      </w:r>
    </w:p>
    <w:p w14:paraId="582F279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Theme="minorEastAsia"/>
          <w:b w:val="0"/>
          <w:bCs w:val="0"/>
          <w:i w:val="0"/>
          <w:iCs w:val="0"/>
          <w:sz w:val="24"/>
          <w:szCs w:val="24"/>
        </w:rPr>
      </w:pPr>
      <w:r>
        <w:rPr>
          <w:rFonts w:ascii="Times New Roman" w:hAnsi="Times New Roman" w:eastAsiaTheme="minorEastAsia"/>
          <w:b w:val="0"/>
          <w:bCs w:val="0"/>
          <w:i w:val="0"/>
          <w:iCs w:val="0"/>
          <w:sz w:val="24"/>
          <w:szCs w:val="24"/>
        </w:rPr>
        <w:t>论文第五章为随机窃听网络性能分析，利用泊松点过程建模窃听者分布，推导连接中断概率与保密中断概率，分析网络级保密吞吐量，提出多星协同策略。</w:t>
      </w:r>
    </w:p>
    <w:p w14:paraId="7F14429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Theme="minorEastAsia"/>
          <w:b w:val="0"/>
          <w:bCs w:val="0"/>
          <w:i w:val="0"/>
          <w:iCs w:val="0"/>
          <w:sz w:val="24"/>
          <w:szCs w:val="24"/>
        </w:rPr>
      </w:pPr>
      <w:r>
        <w:rPr>
          <w:rFonts w:ascii="Times New Roman" w:hAnsi="Times New Roman" w:eastAsiaTheme="minorEastAsia"/>
          <w:b w:val="0"/>
          <w:bCs w:val="0"/>
          <w:i w:val="0"/>
          <w:iCs w:val="0"/>
          <w:sz w:val="24"/>
          <w:szCs w:val="24"/>
        </w:rPr>
        <w:t>论文第六章为仿真结果与分析，展示蒙特卡洛仿真结果，对比不同方案性能，分析关键参数如发射功率、天线数、窃听者密度对保密性能的影响，验证理论分析。</w:t>
      </w:r>
    </w:p>
    <w:p w14:paraId="24E2AE3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rFonts w:ascii="Times New Roman" w:hAnsi="Times New Roman" w:eastAsiaTheme="minorEastAsia"/>
          <w:b w:val="0"/>
          <w:bCs w:val="0"/>
          <w:i w:val="0"/>
          <w:iCs w:val="0"/>
          <w:sz w:val="24"/>
          <w:szCs w:val="24"/>
        </w:rPr>
        <w:t>论文第七章为总结与展望，总结研究成果，指出创新点与不足，展望未来研究方向如智能反射面辅助、太赫兹频段安全通信等。</w:t>
      </w:r>
    </w:p>
    <w:p w14:paraId="1B9797A7">
      <w:pPr>
        <w:widowControl w:val="0"/>
        <w:snapToGrid w:val="0"/>
        <w:spacing w:line="300" w:lineRule="auto"/>
        <w:jc w:val="both"/>
        <w:rPr>
          <w:rFonts w:ascii="Times New Roman" w:hAnsi="Times New Roman" w:eastAsia="宋体" w:cs="Times New Roman"/>
          <w:kern w:val="2"/>
          <w:sz w:val="24"/>
          <w:lang w:val="en-US" w:eastAsia="zh-CN" w:bidi="ar-SA"/>
        </w:rPr>
      </w:pPr>
    </w:p>
    <w:p w14:paraId="3542FC1E">
      <w:pPr>
        <w:widowControl w:val="0"/>
        <w:snapToGrid w:val="0"/>
        <w:spacing w:line="300" w:lineRule="auto"/>
        <w:jc w:val="both"/>
        <w:rPr>
          <w:rFonts w:ascii="Times New Roman" w:hAnsi="Times New Roman" w:eastAsia="宋体" w:cs="Times New Roman"/>
          <w:kern w:val="2"/>
          <w:sz w:val="21"/>
          <w:lang w:val="en-US" w:eastAsia="zh-CN" w:bidi="ar-SA"/>
        </w:rPr>
      </w:pPr>
      <w:r>
        <w:rPr>
          <w:rFonts w:ascii="Times New Roman" w:hAnsi="Times New Roman" w:eastAsia="宋体" w:cs="Times New Roman"/>
          <w:b/>
          <w:kern w:val="2"/>
          <w:sz w:val="24"/>
          <w:lang w:val="en-US" w:eastAsia="zh-CN" w:bidi="ar-SA"/>
        </w:rPr>
        <w:t>五、对进度的具体安排</w:t>
      </w:r>
      <w:r>
        <w:rPr>
          <w:rFonts w:ascii="Times New Roman" w:hAnsi="Times New Roman" w:eastAsia="宋体" w:cs="Times New Roman"/>
          <w:kern w:val="2"/>
          <w:sz w:val="21"/>
          <w:lang w:val="en-US" w:eastAsia="zh-CN" w:bidi="ar-SA"/>
        </w:rPr>
        <w:t>（宋体、小四号、加粗）</w:t>
      </w:r>
    </w:p>
    <w:p w14:paraId="6DF2198B">
      <w:pPr>
        <w:spacing w:before="120" w:after="120"/>
      </w:pPr>
      <w:r>
        <w:rPr>
          <w:rFonts w:ascii="Times New Roman" w:hAnsi="Times New Roman" w:eastAsia="宋体" w:cs="Times New Roman"/>
          <w:kern w:val="2"/>
          <w:sz w:val="24"/>
          <w:lang w:val="en-US" w:eastAsia="zh-CN" w:bidi="ar-SA"/>
        </w:rPr>
        <w:t xml:space="preserve">   </w:t>
      </w:r>
      <w:r>
        <w:rPr>
          <w:rFonts w:ascii="Times New Roman" w:hAnsi="Times New Roman" w:eastAsia="宋体" w:cs="Times New Roman"/>
          <w:kern w:val="2"/>
          <w:sz w:val="21"/>
          <w:lang w:val="en-US" w:eastAsia="zh-CN" w:bidi="ar-SA"/>
        </w:rPr>
        <w:t xml:space="preserve"> </w:t>
      </w:r>
      <w:r>
        <w:rPr>
          <w:b w:val="0"/>
          <w:bCs w:val="0"/>
          <w:i w:val="0"/>
          <w:iCs w:val="0"/>
        </w:rPr>
        <w:t>第1至3周，文献调研与资料收集。阅读低轨卫星通信、物理层安全、随机几何与凸优化相关文献，重点研读近三年内IEEE Transactions系列期刊论文，完成开题报告撰写与修改。</w:t>
      </w:r>
    </w:p>
    <w:p w14:paraId="1A784D94">
      <w:pPr>
        <w:spacing w:before="120" w:after="120"/>
      </w:pPr>
      <w:r>
        <w:rPr>
          <w:b w:val="0"/>
          <w:bCs w:val="0"/>
          <w:i w:val="0"/>
          <w:iCs w:val="0"/>
        </w:rPr>
        <w:t>第4至6周，理论基础学习。深入学习低轨卫星轨道力学与信道特性，掌握物理层安全基本理论，熟悉随机几何分析方法，完成开题答辩。</w:t>
      </w:r>
    </w:p>
    <w:p w14:paraId="116B9196">
      <w:pPr>
        <w:spacing w:before="120" w:after="120"/>
      </w:pPr>
      <w:r>
        <w:rPr>
          <w:b w:val="0"/>
          <w:bCs w:val="0"/>
          <w:i w:val="0"/>
          <w:iCs w:val="0"/>
        </w:rPr>
        <w:t>第7至10周，研究内容一实施。建立低轨卫星复合信道模型，推导安全容量表达式，编写蒙特卡洛仿真代码，完成第一组实验，撰写相关章节初稿。</w:t>
      </w:r>
    </w:p>
    <w:p w14:paraId="064DBD7C">
      <w:pPr>
        <w:spacing w:before="120" w:after="120"/>
      </w:pPr>
      <w:r>
        <w:rPr>
          <w:b w:val="0"/>
          <w:bCs w:val="0"/>
          <w:i w:val="0"/>
          <w:iCs w:val="0"/>
        </w:rPr>
        <w:t>第11至14周，研究内容二实施。设计线性预编码算法，建立凸优化模型，利用CVXPY实现算法求解，完成性能对比仿真，分析不同参数影响。</w:t>
      </w:r>
    </w:p>
    <w:p w14:paraId="2711801D">
      <w:pPr>
        <w:spacing w:before="120" w:after="120"/>
      </w:pPr>
      <w:r>
        <w:rPr>
          <w:b w:val="0"/>
          <w:bCs w:val="0"/>
          <w:i w:val="0"/>
          <w:iCs w:val="0"/>
        </w:rPr>
        <w:t>第15至18周，研究内容三实施。建立泊松点过程网络模型，推导保密中断概率，完成大规模网络仿真，撰写相关章节初稿。</w:t>
      </w:r>
    </w:p>
    <w:p w14:paraId="6D8A2E82">
      <w:pPr>
        <w:spacing w:before="120" w:after="120"/>
      </w:pPr>
      <w:r>
        <w:rPr>
          <w:b w:val="0"/>
          <w:bCs w:val="0"/>
          <w:i w:val="0"/>
          <w:iCs w:val="0"/>
        </w:rPr>
        <w:t>第19至22周，论文撰写。整理研究成果，撰写毕业论文初稿，绘制图表，完善理论证明，完成全文初稿。</w:t>
      </w:r>
    </w:p>
    <w:p w14:paraId="091DCE2A">
      <w:pPr>
        <w:spacing w:before="120" w:after="120"/>
      </w:pPr>
      <w:r>
        <w:rPr>
          <w:b w:val="0"/>
          <w:bCs w:val="0"/>
          <w:i w:val="0"/>
          <w:iCs w:val="0"/>
        </w:rPr>
        <w:t>第23至25周，论文修改与完善。根据导师意见修改论文，补充仿真实验，优化算法性能，准备毕业答辩材料。</w:t>
      </w:r>
    </w:p>
    <w:p w14:paraId="3BD076F2">
      <w:pPr>
        <w:spacing w:before="120" w:after="120"/>
      </w:pPr>
      <w:r>
        <w:rPr>
          <w:b w:val="0"/>
          <w:bCs w:val="0"/>
          <w:i w:val="0"/>
          <w:iCs w:val="0"/>
        </w:rPr>
        <w:t>第26周，毕业答辩。制作答辩PPT，进行预答辩与正式答辩，完成毕业设计所有环节。</w:t>
      </w:r>
    </w:p>
    <w:p w14:paraId="4C4F0AD0">
      <w:pPr>
        <w:widowControl w:val="0"/>
        <w:snapToGrid w:val="0"/>
        <w:spacing w:line="300" w:lineRule="auto"/>
        <w:jc w:val="both"/>
        <w:rPr>
          <w:rFonts w:ascii="Times New Roman" w:hAnsi="Times New Roman" w:eastAsia="宋体" w:cs="Times New Roman"/>
          <w:kern w:val="2"/>
          <w:sz w:val="24"/>
          <w:lang w:val="en-US" w:eastAsia="zh-CN" w:bidi="ar-SA"/>
        </w:rPr>
      </w:pPr>
    </w:p>
    <w:p w14:paraId="7453E679">
      <w:pPr>
        <w:widowControl w:val="0"/>
        <w:numPr>
          <w:ilvl w:val="0"/>
          <w:numId w:val="1"/>
        </w:numPr>
        <w:snapToGrid w:val="0"/>
        <w:spacing w:line="300" w:lineRule="auto"/>
        <w:jc w:val="both"/>
        <w:rPr>
          <w:rFonts w:ascii="Times New Roman" w:hAnsi="Times New Roman" w:eastAsia="宋体" w:cs="Times New Roman"/>
          <w:kern w:val="2"/>
          <w:sz w:val="21"/>
          <w:lang w:val="en-US" w:eastAsia="zh-CN" w:bidi="ar-SA"/>
        </w:rPr>
      </w:pPr>
      <w:r>
        <w:rPr>
          <w:rFonts w:ascii="Times New Roman" w:hAnsi="Times New Roman" w:eastAsia="宋体" w:cs="Times New Roman"/>
          <w:b/>
          <w:kern w:val="2"/>
          <w:sz w:val="24"/>
          <w:lang w:val="en-US" w:eastAsia="zh-CN" w:bidi="ar-SA"/>
        </w:rPr>
        <w:t>参考文献</w:t>
      </w:r>
      <w:r>
        <w:rPr>
          <w:rFonts w:ascii="Times New Roman" w:hAnsi="Times New Roman" w:eastAsia="宋体" w:cs="Times New Roman"/>
          <w:kern w:val="2"/>
          <w:sz w:val="21"/>
          <w:lang w:val="en-US" w:eastAsia="zh-CN" w:bidi="ar-SA"/>
        </w:rPr>
        <w:t>（宋体、小四号、加粗）</w:t>
      </w:r>
    </w:p>
    <w:p w14:paraId="6EC8D902">
      <w:pPr>
        <w:keepNext w:val="0"/>
        <w:keepLines w:val="0"/>
        <w:pageBreakBefore w:val="0"/>
        <w:widowControl w:val="0"/>
        <w:kinsoku/>
        <w:wordWrap/>
        <w:overflowPunct/>
        <w:topLinePunct w:val="0"/>
        <w:autoSpaceDE/>
        <w:autoSpaceDN/>
        <w:bidi w:val="0"/>
        <w:adjustRightInd/>
        <w:snapToGrid/>
        <w:spacing w:before="0" w:after="0" w:line="360" w:lineRule="auto"/>
        <w:ind w:leftChars="0" w:firstLine="0" w:firstLineChars="0"/>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b w:val="0"/>
          <w:bCs w:val="0"/>
          <w:i w:val="0"/>
          <w:iCs w:val="0"/>
          <w:kern w:val="2"/>
          <w:sz w:val="24"/>
          <w:szCs w:val="24"/>
          <w:lang w:val="en-US" w:eastAsia="zh-CN" w:bidi="ar-SA"/>
        </w:rPr>
        <w:t>[1] H. Al-Hraishawi, H. Zhu and J. Wang, "LEO Satellite Communications: A Survey," IEEE Communications Surveys &amp; Tutorials, vol. 24, no. 6, pp. 4041-4080, 2022.</w:t>
      </w:r>
    </w:p>
    <w:p w14:paraId="2091F7C2">
      <w:pPr>
        <w:keepNext w:val="0"/>
        <w:keepLines w:val="0"/>
        <w:pageBreakBefore w:val="0"/>
        <w:widowControl w:val="0"/>
        <w:kinsoku/>
        <w:wordWrap/>
        <w:overflowPunct/>
        <w:topLinePunct w:val="0"/>
        <w:autoSpaceDE/>
        <w:autoSpaceDN/>
        <w:bidi w:val="0"/>
        <w:adjustRightInd/>
        <w:snapToGrid/>
        <w:spacing w:before="0" w:after="0" w:line="360" w:lineRule="auto"/>
        <w:ind w:left="0" w:leftChars="0" w:firstLine="0" w:firstLineChars="0"/>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b w:val="0"/>
          <w:bCs w:val="0"/>
          <w:i w:val="0"/>
          <w:iCs w:val="0"/>
          <w:kern w:val="2"/>
          <w:sz w:val="24"/>
          <w:szCs w:val="24"/>
          <w:lang w:val="en-US" w:eastAsia="zh-CN" w:bidi="ar-SA"/>
        </w:rPr>
        <w:t>[2] N. Okati, T. Riihonen and D. Korpi, "Downlink Coverage and Rate Analysis of Low Earth Orbit Satellite Constellations Using Stochastic Geometry," IEEE Transactions on Communications, vol. 70, no. 3, pp. 2014-2028, 2022.</w:t>
      </w:r>
    </w:p>
    <w:p w14:paraId="66ABA6DD">
      <w:pPr>
        <w:keepNext w:val="0"/>
        <w:keepLines w:val="0"/>
        <w:pageBreakBefore w:val="0"/>
        <w:widowControl w:val="0"/>
        <w:kinsoku/>
        <w:wordWrap/>
        <w:overflowPunct/>
        <w:topLinePunct w:val="0"/>
        <w:autoSpaceDE/>
        <w:autoSpaceDN/>
        <w:bidi w:val="0"/>
        <w:adjustRightInd/>
        <w:snapToGrid/>
        <w:spacing w:before="0" w:after="0" w:line="360" w:lineRule="auto"/>
        <w:ind w:left="0" w:leftChars="0" w:firstLine="0" w:firstLineChars="0"/>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b w:val="0"/>
          <w:bCs w:val="0"/>
          <w:i w:val="0"/>
          <w:iCs w:val="0"/>
          <w:kern w:val="2"/>
          <w:sz w:val="24"/>
          <w:szCs w:val="24"/>
          <w:lang w:val="en-US" w:eastAsia="zh-CN" w:bidi="ar-SA"/>
        </w:rPr>
        <w:t>[3] A. Guidotti, A. Vanelli-Coralli, M. Conti and S. Andrenacci, "LEO Satellite Networks: State of the Art and Future Challenges," China Communications, vol. 20, no. 2, pp. 1-22, 2023.</w:t>
      </w:r>
    </w:p>
    <w:p w14:paraId="6A7872C1">
      <w:pPr>
        <w:keepNext w:val="0"/>
        <w:keepLines w:val="0"/>
        <w:pageBreakBefore w:val="0"/>
        <w:widowControl w:val="0"/>
        <w:kinsoku/>
        <w:wordWrap/>
        <w:overflowPunct/>
        <w:topLinePunct w:val="0"/>
        <w:autoSpaceDE/>
        <w:autoSpaceDN/>
        <w:bidi w:val="0"/>
        <w:adjustRightInd/>
        <w:snapToGrid/>
        <w:spacing w:before="0" w:after="0" w:line="360" w:lineRule="auto"/>
        <w:ind w:left="0" w:leftChars="0" w:firstLine="0" w:firstLineChars="0"/>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b w:val="0"/>
          <w:bCs w:val="0"/>
          <w:i w:val="0"/>
          <w:iCs w:val="0"/>
          <w:kern w:val="2"/>
          <w:sz w:val="24"/>
          <w:szCs w:val="24"/>
          <w:lang w:val="en-US" w:eastAsia="zh-CN" w:bidi="ar-SA"/>
        </w:rPr>
        <w:t>[4] B. Al Homssi, K. S. Akyildiz and S. Al Ahdab, "Internet of Space Things: Interference Modeling and Performance Analysis," IEEE Transactions on Wireless Communications, vol. 21, no. 6, pp. 4215-4228, 2022.</w:t>
      </w:r>
    </w:p>
    <w:p w14:paraId="2CDADB0A">
      <w:pPr>
        <w:keepNext w:val="0"/>
        <w:keepLines w:val="0"/>
        <w:pageBreakBefore w:val="0"/>
        <w:widowControl w:val="0"/>
        <w:kinsoku/>
        <w:wordWrap/>
        <w:overflowPunct/>
        <w:topLinePunct w:val="0"/>
        <w:autoSpaceDE/>
        <w:autoSpaceDN/>
        <w:bidi w:val="0"/>
        <w:adjustRightInd/>
        <w:snapToGrid/>
        <w:spacing w:before="0" w:after="0" w:line="360" w:lineRule="auto"/>
        <w:ind w:left="0" w:leftChars="0" w:firstLine="0" w:firstLineChars="0"/>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b w:val="0"/>
          <w:bCs w:val="0"/>
          <w:i w:val="0"/>
          <w:iCs w:val="0"/>
          <w:kern w:val="2"/>
          <w:sz w:val="24"/>
          <w:szCs w:val="24"/>
          <w:lang w:val="en-US" w:eastAsia="zh-CN" w:bidi="ar-SA"/>
        </w:rPr>
        <w:t>[5] Z. Jia, M. Sheng, J. Li, D. Niyato and Z. Han, "LEO Satellite-Assisted Emergency Communications: Architecture, Key Techniques, and Future Directions," IEEE Wireless Communications, vol. 30, no. 4, pp. 88-95, 2023.</w:t>
      </w:r>
    </w:p>
    <w:p w14:paraId="6BB0D0BC">
      <w:pPr>
        <w:keepNext w:val="0"/>
        <w:keepLines w:val="0"/>
        <w:pageBreakBefore w:val="0"/>
        <w:widowControl w:val="0"/>
        <w:kinsoku/>
        <w:wordWrap/>
        <w:overflowPunct/>
        <w:topLinePunct w:val="0"/>
        <w:autoSpaceDE/>
        <w:autoSpaceDN/>
        <w:bidi w:val="0"/>
        <w:adjustRightInd/>
        <w:snapToGrid/>
        <w:spacing w:before="0" w:after="0" w:line="360" w:lineRule="auto"/>
        <w:ind w:left="0" w:leftChars="0" w:firstLine="0" w:firstLineChars="0"/>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b w:val="0"/>
          <w:bCs w:val="0"/>
          <w:i w:val="0"/>
          <w:iCs w:val="0"/>
          <w:kern w:val="2"/>
          <w:sz w:val="24"/>
          <w:szCs w:val="24"/>
          <w:lang w:val="en-US" w:eastAsia="zh-CN" w:bidi="ar-SA"/>
        </w:rPr>
        <w:t>[6] J. Liu, Y. Shi, Z. M. Fadlullah and N. Kato, "Space-Air-Ground Integrated Network: A Survey," IEEE Communications Surveys &amp; Tutorials, vol. 20, no. 4, pp. 2714-2741, 2018.</w:t>
      </w:r>
    </w:p>
    <w:p w14:paraId="663DEDC7">
      <w:pPr>
        <w:keepNext w:val="0"/>
        <w:keepLines w:val="0"/>
        <w:pageBreakBefore w:val="0"/>
        <w:widowControl w:val="0"/>
        <w:kinsoku/>
        <w:wordWrap/>
        <w:overflowPunct/>
        <w:topLinePunct w:val="0"/>
        <w:autoSpaceDE/>
        <w:autoSpaceDN/>
        <w:bidi w:val="0"/>
        <w:adjustRightInd/>
        <w:snapToGrid/>
        <w:spacing w:before="0" w:after="0" w:line="360" w:lineRule="auto"/>
        <w:ind w:left="0" w:leftChars="0" w:firstLine="0" w:firstLineChars="0"/>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b w:val="0"/>
          <w:bCs w:val="0"/>
          <w:i w:val="0"/>
          <w:iCs w:val="0"/>
          <w:kern w:val="2"/>
          <w:sz w:val="24"/>
          <w:szCs w:val="24"/>
          <w:lang w:val="en-US" w:eastAsia="zh-CN" w:bidi="ar-SA"/>
        </w:rPr>
        <w:t>[7] Y. Zou, J. Zhu, L. Yang and Y.-C. Liang, "Secrecy Outage Analysis of Non-Orthogonal Multiple Access With Relay Selection Scheme," IEEE Transactions on Communications, vol. 70, no. 3, pp. 1821-1833, 2022.</w:t>
      </w:r>
    </w:p>
    <w:p w14:paraId="79E8533B">
      <w:pPr>
        <w:keepNext w:val="0"/>
        <w:keepLines w:val="0"/>
        <w:pageBreakBefore w:val="0"/>
        <w:widowControl w:val="0"/>
        <w:kinsoku/>
        <w:wordWrap/>
        <w:overflowPunct/>
        <w:topLinePunct w:val="0"/>
        <w:autoSpaceDE/>
        <w:autoSpaceDN/>
        <w:bidi w:val="0"/>
        <w:adjustRightInd/>
        <w:snapToGrid/>
        <w:spacing w:before="0" w:after="0" w:line="360" w:lineRule="auto"/>
        <w:ind w:left="0" w:leftChars="0" w:firstLine="0" w:firstLineChars="0"/>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b w:val="0"/>
          <w:bCs w:val="0"/>
          <w:i w:val="0"/>
          <w:iCs w:val="0"/>
          <w:kern w:val="2"/>
          <w:sz w:val="24"/>
          <w:szCs w:val="24"/>
          <w:lang w:val="en-US" w:eastAsia="zh-CN" w:bidi="ar-SA"/>
        </w:rPr>
        <w:t>[8] H. Wang, X. Zhang and M. C. Gursoy, "Secrecy Outage Analysis for Wireless Networks With Randomly Distributed Eavesdroppers," IEEE Transactions on Information Forensics and Security, vol. 18, pp. 1395-1409, 2023.</w:t>
      </w:r>
    </w:p>
    <w:p w14:paraId="79DBE1EA">
      <w:pPr>
        <w:keepNext w:val="0"/>
        <w:keepLines w:val="0"/>
        <w:pageBreakBefore w:val="0"/>
        <w:widowControl w:val="0"/>
        <w:kinsoku/>
        <w:wordWrap/>
        <w:overflowPunct/>
        <w:topLinePunct w:val="0"/>
        <w:autoSpaceDE/>
        <w:autoSpaceDN/>
        <w:bidi w:val="0"/>
        <w:adjustRightInd/>
        <w:snapToGrid/>
        <w:spacing w:before="0" w:after="0" w:line="360" w:lineRule="auto"/>
        <w:ind w:left="0" w:leftChars="0" w:firstLine="0" w:firstLineChars="0"/>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b w:val="0"/>
          <w:bCs w:val="0"/>
          <w:i w:val="0"/>
          <w:iCs w:val="0"/>
          <w:kern w:val="2"/>
          <w:sz w:val="24"/>
          <w:szCs w:val="24"/>
          <w:lang w:val="en-US" w:eastAsia="zh-CN" w:bidi="ar-SA"/>
        </w:rPr>
        <w:t>[9] X. Jiang, H. Lin, X. Chen, J. Tang and X. Wang, "Random Eavesdropper Networks: A Stochastic Geometry Approach," IEEE Transactions on Information Forensics and Security, vol. 17, pp. 1890-1903, 2022.</w:t>
      </w:r>
    </w:p>
    <w:p w14:paraId="0E2B47DC">
      <w:pPr>
        <w:keepNext w:val="0"/>
        <w:keepLines w:val="0"/>
        <w:pageBreakBefore w:val="0"/>
        <w:widowControl w:val="0"/>
        <w:kinsoku/>
        <w:wordWrap/>
        <w:overflowPunct/>
        <w:topLinePunct w:val="0"/>
        <w:autoSpaceDE/>
        <w:autoSpaceDN/>
        <w:bidi w:val="0"/>
        <w:adjustRightInd/>
        <w:snapToGrid/>
        <w:spacing w:before="0" w:after="0" w:line="360" w:lineRule="auto"/>
        <w:ind w:left="0" w:leftChars="0" w:firstLine="0" w:firstLineChars="0"/>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b w:val="0"/>
          <w:bCs w:val="0"/>
          <w:i w:val="0"/>
          <w:iCs w:val="0"/>
          <w:kern w:val="2"/>
          <w:sz w:val="24"/>
          <w:szCs w:val="24"/>
          <w:lang w:val="en-US" w:eastAsia="zh-CN" w:bidi="ar-SA"/>
        </w:rPr>
        <w:t>[10] Z. Liu, H. Lin and Y. Liu, "Random Eavesdropper Analysis in Millimeter-Wave Satellite Networks Using Stochastic Geometry," IEEE Transactions on Communications, vol. 71, no. 5, pp. 3100-3114, 2023.</w:t>
      </w:r>
    </w:p>
    <w:p w14:paraId="404B8ADA">
      <w:pPr>
        <w:keepNext w:val="0"/>
        <w:keepLines w:val="0"/>
        <w:pageBreakBefore w:val="0"/>
        <w:widowControl w:val="0"/>
        <w:kinsoku/>
        <w:wordWrap/>
        <w:overflowPunct/>
        <w:topLinePunct w:val="0"/>
        <w:autoSpaceDE/>
        <w:autoSpaceDN/>
        <w:bidi w:val="0"/>
        <w:adjustRightInd/>
        <w:snapToGrid/>
        <w:spacing w:before="0" w:after="0" w:line="360" w:lineRule="auto"/>
        <w:ind w:left="0" w:leftChars="0" w:firstLine="0" w:firstLineChars="0"/>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b w:val="0"/>
          <w:bCs w:val="0"/>
          <w:i w:val="0"/>
          <w:iCs w:val="0"/>
          <w:kern w:val="2"/>
          <w:sz w:val="24"/>
          <w:szCs w:val="24"/>
          <w:lang w:val="en-US" w:eastAsia="zh-CN" w:bidi="ar-SA"/>
        </w:rPr>
        <w:t>[11] Y. Zhang, J. Qiao, S. Jin and M. Matthaiou, "Stochastic Geometry Analysis of Satellite-Terrestrial Integrated Networks With Physical Layer Security," IEEE Journal on Selected Areas in Communications, vol. 42, no. 2, pp. 456-469, 2024.</w:t>
      </w:r>
    </w:p>
    <w:p w14:paraId="04D5C677">
      <w:pPr>
        <w:keepNext w:val="0"/>
        <w:keepLines w:val="0"/>
        <w:pageBreakBefore w:val="0"/>
        <w:widowControl w:val="0"/>
        <w:kinsoku/>
        <w:wordWrap/>
        <w:overflowPunct/>
        <w:topLinePunct w:val="0"/>
        <w:autoSpaceDE/>
        <w:autoSpaceDN/>
        <w:bidi w:val="0"/>
        <w:adjustRightInd/>
        <w:snapToGrid/>
        <w:spacing w:before="0" w:after="0" w:line="360" w:lineRule="auto"/>
        <w:ind w:left="0" w:leftChars="0" w:firstLine="0" w:firstLineChars="0"/>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b w:val="0"/>
          <w:bCs w:val="0"/>
          <w:i w:val="0"/>
          <w:iCs w:val="0"/>
          <w:kern w:val="2"/>
          <w:sz w:val="24"/>
          <w:szCs w:val="24"/>
          <w:lang w:val="en-US" w:eastAsia="zh-CN" w:bidi="ar-SA"/>
        </w:rPr>
        <w:t>[12] K. Li, W. Ni, E. Tovar and A. Jamalipour, "Poisson Cluster Process Modeling for Secure Communications in Dense LEO Satellite Networks," IEEE Transactions on Wireless Communications, vol. 23, no. 4, pp. 2789-2803, 2024.</w:t>
      </w:r>
    </w:p>
    <w:p w14:paraId="2E55347A">
      <w:pPr>
        <w:keepNext w:val="0"/>
        <w:keepLines w:val="0"/>
        <w:pageBreakBefore w:val="0"/>
        <w:widowControl w:val="0"/>
        <w:kinsoku/>
        <w:wordWrap/>
        <w:overflowPunct/>
        <w:topLinePunct w:val="0"/>
        <w:autoSpaceDE/>
        <w:autoSpaceDN/>
        <w:bidi w:val="0"/>
        <w:adjustRightInd/>
        <w:snapToGrid/>
        <w:spacing w:before="0" w:after="0" w:line="360" w:lineRule="auto"/>
        <w:ind w:left="0" w:leftChars="0" w:firstLine="0" w:firstLineChars="0"/>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b w:val="0"/>
          <w:bCs w:val="0"/>
          <w:i w:val="0"/>
          <w:iCs w:val="0"/>
          <w:kern w:val="2"/>
          <w:sz w:val="24"/>
          <w:szCs w:val="24"/>
          <w:lang w:val="en-US" w:eastAsia="zh-CN" w:bidi="ar-SA"/>
        </w:rPr>
        <w:t>[13] S. Yang, M. Peng and X. Cao, "Secure Connectivity Analysis for Random Wireless Networks With Channel Aging," IEEE Wireless Communications Letters, vol. 13, no. 2, pp. 445-449, 2024.</w:t>
      </w:r>
    </w:p>
    <w:p w14:paraId="572A89FD">
      <w:pPr>
        <w:keepNext w:val="0"/>
        <w:keepLines w:val="0"/>
        <w:pageBreakBefore w:val="0"/>
        <w:widowControl w:val="0"/>
        <w:kinsoku/>
        <w:wordWrap/>
        <w:overflowPunct/>
        <w:topLinePunct w:val="0"/>
        <w:autoSpaceDE/>
        <w:autoSpaceDN/>
        <w:bidi w:val="0"/>
        <w:adjustRightInd/>
        <w:snapToGrid/>
        <w:spacing w:before="0" w:after="0" w:line="360" w:lineRule="auto"/>
        <w:ind w:left="0" w:leftChars="0" w:firstLine="0" w:firstLineChars="0"/>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b w:val="0"/>
          <w:bCs w:val="0"/>
          <w:i w:val="0"/>
          <w:iCs w:val="0"/>
          <w:kern w:val="2"/>
          <w:sz w:val="24"/>
          <w:szCs w:val="24"/>
          <w:lang w:val="en-US" w:eastAsia="zh-CN" w:bidi="ar-SA"/>
        </w:rPr>
        <w:t>[14] W. Chen, B. Zheng and X. Wang, "Three-Dimensional Network Modeling for Secure Space-Air-Ground Integrated Systems," IEEE Transactions on Information Forensics and Security, vol. 17, pp. 2890-2903, 2022.</w:t>
      </w:r>
    </w:p>
    <w:p w14:paraId="3E689104">
      <w:pPr>
        <w:keepNext w:val="0"/>
        <w:keepLines w:val="0"/>
        <w:pageBreakBefore w:val="0"/>
        <w:widowControl w:val="0"/>
        <w:kinsoku/>
        <w:wordWrap/>
        <w:overflowPunct/>
        <w:topLinePunct w:val="0"/>
        <w:autoSpaceDE/>
        <w:autoSpaceDN/>
        <w:bidi w:val="0"/>
        <w:adjustRightInd/>
        <w:snapToGrid/>
        <w:spacing w:before="0" w:after="0" w:line="360" w:lineRule="auto"/>
        <w:ind w:left="0" w:leftChars="0" w:firstLine="0" w:firstLineChars="0"/>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b w:val="0"/>
          <w:bCs w:val="0"/>
          <w:i w:val="0"/>
          <w:iCs w:val="0"/>
          <w:kern w:val="2"/>
          <w:sz w:val="24"/>
          <w:szCs w:val="24"/>
          <w:lang w:val="en-US" w:eastAsia="zh-CN" w:bidi="ar-SA"/>
        </w:rPr>
        <w:t>[15] F. Sun, Y. Zhang, J. Li and Y. Wang, "Zero-Forcing Precoding Design for Multi-Beam Satellite Systems With Physical Layer Security," IEEE Transactions on Aerospace and Electronic Systems, vol. 59, no. 5, pp. 6678-6692, 2023.</w:t>
      </w:r>
    </w:p>
    <w:p w14:paraId="254A5956">
      <w:pPr>
        <w:keepNext w:val="0"/>
        <w:keepLines w:val="0"/>
        <w:pageBreakBefore w:val="0"/>
        <w:widowControl w:val="0"/>
        <w:kinsoku/>
        <w:wordWrap/>
        <w:overflowPunct/>
        <w:topLinePunct w:val="0"/>
        <w:autoSpaceDE/>
        <w:autoSpaceDN/>
        <w:bidi w:val="0"/>
        <w:adjustRightInd/>
        <w:snapToGrid/>
        <w:spacing w:before="0" w:after="0" w:line="360" w:lineRule="auto"/>
        <w:ind w:left="0" w:leftChars="0" w:firstLine="0" w:firstLineChars="0"/>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b w:val="0"/>
          <w:bCs w:val="0"/>
          <w:i w:val="0"/>
          <w:iCs w:val="0"/>
          <w:kern w:val="2"/>
          <w:sz w:val="24"/>
          <w:szCs w:val="24"/>
          <w:lang w:val="en-US" w:eastAsia="zh-CN" w:bidi="ar-SA"/>
        </w:rPr>
        <w:t>[16] H. Wu, X. Li and Y. Liu, "Maximal Ratio Transmission for Secure LEO Satellite Communications With Imperfect CSI," IEEE Communications Letters, vol. 26, no. 8, pp. 1890-1894, 2022.</w:t>
      </w:r>
    </w:p>
    <w:p w14:paraId="684EC490">
      <w:pPr>
        <w:keepNext w:val="0"/>
        <w:keepLines w:val="0"/>
        <w:pageBreakBefore w:val="0"/>
        <w:widowControl w:val="0"/>
        <w:kinsoku/>
        <w:wordWrap/>
        <w:overflowPunct/>
        <w:topLinePunct w:val="0"/>
        <w:autoSpaceDE/>
        <w:autoSpaceDN/>
        <w:bidi w:val="0"/>
        <w:adjustRightInd/>
        <w:snapToGrid/>
        <w:spacing w:before="0" w:after="0" w:line="360" w:lineRule="auto"/>
        <w:ind w:left="0" w:leftChars="0" w:firstLine="0" w:firstLineChars="0"/>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b w:val="0"/>
          <w:bCs w:val="0"/>
          <w:i w:val="0"/>
          <w:iCs w:val="0"/>
          <w:kern w:val="2"/>
          <w:sz w:val="24"/>
          <w:szCs w:val="24"/>
          <w:lang w:val="en-US" w:eastAsia="zh-CN" w:bidi="ar-SA"/>
        </w:rPr>
        <w:t>[17] Y. Zhao, Z. Zhang, W. Chen and X. Li, "Regularized Zero-Forcing Precoding for Physical Layer Security in Satellite Networks," IEEE Transactions on Signal Processing, vol. 72, pp. 1123-1137, 2024.</w:t>
      </w:r>
    </w:p>
    <w:p w14:paraId="661B17D0">
      <w:pPr>
        <w:keepNext w:val="0"/>
        <w:keepLines w:val="0"/>
        <w:pageBreakBefore w:val="0"/>
        <w:widowControl w:val="0"/>
        <w:kinsoku/>
        <w:wordWrap/>
        <w:overflowPunct/>
        <w:topLinePunct w:val="0"/>
        <w:autoSpaceDE/>
        <w:autoSpaceDN/>
        <w:bidi w:val="0"/>
        <w:adjustRightInd/>
        <w:snapToGrid/>
        <w:spacing w:before="0" w:after="0" w:line="360" w:lineRule="auto"/>
        <w:ind w:left="0" w:leftChars="0" w:firstLine="0" w:firstLineChars="0"/>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b w:val="0"/>
          <w:bCs w:val="0"/>
          <w:i w:val="0"/>
          <w:iCs w:val="0"/>
          <w:kern w:val="2"/>
          <w:sz w:val="24"/>
          <w:szCs w:val="24"/>
          <w:lang w:val="en-US" w:eastAsia="zh-CN" w:bidi="ar-SA"/>
        </w:rPr>
        <w:t>[18] J. Huang, L. Yang, Q. Wu and Q. Shi, "Robust Beamforming Design for Secure Satellite Communications Against Random Eavesdroppers," IEEE Transactions on Wireless Communications, vol. 22, no. 11, pp. 8345-8360, 2023.</w:t>
      </w:r>
    </w:p>
    <w:p w14:paraId="00856A48">
      <w:pPr>
        <w:keepNext w:val="0"/>
        <w:keepLines w:val="0"/>
        <w:pageBreakBefore w:val="0"/>
        <w:widowControl w:val="0"/>
        <w:kinsoku/>
        <w:wordWrap/>
        <w:overflowPunct/>
        <w:topLinePunct w:val="0"/>
        <w:autoSpaceDE/>
        <w:autoSpaceDN/>
        <w:bidi w:val="0"/>
        <w:adjustRightInd/>
        <w:snapToGrid/>
        <w:spacing w:before="0" w:after="0" w:line="360" w:lineRule="auto"/>
        <w:ind w:left="0" w:leftChars="0" w:firstLine="0" w:firstLineChars="0"/>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b w:val="0"/>
          <w:bCs w:val="0"/>
          <w:i w:val="0"/>
          <w:iCs w:val="0"/>
          <w:kern w:val="2"/>
          <w:sz w:val="24"/>
          <w:szCs w:val="24"/>
          <w:lang w:val="en-US" w:eastAsia="zh-CN" w:bidi="ar-SA"/>
        </w:rPr>
        <w:t>[19] M. Xu, F. Ji, Y. Huang and M. Wen, "Linear Precoding With Artificial Noise for Secure Satellite Multicast Transmissions," IEEE Transactions on Information Forensics and Security, vol. 19, pp. 2234-2248, 2024.</w:t>
      </w:r>
    </w:p>
    <w:p w14:paraId="7CFAD525">
      <w:pPr>
        <w:keepNext w:val="0"/>
        <w:keepLines w:val="0"/>
        <w:pageBreakBefore w:val="0"/>
        <w:widowControl w:val="0"/>
        <w:kinsoku/>
        <w:wordWrap/>
        <w:overflowPunct/>
        <w:topLinePunct w:val="0"/>
        <w:autoSpaceDE/>
        <w:autoSpaceDN/>
        <w:bidi w:val="0"/>
        <w:adjustRightInd/>
        <w:snapToGrid/>
        <w:spacing w:before="0" w:after="0" w:line="360" w:lineRule="auto"/>
        <w:ind w:left="0" w:leftChars="0" w:firstLine="0" w:firstLineChars="0"/>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b w:val="0"/>
          <w:bCs w:val="0"/>
          <w:i w:val="0"/>
          <w:iCs w:val="0"/>
          <w:kern w:val="2"/>
          <w:sz w:val="24"/>
          <w:szCs w:val="24"/>
          <w:lang w:val="en-US" w:eastAsia="zh-CN" w:bidi="ar-SA"/>
        </w:rPr>
        <w:t>[20] Z. Li, W. Wang, R. Zhao and Q. Liu, "Low-Complexity Linear Precoding Algorithms for Secure Massive MIMO Satellite Systems," IEEE Signal Processing Letters, vol. 30, pp. 1567-1571, 2023.</w:t>
      </w:r>
    </w:p>
    <w:p w14:paraId="23EB2F5D">
      <w:pPr>
        <w:keepNext w:val="0"/>
        <w:keepLines w:val="0"/>
        <w:pageBreakBefore w:val="0"/>
        <w:widowControl w:val="0"/>
        <w:kinsoku/>
        <w:wordWrap/>
        <w:overflowPunct/>
        <w:topLinePunct w:val="0"/>
        <w:autoSpaceDE/>
        <w:autoSpaceDN/>
        <w:bidi w:val="0"/>
        <w:adjustRightInd/>
        <w:snapToGrid/>
        <w:spacing w:before="0" w:after="0" w:line="360" w:lineRule="auto"/>
        <w:ind w:left="0" w:leftChars="0" w:firstLine="0" w:firstLineChars="0"/>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b w:val="0"/>
          <w:bCs w:val="0"/>
          <w:i w:val="0"/>
          <w:iCs w:val="0"/>
          <w:kern w:val="2"/>
          <w:sz w:val="24"/>
          <w:szCs w:val="24"/>
          <w:lang w:val="en-US" w:eastAsia="zh-CN" w:bidi="ar-SA"/>
        </w:rPr>
        <w:t>[21] S. Wang, Y. Ye, X. Gao and X. You, "Hybrid Precoding Architecture for Secure Transmissions in LEO Satellite Mega-Constellations," IEEE Transactions on Communications, vol. 72, no. 3, pp. 1890-1903, 2024.</w:t>
      </w:r>
    </w:p>
    <w:p w14:paraId="1A29EB9C">
      <w:pPr>
        <w:keepNext w:val="0"/>
        <w:keepLines w:val="0"/>
        <w:pageBreakBefore w:val="0"/>
        <w:widowControl w:val="0"/>
        <w:kinsoku/>
        <w:wordWrap/>
        <w:overflowPunct/>
        <w:topLinePunct w:val="0"/>
        <w:autoSpaceDE/>
        <w:autoSpaceDN/>
        <w:bidi w:val="0"/>
        <w:adjustRightInd/>
        <w:snapToGrid/>
        <w:spacing w:before="0" w:after="0" w:line="360" w:lineRule="auto"/>
        <w:ind w:left="0" w:leftChars="0" w:firstLine="0" w:firstLineChars="0"/>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b w:val="0"/>
          <w:bCs w:val="0"/>
          <w:i w:val="0"/>
          <w:iCs w:val="0"/>
          <w:kern w:val="2"/>
          <w:sz w:val="24"/>
          <w:szCs w:val="24"/>
          <w:lang w:val="en-US" w:eastAsia="zh-CN" w:bidi="ar-SA"/>
        </w:rPr>
        <w:t>[22] J. Liu, Y. Zou, S. Sun and N. Wang, "Physical Layer Security in Low Earth Orbit Satellite Networks: A Comprehensive Survey," IEEE Communications Surveys &amp; Tutorials, vol. 26, no. 2, pp. 1156-1190, 2024.</w:t>
      </w:r>
    </w:p>
    <w:p w14:paraId="75BAFD54">
      <w:pPr>
        <w:keepNext w:val="0"/>
        <w:keepLines w:val="0"/>
        <w:pageBreakBefore w:val="0"/>
        <w:widowControl w:val="0"/>
        <w:kinsoku/>
        <w:wordWrap/>
        <w:overflowPunct/>
        <w:topLinePunct w:val="0"/>
        <w:autoSpaceDE/>
        <w:autoSpaceDN/>
        <w:bidi w:val="0"/>
        <w:adjustRightInd/>
        <w:snapToGrid/>
        <w:spacing w:before="0" w:after="0" w:line="360" w:lineRule="auto"/>
        <w:ind w:left="0" w:leftChars="0" w:firstLine="0" w:firstLineChars="0"/>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b w:val="0"/>
          <w:bCs w:val="0"/>
          <w:i w:val="0"/>
          <w:iCs w:val="0"/>
          <w:kern w:val="2"/>
          <w:sz w:val="24"/>
          <w:szCs w:val="24"/>
          <w:lang w:val="en-US" w:eastAsia="zh-CN" w:bidi="ar-SA"/>
        </w:rPr>
        <w:t>[23] W. Zhang, H. Lin, J. Chen and L. Yang, "Secure Transmission Strategies for Mega-Constellation Satellite Systems Against Eavesdropping," IEEE Transactions on Wireless Communications, vol. 22, no. 8, pp. 5567-5580, 2023.</w:t>
      </w:r>
    </w:p>
    <w:p w14:paraId="594B46A9">
      <w:pPr>
        <w:keepNext w:val="0"/>
        <w:keepLines w:val="0"/>
        <w:pageBreakBefore w:val="0"/>
        <w:widowControl w:val="0"/>
        <w:kinsoku/>
        <w:wordWrap/>
        <w:overflowPunct/>
        <w:topLinePunct w:val="0"/>
        <w:autoSpaceDE/>
        <w:autoSpaceDN/>
        <w:bidi w:val="0"/>
        <w:adjustRightInd/>
        <w:snapToGrid/>
        <w:spacing w:before="0" w:after="0" w:line="360" w:lineRule="auto"/>
        <w:ind w:left="0" w:leftChars="0" w:firstLine="0" w:firstLineChars="0"/>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b w:val="0"/>
          <w:bCs w:val="0"/>
          <w:i w:val="0"/>
          <w:iCs w:val="0"/>
          <w:kern w:val="2"/>
          <w:sz w:val="24"/>
          <w:szCs w:val="24"/>
          <w:lang w:val="en-US" w:eastAsia="zh-CN" w:bidi="ar-SA"/>
        </w:rPr>
        <w:t>[24] L. Chen, X. Wang, Y. Liu and Z. Ding, "Anti-Eavesdropping Beamforming Design for Cognitive LEO Satellite Networks," IEEE Transactions on Information Forensics and Security, vol. 19, pp. 1123-1138, 2024.</w:t>
      </w:r>
    </w:p>
    <w:p w14:paraId="1D9C5E91">
      <w:pPr>
        <w:keepNext w:val="0"/>
        <w:keepLines w:val="0"/>
        <w:pageBreakBefore w:val="0"/>
        <w:widowControl w:val="0"/>
        <w:kinsoku/>
        <w:wordWrap/>
        <w:overflowPunct/>
        <w:topLinePunct w:val="0"/>
        <w:autoSpaceDE/>
        <w:autoSpaceDN/>
        <w:bidi w:val="0"/>
        <w:adjustRightInd/>
        <w:snapToGrid/>
        <w:spacing w:before="0" w:after="0" w:line="360" w:lineRule="auto"/>
        <w:ind w:left="0" w:leftChars="0" w:firstLine="0" w:firstLineChars="0"/>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b w:val="0"/>
          <w:bCs w:val="0"/>
          <w:i w:val="0"/>
          <w:iCs w:val="0"/>
          <w:kern w:val="2"/>
          <w:sz w:val="24"/>
          <w:szCs w:val="24"/>
          <w:lang w:val="en-US" w:eastAsia="zh-CN" w:bidi="ar-SA"/>
        </w:rPr>
        <w:t>[25] P. Wang, Y. Li, Z. Ding and J. Song, "Cooperative Jamming for Physical Layer Security in Multi-Satellite Systems," IEEE Journal on Selected Areas in Communications, vol. 40, no. 10, pp. 2890-2903, 2022.</w:t>
      </w:r>
    </w:p>
    <w:p w14:paraId="18A50250">
      <w:pPr>
        <w:keepNext w:val="0"/>
        <w:keepLines w:val="0"/>
        <w:pageBreakBefore w:val="0"/>
        <w:widowControl w:val="0"/>
        <w:kinsoku/>
        <w:wordWrap/>
        <w:overflowPunct/>
        <w:topLinePunct w:val="0"/>
        <w:autoSpaceDE/>
        <w:autoSpaceDN/>
        <w:bidi w:val="0"/>
        <w:adjustRightInd/>
        <w:snapToGrid/>
        <w:spacing w:before="0" w:after="0" w:line="360" w:lineRule="auto"/>
        <w:ind w:left="0" w:leftChars="0" w:firstLine="0" w:firstLineChars="0"/>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b w:val="0"/>
          <w:bCs w:val="0"/>
          <w:i w:val="0"/>
          <w:iCs w:val="0"/>
          <w:kern w:val="2"/>
          <w:sz w:val="24"/>
          <w:szCs w:val="24"/>
          <w:lang w:val="en-US" w:eastAsia="zh-CN" w:bidi="ar-SA"/>
        </w:rPr>
        <w:t>[26] H. Li, X. Chen, M. Wen and Y. Liu, "Secure Beamforming for Low Earth Orbit Satellite Communications With QoS Constraints," IEEE Transactions on Aerospace and Electronic Systems, vol. 59, no. 4, pp. 4456-4470, 2023.</w:t>
      </w:r>
    </w:p>
    <w:p w14:paraId="29B4D804">
      <w:pPr>
        <w:keepNext w:val="0"/>
        <w:keepLines w:val="0"/>
        <w:pageBreakBefore w:val="0"/>
        <w:widowControl w:val="0"/>
        <w:kinsoku/>
        <w:wordWrap/>
        <w:overflowPunct/>
        <w:topLinePunct w:val="0"/>
        <w:autoSpaceDE/>
        <w:autoSpaceDN/>
        <w:bidi w:val="0"/>
        <w:adjustRightInd/>
        <w:snapToGrid/>
        <w:spacing w:before="0" w:after="0" w:line="360" w:lineRule="auto"/>
        <w:ind w:left="0" w:leftChars="0" w:firstLine="0" w:firstLineChars="0"/>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b w:val="0"/>
          <w:bCs w:val="0"/>
          <w:i w:val="0"/>
          <w:iCs w:val="0"/>
          <w:kern w:val="2"/>
          <w:sz w:val="24"/>
          <w:szCs w:val="24"/>
          <w:lang w:val="en-US" w:eastAsia="zh-CN" w:bidi="ar-SA"/>
        </w:rPr>
        <w:t>[27] Y. Yang, J. Kang and K.-K. Wong, "Secure LEO Communications for 6G Integrated Satellite-Terrestrial Networks," IEEE Wireless Communications, vol. 31, no. 1, pp. 112-119, 2024.</w:t>
      </w:r>
    </w:p>
    <w:p w14:paraId="0356561C">
      <w:pPr>
        <w:keepNext w:val="0"/>
        <w:keepLines w:val="0"/>
        <w:pageBreakBefore w:val="0"/>
        <w:widowControl w:val="0"/>
        <w:kinsoku/>
        <w:wordWrap/>
        <w:overflowPunct/>
        <w:topLinePunct w:val="0"/>
        <w:autoSpaceDE/>
        <w:autoSpaceDN/>
        <w:bidi w:val="0"/>
        <w:adjustRightInd/>
        <w:snapToGrid/>
        <w:spacing w:before="0" w:after="0" w:line="360" w:lineRule="auto"/>
        <w:ind w:left="0" w:leftChars="0" w:firstLine="0" w:firstLineChars="0"/>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b w:val="0"/>
          <w:bCs w:val="0"/>
          <w:i w:val="0"/>
          <w:iCs w:val="0"/>
          <w:kern w:val="2"/>
          <w:sz w:val="24"/>
          <w:szCs w:val="24"/>
          <w:lang w:val="en-US" w:eastAsia="zh-CN" w:bidi="ar-SA"/>
        </w:rPr>
        <w:t>[28] Z. Zhao, L. Li, X. Wang and S. Chen, "Eavesdropping Risk Analysis and Countermeasures in Dense Satellite Networks," IEEE Transactions on Communications, vol. 72, no. 5, pp. 3123-3137, 2024.</w:t>
      </w:r>
    </w:p>
    <w:p w14:paraId="3D1E4587">
      <w:pPr>
        <w:keepNext w:val="0"/>
        <w:keepLines w:val="0"/>
        <w:pageBreakBefore w:val="0"/>
        <w:widowControl w:val="0"/>
        <w:kinsoku/>
        <w:wordWrap/>
        <w:overflowPunct/>
        <w:topLinePunct w:val="0"/>
        <w:autoSpaceDE/>
        <w:autoSpaceDN/>
        <w:bidi w:val="0"/>
        <w:adjustRightInd/>
        <w:snapToGrid/>
        <w:spacing w:before="0" w:after="0" w:line="360" w:lineRule="auto"/>
        <w:ind w:left="0" w:leftChars="0" w:firstLine="0" w:firstLineChars="0"/>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b w:val="0"/>
          <w:bCs w:val="0"/>
          <w:i w:val="0"/>
          <w:iCs w:val="0"/>
          <w:kern w:val="2"/>
          <w:sz w:val="24"/>
          <w:szCs w:val="24"/>
          <w:lang w:val="en-US" w:eastAsia="zh-CN" w:bidi="ar-SA"/>
        </w:rPr>
        <w:t>[29] X. Xu, Y. Shen, X. Jiang and X. Wang, "Secrecy Outage Probability Analysis for Random Eavesdropping in LEO Satellite Networks," IEEE Wireless Communications Letters, vol. 12, no. 9, pp. 1567-1571, 2023.</w:t>
      </w:r>
    </w:p>
    <w:p w14:paraId="0B1F14DA">
      <w:pPr>
        <w:keepNext w:val="0"/>
        <w:keepLines w:val="0"/>
        <w:pageBreakBefore w:val="0"/>
        <w:widowControl w:val="0"/>
        <w:kinsoku/>
        <w:wordWrap/>
        <w:overflowPunct/>
        <w:topLinePunct w:val="0"/>
        <w:autoSpaceDE/>
        <w:autoSpaceDN/>
        <w:bidi w:val="0"/>
        <w:adjustRightInd/>
        <w:snapToGrid/>
        <w:spacing w:before="0" w:after="0" w:line="360" w:lineRule="auto"/>
        <w:ind w:left="0" w:leftChars="0" w:firstLine="0" w:firstLineChars="0"/>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b w:val="0"/>
          <w:bCs w:val="0"/>
          <w:i w:val="0"/>
          <w:iCs w:val="0"/>
          <w:kern w:val="2"/>
          <w:sz w:val="24"/>
          <w:szCs w:val="24"/>
          <w:lang w:val="en-US" w:eastAsia="zh-CN" w:bidi="ar-SA"/>
        </w:rPr>
        <w:t>[30] S. Wang, Y. Wu, M. Xia and L. Hanzo, "Semidefinite Relaxation for Secure Wireless Communications: From Theory to Application," IEEE Transactions on Signal Processing, vol. 71, pp. 3345-3360, 2023.</w:t>
      </w:r>
    </w:p>
    <w:p w14:paraId="48FA2A94">
      <w:pPr>
        <w:keepNext w:val="0"/>
        <w:keepLines w:val="0"/>
        <w:pageBreakBefore w:val="0"/>
        <w:widowControl w:val="0"/>
        <w:kinsoku/>
        <w:wordWrap/>
        <w:overflowPunct/>
        <w:topLinePunct w:val="0"/>
        <w:autoSpaceDE/>
        <w:autoSpaceDN/>
        <w:bidi w:val="0"/>
        <w:adjustRightInd/>
        <w:snapToGrid/>
        <w:spacing w:before="0" w:after="0" w:line="360" w:lineRule="auto"/>
        <w:ind w:left="0" w:leftChars="0" w:firstLine="0" w:firstLineChars="0"/>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b w:val="0"/>
          <w:bCs w:val="0"/>
          <w:i w:val="0"/>
          <w:iCs w:val="0"/>
          <w:kern w:val="2"/>
          <w:sz w:val="24"/>
          <w:szCs w:val="24"/>
          <w:lang w:val="en-US" w:eastAsia="zh-CN" w:bidi="ar-SA"/>
        </w:rPr>
        <w:t>[31] T. Liu, Y. Xu and Q. Shi, "SOCP Formulation for Robust Secure Beamforming in Satellite Systems With Probabilistic Constraints," IEEE Transactions on Wireless Communications, vol. 23, no. 4, pp. 2789-2803, 2024.</w:t>
      </w:r>
    </w:p>
    <w:p w14:paraId="1FBA1544">
      <w:pPr>
        <w:keepNext w:val="0"/>
        <w:keepLines w:val="0"/>
        <w:pageBreakBefore w:val="0"/>
        <w:widowControl w:val="0"/>
        <w:kinsoku/>
        <w:wordWrap/>
        <w:overflowPunct/>
        <w:topLinePunct w:val="0"/>
        <w:autoSpaceDE/>
        <w:autoSpaceDN/>
        <w:bidi w:val="0"/>
        <w:adjustRightInd/>
        <w:snapToGrid/>
        <w:spacing w:before="0" w:after="0" w:line="360" w:lineRule="auto"/>
        <w:ind w:left="0" w:leftChars="0" w:firstLine="0" w:firstLineChars="0"/>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b w:val="0"/>
          <w:bCs w:val="0"/>
          <w:i w:val="0"/>
          <w:iCs w:val="0"/>
          <w:kern w:val="2"/>
          <w:sz w:val="24"/>
          <w:szCs w:val="24"/>
          <w:lang w:val="en-US" w:eastAsia="zh-CN" w:bidi="ar-SA"/>
        </w:rPr>
        <w:t>[32] R. Zhang, X. Lu, J. Liu and Y. Liu, "Robust Optimization Framework for Secure Satellite Communications Under Channel Uncertainty," IEEE Transactions on Aerospace and Electronic Systems, vol. 59, no. 6, pp. 8890-8904, 2023.</w:t>
      </w:r>
    </w:p>
    <w:p w14:paraId="7021936D">
      <w:pPr>
        <w:keepNext w:val="0"/>
        <w:keepLines w:val="0"/>
        <w:pageBreakBefore w:val="0"/>
        <w:widowControl w:val="0"/>
        <w:kinsoku/>
        <w:wordWrap/>
        <w:overflowPunct/>
        <w:topLinePunct w:val="0"/>
        <w:autoSpaceDE/>
        <w:autoSpaceDN/>
        <w:bidi w:val="0"/>
        <w:adjustRightInd/>
        <w:snapToGrid/>
        <w:spacing w:before="0" w:after="0" w:line="360" w:lineRule="auto"/>
        <w:ind w:left="0" w:leftChars="0" w:firstLine="0" w:firstLineChars="0"/>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b w:val="0"/>
          <w:bCs w:val="0"/>
          <w:i w:val="0"/>
          <w:iCs w:val="0"/>
          <w:kern w:val="2"/>
          <w:sz w:val="24"/>
          <w:szCs w:val="24"/>
          <w:lang w:val="en-US" w:eastAsia="zh-CN" w:bidi="ar-SA"/>
        </w:rPr>
        <w:t>[33] J. Lei, Y. Zhang, Y. Li and J. Zhang, "Onboard Secure Processing Architecture for LEO Satellites With Limited Computational Resources," IEEE Transactions on Aerospace and Electronic Systems, vol. 60, no. 4, pp. 5567-5580, 2024.</w:t>
      </w:r>
    </w:p>
    <w:p w14:paraId="272827CC">
      <w:pPr>
        <w:keepNext w:val="0"/>
        <w:keepLines w:val="0"/>
        <w:pageBreakBefore w:val="0"/>
        <w:widowControl w:val="0"/>
        <w:kinsoku/>
        <w:wordWrap/>
        <w:overflowPunct/>
        <w:topLinePunct w:val="0"/>
        <w:autoSpaceDE/>
        <w:autoSpaceDN/>
        <w:bidi w:val="0"/>
        <w:adjustRightInd/>
        <w:snapToGrid/>
        <w:spacing w:before="0" w:after="0" w:line="360" w:lineRule="auto"/>
        <w:ind w:left="0" w:leftChars="0" w:firstLine="0" w:firstLineChars="0"/>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b w:val="0"/>
          <w:bCs w:val="0"/>
          <w:i w:val="0"/>
          <w:iCs w:val="0"/>
          <w:kern w:val="2"/>
          <w:sz w:val="24"/>
          <w:szCs w:val="24"/>
          <w:lang w:val="en-US" w:eastAsia="zh-CN" w:bidi="ar-SA"/>
        </w:rPr>
        <w:t>[34] W. Gao, H. Lin, J. Zhang and Y. Zou, "Interference Management and Security Provisioning in Dense LEO Satellite Constellations," IEEE Transactions on Communications, vol. 71, no. 8, pp. 4789-4803, 2023.</w:t>
      </w:r>
    </w:p>
    <w:p w14:paraId="4F5647D8">
      <w:pPr>
        <w:keepNext w:val="0"/>
        <w:keepLines w:val="0"/>
        <w:pageBreakBefore w:val="0"/>
        <w:widowControl w:val="0"/>
        <w:kinsoku/>
        <w:wordWrap/>
        <w:overflowPunct/>
        <w:topLinePunct w:val="0"/>
        <w:autoSpaceDE/>
        <w:autoSpaceDN/>
        <w:bidi w:val="0"/>
        <w:adjustRightInd/>
        <w:snapToGrid/>
        <w:spacing w:before="0" w:after="0" w:line="360" w:lineRule="auto"/>
        <w:ind w:left="0" w:leftChars="0" w:firstLine="0" w:firstLineChars="0"/>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b w:val="0"/>
          <w:bCs w:val="0"/>
          <w:i w:val="0"/>
          <w:iCs w:val="0"/>
          <w:kern w:val="2"/>
          <w:sz w:val="24"/>
          <w:szCs w:val="24"/>
          <w:lang w:val="en-US" w:eastAsia="zh-CN" w:bidi="ar-SA"/>
        </w:rPr>
        <w:t>[35] S. Ma, X. Li, Y. Liu and N. Al-Dhahir, "Security Architecture Design for Integrated Space-Air-Ground Networks: Challenges and Solutions," IEEE Communications Surveys &amp; Tutorials, vol. 26, no. 1, pp. 521-560, 2024.</w:t>
      </w:r>
    </w:p>
    <w:p w14:paraId="60E35992">
      <w:pPr>
        <w:keepNext w:val="0"/>
        <w:keepLines w:val="0"/>
        <w:pageBreakBefore w:val="0"/>
        <w:widowControl w:val="0"/>
        <w:kinsoku/>
        <w:wordWrap/>
        <w:overflowPunct/>
        <w:topLinePunct w:val="0"/>
        <w:autoSpaceDE/>
        <w:autoSpaceDN/>
        <w:bidi w:val="0"/>
        <w:adjustRightInd/>
        <w:snapToGrid/>
        <w:spacing w:before="0" w:after="0" w:line="360" w:lineRule="auto"/>
        <w:ind w:left="0" w:leftChars="0" w:firstLine="0" w:firstLineChars="0"/>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b w:val="0"/>
          <w:bCs w:val="0"/>
          <w:i w:val="0"/>
          <w:iCs w:val="0"/>
          <w:kern w:val="2"/>
          <w:sz w:val="24"/>
          <w:szCs w:val="24"/>
          <w:lang w:val="en-US" w:eastAsia="zh-CN" w:bidi="ar-SA"/>
        </w:rPr>
        <w:t>[36] X. Sun, W. Yang, Y. Cai and B. Lyu, "Secure Transmission for LEO Satellite-Aided Communication Systems," IEEE Transactions on Information Forensics and Security, vol. 19, pp. 1123-1138, 2024.</w:t>
      </w:r>
    </w:p>
    <w:p w14:paraId="19672E2D">
      <w:pPr>
        <w:keepNext w:val="0"/>
        <w:keepLines w:val="0"/>
        <w:pageBreakBefore w:val="0"/>
        <w:widowControl w:val="0"/>
        <w:kinsoku/>
        <w:wordWrap/>
        <w:overflowPunct/>
        <w:topLinePunct w:val="0"/>
        <w:autoSpaceDE/>
        <w:autoSpaceDN/>
        <w:bidi w:val="0"/>
        <w:adjustRightInd/>
        <w:snapToGrid/>
        <w:spacing w:before="0" w:after="0" w:line="360" w:lineRule="auto"/>
        <w:ind w:left="0" w:leftChars="0" w:firstLine="0" w:firstLineChars="0"/>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b w:val="0"/>
          <w:bCs w:val="0"/>
          <w:i w:val="0"/>
          <w:iCs w:val="0"/>
          <w:kern w:val="2"/>
          <w:sz w:val="24"/>
          <w:szCs w:val="24"/>
          <w:lang w:val="en-US" w:eastAsia="zh-CN" w:bidi="ar-SA"/>
        </w:rPr>
        <w:t>[37] Y. Zhu, Y. Wang and G. Gui, "Physical Layer Authentication for LEO Satellite Communication Networks," IEEE Transactions on Information Forensics and Security, vol. 18, pp. 2345-2359, 2023.</w:t>
      </w:r>
    </w:p>
    <w:p w14:paraId="4CFFEB46">
      <w:pPr>
        <w:keepNext w:val="0"/>
        <w:keepLines w:val="0"/>
        <w:pageBreakBefore w:val="0"/>
        <w:widowControl w:val="0"/>
        <w:kinsoku/>
        <w:wordWrap/>
        <w:overflowPunct/>
        <w:topLinePunct w:val="0"/>
        <w:autoSpaceDE/>
        <w:autoSpaceDN/>
        <w:bidi w:val="0"/>
        <w:adjustRightInd/>
        <w:snapToGrid/>
        <w:spacing w:before="0" w:after="0" w:line="360" w:lineRule="auto"/>
        <w:ind w:left="0" w:leftChars="0" w:firstLine="0" w:firstLineChars="0"/>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b w:val="0"/>
          <w:bCs w:val="0"/>
          <w:i w:val="0"/>
          <w:iCs w:val="0"/>
          <w:kern w:val="2"/>
          <w:sz w:val="24"/>
          <w:szCs w:val="24"/>
          <w:lang w:val="en-US" w:eastAsia="zh-CN" w:bidi="ar-SA"/>
        </w:rPr>
        <w:t>[38] S. Diamond and S. Boyd, "CVXPY: A Python-Embedded Modeling Language for Convex Optimization," Journal of Machine Learning Research, vol. 17, no. 83, pp. 1-5, 2016.</w:t>
      </w:r>
    </w:p>
    <w:p w14:paraId="725F0FDB">
      <w:pPr>
        <w:widowControl w:val="0"/>
        <w:numPr>
          <w:ilvl w:val="0"/>
          <w:numId w:val="0"/>
        </w:numPr>
        <w:snapToGrid w:val="0"/>
        <w:spacing w:line="300" w:lineRule="auto"/>
        <w:jc w:val="both"/>
        <w:rPr>
          <w:rFonts w:ascii="Times New Roman" w:hAnsi="Times New Roman" w:eastAsia="宋体" w:cs="Times New Roman"/>
          <w:kern w:val="2"/>
          <w:sz w:val="21"/>
          <w:lang w:val="en-US" w:eastAsia="zh-CN" w:bidi="ar-SA"/>
        </w:rPr>
      </w:pPr>
    </w:p>
    <w:p w14:paraId="1F9CF57F">
      <w:pPr>
        <w:widowControl w:val="0"/>
        <w:numPr>
          <w:ilvl w:val="0"/>
          <w:numId w:val="0"/>
        </w:numPr>
        <w:snapToGrid w:val="0"/>
        <w:spacing w:line="300" w:lineRule="auto"/>
        <w:jc w:val="both"/>
        <w:rPr>
          <w:rFonts w:ascii="Times New Roman" w:hAnsi="Times New Roman" w:eastAsia="宋体" w:cs="Times New Roman"/>
          <w:kern w:val="2"/>
          <w:sz w:val="21"/>
          <w:lang w:val="en-US" w:eastAsia="zh-CN" w:bidi="ar-SA"/>
        </w:rPr>
      </w:pPr>
    </w:p>
    <w:p w14:paraId="181D0A4E">
      <w:pPr>
        <w:widowControl w:val="0"/>
        <w:snapToGrid w:val="0"/>
        <w:spacing w:line="300" w:lineRule="auto"/>
        <w:jc w:val="both"/>
        <w:rPr>
          <w:rFonts w:ascii="Times New Roman" w:hAnsi="Times New Roman" w:eastAsia="宋体" w:cs="Times New Roman"/>
          <w:kern w:val="2"/>
          <w:sz w:val="21"/>
          <w:lang w:val="en-US" w:eastAsia="zh-CN" w:bidi="ar-SA"/>
        </w:rPr>
      </w:pPr>
    </w:p>
    <w:p w14:paraId="54C8A119">
      <w:pPr>
        <w:widowControl w:val="0"/>
        <w:snapToGrid w:val="0"/>
        <w:spacing w:line="300" w:lineRule="auto"/>
        <w:jc w:val="both"/>
        <w:rPr>
          <w:rFonts w:ascii="Times New Roman" w:hAnsi="Times New Roman" w:eastAsia="宋体" w:cs="Times New Roman"/>
          <w:kern w:val="2"/>
          <w:sz w:val="24"/>
          <w:lang w:val="en-US" w:eastAsia="zh-CN" w:bidi="ar-SA"/>
        </w:rPr>
      </w:pPr>
      <w:r>
        <w:rPr>
          <w:rFonts w:ascii="Times New Roman" w:hAnsi="Times New Roman" w:eastAsia="宋体" w:cs="Times New Roman"/>
          <w:b/>
          <w:kern w:val="2"/>
          <w:sz w:val="24"/>
          <w:lang w:val="en-US" w:eastAsia="zh-CN" w:bidi="ar-SA"/>
        </w:rPr>
        <w:t>指导教师：</w:t>
      </w:r>
      <w:r>
        <w:rPr>
          <w:rFonts w:ascii="Times New Roman" w:hAnsi="Times New Roman" w:eastAsia="宋体" w:cs="Times New Roman"/>
          <w:kern w:val="2"/>
          <w:sz w:val="24"/>
          <w:lang w:val="en-US" w:eastAsia="zh-CN" w:bidi="ar-SA"/>
        </w:rPr>
        <w:t xml:space="preserve">（签署意见并签字）                         </w:t>
      </w:r>
      <w:r>
        <w:rPr>
          <w:rFonts w:ascii="Times New Roman" w:hAnsi="Times New Roman" w:eastAsia="宋体" w:cs="Times New Roman"/>
          <w:kern w:val="2"/>
          <w:sz w:val="21"/>
          <w:lang w:val="en-US" w:eastAsia="zh-CN" w:bidi="ar-SA"/>
        </w:rPr>
        <w:t xml:space="preserve">       年   月   日 </w:t>
      </w:r>
    </w:p>
    <w:p w14:paraId="22C22446">
      <w:pPr>
        <w:widowControl w:val="0"/>
        <w:snapToGrid w:val="0"/>
        <w:spacing w:line="300" w:lineRule="auto"/>
        <w:jc w:val="both"/>
        <w:rPr>
          <w:rFonts w:ascii="Times New Roman" w:hAnsi="Times New Roman" w:eastAsia="宋体" w:cs="Times New Roman"/>
          <w:kern w:val="2"/>
          <w:sz w:val="24"/>
          <w:lang w:val="en-US" w:eastAsia="zh-CN" w:bidi="ar-SA"/>
        </w:rPr>
      </w:pPr>
      <w:r>
        <w:rPr>
          <w:rFonts w:ascii="Times New Roman" w:hAnsi="Times New Roman" w:eastAsia="宋体" w:cs="Times New Roman"/>
          <w:kern w:val="2"/>
          <w:sz w:val="24"/>
          <w:lang w:val="en-US" w:eastAsia="zh-CN" w:bidi="ar-SA"/>
        </w:rPr>
        <w:t xml:space="preserve">                                      </w:t>
      </w:r>
    </w:p>
    <w:p w14:paraId="7231B341">
      <w:pPr>
        <w:widowControl w:val="0"/>
        <w:snapToGrid w:val="0"/>
        <w:spacing w:line="300" w:lineRule="auto"/>
        <w:jc w:val="both"/>
        <w:rPr>
          <w:rFonts w:ascii="Times New Roman" w:hAnsi="Times New Roman" w:eastAsia="宋体" w:cs="Times New Roman"/>
          <w:kern w:val="2"/>
          <w:sz w:val="24"/>
          <w:lang w:val="en-US" w:eastAsia="zh-CN" w:bidi="ar-SA"/>
        </w:rPr>
      </w:pPr>
      <w:r>
        <w:rPr>
          <w:rFonts w:ascii="Times New Roman" w:hAnsi="Times New Roman" w:eastAsia="宋体" w:cs="Times New Roman"/>
          <w:b/>
          <w:kern w:val="2"/>
          <w:sz w:val="24"/>
          <w:lang w:val="en-US" w:eastAsia="zh-CN" w:bidi="ar-SA"/>
        </w:rPr>
        <w:t>督导教师：</w:t>
      </w:r>
      <w:r>
        <w:rPr>
          <w:rFonts w:ascii="Times New Roman" w:hAnsi="Times New Roman" w:eastAsia="宋体" w:cs="Times New Roman"/>
          <w:kern w:val="2"/>
          <w:sz w:val="24"/>
          <w:lang w:val="en-US" w:eastAsia="zh-CN" w:bidi="ar-SA"/>
        </w:rPr>
        <w:t xml:space="preserve">（签署意见并签字）        </w:t>
      </w:r>
      <w:r>
        <w:rPr>
          <w:rFonts w:ascii="Times New Roman" w:hAnsi="Times New Roman" w:eastAsia="宋体" w:cs="Times New Roman"/>
          <w:kern w:val="2"/>
          <w:sz w:val="21"/>
          <w:lang w:val="en-US" w:eastAsia="zh-CN" w:bidi="ar-SA"/>
        </w:rPr>
        <w:t xml:space="preserve">                           年   月   日                                     </w:t>
      </w:r>
    </w:p>
    <w:p w14:paraId="153436AA">
      <w:pPr>
        <w:rPr>
          <w:rFonts w:ascii="Times New Roman" w:hAnsi="Times New Roman" w:eastAsia="宋体" w:cs="Times New Roman"/>
          <w:kern w:val="0"/>
          <w:sz w:val="24"/>
          <w:szCs w:val="20"/>
        </w:rPr>
      </w:pPr>
    </w:p>
    <w:p w14:paraId="5CD6B0DB">
      <w:pPr>
        <w:rPr>
          <w:rFonts w:ascii="Times New Roman" w:hAnsi="Times New Roman" w:eastAsia="宋体" w:cs="Times New Roman"/>
          <w:b/>
          <w:kern w:val="0"/>
          <w:sz w:val="24"/>
          <w:szCs w:val="20"/>
        </w:rPr>
      </w:pPr>
      <w:r>
        <w:rPr>
          <w:rFonts w:ascii="Times New Roman" w:hAnsi="Times New Roman" w:eastAsia="宋体" w:cs="Times New Roman"/>
          <w:b/>
          <w:kern w:val="0"/>
          <w:sz w:val="24"/>
          <w:szCs w:val="20"/>
        </w:rPr>
        <w:t xml:space="preserve">领导小组审查意见：               </w:t>
      </w:r>
    </w:p>
    <w:p w14:paraId="4E3A7F94">
      <w:pPr>
        <w:snapToGrid w:val="0"/>
        <w:spacing w:line="360" w:lineRule="auto"/>
        <w:rPr>
          <w:rFonts w:ascii="Times New Roman"/>
        </w:rPr>
        <w:sectPr>
          <w:headerReference r:id="rId3" w:type="default"/>
          <w:footerReference r:id="rId4" w:type="default"/>
          <w:pgSz w:w="11907" w:h="16840"/>
          <w:pgMar w:top="1134" w:right="1134" w:bottom="1134" w:left="1701" w:header="851" w:footer="992" w:gutter="0"/>
          <w:cols w:space="720" w:num="1"/>
          <w:docGrid w:linePitch="326" w:charSpace="0"/>
        </w:sectPr>
      </w:pPr>
      <w:r>
        <w:rPr>
          <w:rFonts w:ascii="Times New Roman" w:hAnsi="Times New Roman" w:eastAsia="宋体" w:cs="Times New Roman"/>
          <w:kern w:val="0"/>
          <w:sz w:val="24"/>
          <w:szCs w:val="20"/>
        </w:rPr>
        <w:t xml:space="preserve">                                            审查人签字：     年  月  </w:t>
      </w:r>
      <w:r>
        <w:rPr>
          <w:rFonts w:hint="eastAsia" w:ascii="Times New Roman" w:hAnsi="Times New Roman" w:eastAsia="宋体" w:cs="Times New Roman"/>
          <w:kern w:val="0"/>
          <w:sz w:val="24"/>
          <w:szCs w:val="20"/>
          <w:lang w:val="en-US" w:eastAsia="zh-CN"/>
        </w:rPr>
        <w:t>日</w:t>
      </w:r>
      <w:r>
        <w:rPr>
          <w:rFonts w:ascii="Times New Roman" w:hAnsi="Times New Roman" w:eastAsia="宋体" w:cs="Times New Roman"/>
          <w:kern w:val="0"/>
          <w:sz w:val="24"/>
          <w:szCs w:val="20"/>
        </w:rPr>
        <w:t xml:space="preserve"> </w:t>
      </w:r>
    </w:p>
    <w:p w14:paraId="5D7D34A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C0B741">
    <w:pPr>
      <w:framePr w:wrap="around" w:vAnchor="text" w:hAnchor="margin" w:xAlign="center" w:y="1"/>
      <w:widowControl w:val="0"/>
      <w:tabs>
        <w:tab w:val="center" w:pos="0"/>
        <w:tab w:val="right" w:pos="8306"/>
      </w:tabs>
      <w:snapToGrid w:val="0"/>
      <w:jc w:val="center"/>
      <w:rPr>
        <w:rFonts w:ascii="宋体" w:hAnsi="Times New Roman" w:eastAsia="宋体" w:cs="Times New Roman"/>
        <w:sz w:val="18"/>
        <w:lang w:val="en-US" w:eastAsia="zh-CN" w:bidi="ar-SA"/>
      </w:rPr>
    </w:pPr>
    <w:r>
      <w:rPr>
        <w:rFonts w:hint="eastAsia" w:ascii="宋体" w:hAnsi="Times New Roman" w:eastAsia="宋体" w:cs="Times New Roman"/>
        <w:sz w:val="24"/>
        <w:lang w:val="en-US" w:eastAsia="zh-CN" w:bidi="ar-SA"/>
      </w:rPr>
      <w:t>1</w:t>
    </w:r>
  </w:p>
  <w:p w14:paraId="58BA5341">
    <w:pPr>
      <w:framePr w:wrap="around" w:vAnchor="text" w:hAnchor="margin" w:xAlign="center" w:y="1"/>
      <w:widowControl w:val="0"/>
      <w:tabs>
        <w:tab w:val="center" w:pos="4153"/>
        <w:tab w:val="right" w:pos="8306"/>
      </w:tabs>
      <w:snapToGrid w:val="0"/>
      <w:jc w:val="left"/>
      <w:rPr>
        <w:rFonts w:ascii="宋体" w:hAnsi="Times New Roman" w:eastAsia="宋体" w:cs="Times New Roman"/>
        <w:sz w:val="18"/>
        <w:lang w:val="en-US" w:eastAsia="zh-CN" w:bidi="ar-SA"/>
      </w:rPr>
    </w:pPr>
  </w:p>
  <w:p w14:paraId="583DD8B1">
    <w:pPr>
      <w:widowControl w:val="0"/>
      <w:tabs>
        <w:tab w:val="center" w:pos="4153"/>
        <w:tab w:val="right" w:pos="8306"/>
      </w:tabs>
      <w:snapToGrid w:val="0"/>
      <w:ind w:right="360"/>
      <w:jc w:val="left"/>
      <w:rPr>
        <w:rFonts w:ascii="宋体" w:hAnsi="Times New Roman" w:eastAsia="宋体" w:cs="Times New Roman"/>
        <w:sz w:val="18"/>
        <w:lang w:val="en-US" w:eastAsia="zh-CN" w:bidi="ar-S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8A413E">
    <w:pPr>
      <w:widowControl w:val="0"/>
      <w:pBdr>
        <w:bottom w:val="none" w:color="auto" w:sz="0" w:space="0"/>
      </w:pBdr>
      <w:tabs>
        <w:tab w:val="center" w:pos="4153"/>
        <w:tab w:val="right" w:pos="8306"/>
      </w:tabs>
      <w:snapToGrid w:val="0"/>
      <w:jc w:val="center"/>
      <w:rPr>
        <w:rFonts w:ascii="宋体" w:hAnsi="Times New Roman" w:eastAsia="宋体" w:cs="Times New Roman"/>
        <w:sz w:val="18"/>
        <w:lang w:val="en-US" w:eastAsia="zh-CN" w:bidi="ar-SA"/>
      </w:rPr>
    </w:pPr>
    <w:r>
      <w:rPr>
        <w:rFonts w:hint="eastAsia" w:ascii="宋体" w:hAnsi="Times New Roman" w:eastAsia="宋体" w:cs="Times New Roman"/>
        <w:sz w:val="18"/>
        <w:lang w:val="en-US" w:eastAsia="zh-CN" w:bidi="ar-SA"/>
      </w:rPr>
      <w:t>开题报告</w:t>
    </w:r>
  </w:p>
  <w:p w14:paraId="10599B58">
    <w:pPr>
      <w:widowControl w:val="0"/>
      <w:pBdr>
        <w:bottom w:val="none" w:color="auto" w:sz="0" w:space="0"/>
      </w:pBdr>
      <w:tabs>
        <w:tab w:val="center" w:pos="4153"/>
        <w:tab w:val="right" w:pos="8306"/>
      </w:tabs>
      <w:snapToGrid w:val="0"/>
      <w:jc w:val="center"/>
      <w:rPr>
        <w:rFonts w:ascii="宋体" w:hAnsi="Times New Roman" w:eastAsia="宋体" w:cs="Times New Roman"/>
        <w:sz w:val="18"/>
        <w:lang w:val="en-US" w:eastAsia="zh-CN" w:bidi="ar-SA"/>
      </w:rPr>
    </w:pPr>
    <w:r>
      <w:rPr>
        <w:rFonts w:ascii="宋体" w:hAnsi="Times New Roman" w:eastAsia="宋体" w:cs="Times New Roman"/>
        <w:sz w:val="18"/>
        <w:lang w:val="en-US" w:eastAsia="zh-CN" w:bidi="ar-SA"/>
      </w:rPr>
      <w:pict>
        <v:rect id="_x0000_i1025" o:spt="1" style="height:0.5pt;width:453.6pt;" fillcolor="#000000" filled="t" stroked="f" coordsize="21600,21600" o:hr="t" o:hrstd="t" o:hrnoshade="t" o:hralign="center">
          <v:path/>
          <v:fill on="t" focussize="0,0"/>
          <v:stroke on="f"/>
          <v:imagedata o:title=""/>
          <o:lock v:ext="edit"/>
          <w10:wrap type="none"/>
          <w10:anchorlock/>
        </v:rect>
      </w:pict>
    </w:r>
  </w:p>
  <w:p w14:paraId="1EBE9742">
    <w:pPr>
      <w:rPr>
        <w:rFonts w:ascii="宋体" w:hAnsi="Times New Roman" w:eastAsia="宋体" w:cs="Times New Roman"/>
        <w:kern w:val="0"/>
        <w:sz w:val="24"/>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59726E"/>
    <w:multiLevelType w:val="singleLevel"/>
    <w:tmpl w:val="AD59726E"/>
    <w:lvl w:ilvl="0" w:tentative="0">
      <w:start w:val="6"/>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7233C4D"/>
    <w:rsid w:val="1C01660D"/>
    <w:rsid w:val="3FE1657E"/>
    <w:rsid w:val="44613C8E"/>
    <w:rsid w:val="73942C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8512</Words>
  <Characters>14240</Characters>
  <Lines>0</Lines>
  <Paragraphs>0</Paragraphs>
  <TotalTime>8</TotalTime>
  <ScaleCrop>false</ScaleCrop>
  <LinksUpToDate>false</LinksUpToDate>
  <CharactersWithSpaces>15699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2026-03-05T06:31:00Z</dcterms:created>
  <dc:creator>TY</dc:creator>
  <cp:lastModifiedBy>WPS_1696745024</cp:lastModifiedBy>
  <dcterms:modified xsi:type="dcterms:W3CDTF">2026-05-31T17:50:42Z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eyJoZGlkIjoiZWM0ZWIwMjgzYmQ2ZTk4NDBmYjBmYzU3NTc5ZDVjYTMiLCJ1c2VySWQiOiIxMTczNDU1NTYyIn0=</vt:lpwstr>
  </property>
  <property fmtid="{D5CDD505-2E9C-101B-9397-08002B2CF9AE}" pid="4" name="ICV">
    <vt:lpwstr>2873855E5F0A428FBE72BB850845318A_13</vt:lpwstr>
  </property>
</Properties>
</file>