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Between Graph Semantics and Musicological Intent: Ambiguity in Researcher–Machine Communication over Music Knowledge Graphs</w:t>
      </w:r>
    </w:p>
    <w:p>
      <w:pPr>
        <w:pStyle w:val="Normal"/>
        <w:bidi w:val="0"/>
        <w:jc w:val="start"/>
        <w:rPr/>
      </w:pPr>
      <w:r>
        <w:rPr/>
      </w:r>
    </w:p>
    <w:p>
      <w:pPr>
        <w:pStyle w:val="Normal"/>
        <w:bidi w:val="0"/>
        <w:jc w:val="start"/>
        <w:rPr/>
      </w:pPr>
      <w:r>
        <w:rPr/>
        <w:t>Polina Proutskova, Olga Velichkina, Harshdeep Singh, Matteo Romanello</w:t>
      </w:r>
    </w:p>
    <w:p>
      <w:pPr>
        <w:pStyle w:val="BodyText"/>
        <w:bidi w:val="0"/>
        <w:spacing w:lineRule="auto" w:line="331" w:before="240" w:after="140"/>
        <w:ind w:hanging="0" w:start="0" w:end="0"/>
        <w:rPr>
          <w:rFonts w:ascii="Times New Roman;serif" w:hAnsi="Times New Roman;serif"/>
          <w:b w:val="false"/>
          <w:i w:val="false"/>
          <w:caps w:val="false"/>
          <w:smallCaps w:val="false"/>
          <w:strike w:val="false"/>
          <w:dstrike w:val="false"/>
          <w:color w:val="000000"/>
          <w:sz w:val="22"/>
          <w:u w:val="none"/>
          <w:effect w:val="none"/>
          <w:shd w:fill="auto" w:val="clear"/>
        </w:rPr>
      </w:pPr>
      <w:bookmarkStart w:id="0" w:name="docs-internal-guid-c9b2f449-7fff-af80-a7"/>
      <w:bookmarkEnd w:id="0"/>
      <w:r>
        <w:rPr>
          <w:rFonts w:ascii="Times New Roman;serif" w:hAnsi="Times New Roman;serif"/>
          <w:b w:val="false"/>
          <w:i w:val="false"/>
          <w:caps w:val="false"/>
          <w:smallCaps w:val="false"/>
          <w:strike w:val="false"/>
          <w:dstrike w:val="false"/>
          <w:color w:val="000000"/>
          <w:sz w:val="22"/>
          <w:u w:val="none"/>
          <w:effect w:val="none"/>
          <w:shd w:fill="auto" w:val="clear"/>
        </w:rPr>
        <w:t>Music knowledge graphs promise new forms of exploration across collections, repertoires, recordings and metadata. Yet interaction between a musicologist and a graph-based system is not simply translation from natural language into SPARQL. Researchers ask conceptual and interpretive questions, while datasets encode knowledge through formal classes, relations, provenance and modelling decisions. This gap creates ambiguity: does “influence” mean citation, stylistic similarity, teacher–student transmission, shared repertoire or documented contact? Does “where a musical encounter took place” mean venue, city, textual mention or inferred event location?</w:t>
      </w:r>
    </w:p>
    <w:p>
      <w:pPr>
        <w:pStyle w:val="BodyText"/>
        <w:bidi w:val="0"/>
        <w:spacing w:lineRule="auto" w:line="331" w:before="240" w:after="140"/>
        <w:ind w:hanging="0" w:start="0" w:end="0"/>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This paper proposes a framework for studying ambiguity in researcher–machine communication over music knowledge graphs. We approach the problem from two directions. First, in the Musparql pipeline, existing human-authored SPARQL queries serve as graph-grounded starting points from which natural-language questions are generated, aligned with evidence from papers, documentation and sources, then reviewed, rewritten and annotated. Second, in experiments with the GRAPHIA agent for federated knowledge graphs, including LinkedMusic, Culture Knowledge Graph, Polifonia knowledge graphs and Wikidata, musicologists pose questions that cross dataset boundaries, for example placing musical works in relation to local contexts, documented encounters and composers’ biographies; the agent’s responses and user journeys are evaluated.</w:t>
      </w:r>
    </w:p>
    <w:p>
      <w:pPr>
        <w:pStyle w:val="BodyText"/>
        <w:bidi w:val="0"/>
        <w:spacing w:lineRule="auto" w:line="331" w:before="240" w:after="140"/>
        <w:ind w:hanging="0" w:start="0" w:end="0"/>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The framework treats ambiguity as evidence of where formal music-data structures and musicological concepts fail to align. As in music transcription, disagreement and alternative formulations may reveal interpretive assumptions rather than error. Early examples show tensions between formal completeness and musicological salience: provenance fields may be returned but communicatively secondary; aggregation values may be operationally necessary but not central. Crucially, phrasing adequacy often depends on ontology and dataset knowledge: the same returned field may be routine metadata in one context and decisive evidence in another.</w:t>
      </w:r>
    </w:p>
    <w:p>
      <w:pPr>
        <w:pStyle w:val="BodyText"/>
        <w:bidi w:val="0"/>
        <w:spacing w:lineRule="auto" w:line="331" w:before="240" w:after="140"/>
        <w:ind w:hanging="0" w:start="0" w:end="0"/>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The contribution is a methodological and epistemological framework for studying how musicological meaning is negotiated between datasets, formal representations, LLM agents and human researchers.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altName w:val="serif"/>
    <w:charset w:val="01" w:characterSet="utf-8"/>
    <w:family w:val="auto"/>
    <w:pitch w:val="default"/>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1230</TotalTime>
  <Application>LibreOffice/26.2.2.2$MacOSX_AARCH64 LibreOffice_project/1f77d10d6938fd34972958f64b2bcfa54f8b1ba5</Application>
  <AppVersion>15.0000</AppVersion>
  <Pages>1</Pages>
  <Words>323</Words>
  <Characters>2194</Characters>
  <CharactersWithSpaces>2508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2026-05-31T18:16:39Z</dcterms:created>
  <dc:creator/>
  <dc:description/>
  <dc:language>en-GB</dc:language>
  <cp:lastModifiedBy/>
  <dcterms:modified xsi:type="dcterms:W3CDTF">2026-06-01T15:47:20Z</dcterms:modified>
  <cp:revision>2</cp:revision>
  <dc:subject/>
  <dc:title/>
</cp:coreProperties>
</file>