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6D0E5C" w14:textId="77777777" w:rsidR="00820B4C" w:rsidRDefault="00000000">
      <w:pPr>
        <w:pStyle w:val="papertitle"/>
      </w:pPr>
      <w:r>
        <w:t>Provenance-Aware Curation of NL-SPARQL Evaluation Data for Domain Knowledge Graphs</w:t>
      </w:r>
    </w:p>
    <w:p w14:paraId="7ACCACF8" w14:textId="77777777" w:rsidR="00820B4C" w:rsidRDefault="00000000">
      <w:pPr>
        <w:pStyle w:val="author"/>
      </w:pPr>
      <w:commentRangeStart w:id="0"/>
      <w:r>
        <w:t>Polina Proutskova</w:t>
      </w:r>
      <w:r>
        <w:rPr>
          <w:vertAlign w:val="superscript"/>
        </w:rPr>
        <w:t>*</w:t>
      </w:r>
      <w:r>
        <w:rPr>
          <w:rStyle w:val="ORCID"/>
        </w:rPr>
        <w:t>[0000-0002-7514-2711]</w:t>
      </w:r>
      <w:commentRangeEnd w:id="0"/>
      <w:r>
        <w:rPr>
          <w:rStyle w:val="CommentReference"/>
          <w:sz w:val="20"/>
          <w:szCs w:val="20"/>
        </w:rPr>
        <w:commentReference w:id="0"/>
      </w:r>
    </w:p>
    <w:p w14:paraId="1914A639" w14:textId="77777777" w:rsidR="00820B4C" w:rsidRDefault="00000000">
      <w:pPr>
        <w:pStyle w:val="address"/>
      </w:pPr>
      <w:r>
        <w:t>Industry Commons Foundation</w:t>
      </w:r>
    </w:p>
    <w:p w14:paraId="4839A38F" w14:textId="77777777" w:rsidR="00820B4C" w:rsidRDefault="00000000">
      <w:pPr>
        <w:pStyle w:val="address"/>
      </w:pPr>
      <w:r>
        <w:rPr>
          <w:rStyle w:val="e-mail"/>
        </w:rPr>
        <w:t>proutskova@googlemail.com</w:t>
      </w:r>
    </w:p>
    <w:p w14:paraId="66449065" w14:textId="77777777" w:rsidR="00820B4C" w:rsidRDefault="00000000">
      <w:pPr>
        <w:pStyle w:val="abstract"/>
      </w:pPr>
      <w:commentRangeStart w:id="1"/>
      <w:r>
        <w:rPr>
          <w:b/>
        </w:rPr>
        <w:t>Abstract.</w:t>
      </w:r>
      <w: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offers a practical alternative to both end-to-end manual authorship and uncritical automation. Musparql surrounds human-authored queries with source evidence, execution observations, and provenance, then presents traceable candidate formulations for focused expert review. Evidence from a benchmark of 100 reviewed natural-language/SPARQL pairs drawn from five music-domain knowledge graphs demonstrates that human intervention remains essential where formal graph operations meet domain meaning and communicative intent. Musparql concentrates reviewer attention on these consequential decisions, makes each intervention visible, and preserves the path from source material to the published benchmark. By taking on repetitive evidence assembly, alignment, comparison, and versioning, it streamlines curation while keeping correctness under expert control. The result is a more efficient route to evaluation data that are easier to inspect and more trustworthy to reuse, together with a metadata model that can support comparable workflows beyond the music-domain testbed.</w:t>
      </w:r>
      <w:commentRangeEnd w:id="1"/>
      <w:r>
        <w:rPr>
          <w:rStyle w:val="CommentReference"/>
          <w:sz w:val="18"/>
          <w:szCs w:val="20"/>
        </w:rPr>
        <w:commentReference w:id="1"/>
      </w:r>
    </w:p>
    <w:p w14:paraId="6F645EA9" w14:textId="77777777" w:rsidR="00820B4C" w:rsidRDefault="00000000">
      <w:pPr>
        <w:pStyle w:val="keywords"/>
      </w:pPr>
      <w:r>
        <w:rPr>
          <w:b/>
        </w:rPr>
        <w:t>Keywords:</w:t>
      </w:r>
      <w:r>
        <w:t xml:space="preserve"> metadata curation; NL-SPARQL; knowledge graph question answering; provenance; human-in-the-loop evaluation; domain knowledge graphs</w:t>
      </w:r>
    </w:p>
    <w:p w14:paraId="78906FC7" w14:textId="77777777" w:rsidR="00820B4C" w:rsidRDefault="00000000">
      <w:pPr>
        <w:pStyle w:val="heading1"/>
      </w:pPr>
      <w:r>
        <w:t>Introduction</w:t>
      </w:r>
    </w:p>
    <w:p w14:paraId="581D2532" w14:textId="77777777" w:rsidR="00820B4C" w:rsidRDefault="00000000">
      <w:pPr>
        <w:pStyle w:val="p1a"/>
      </w:pPr>
      <w:r>
        <w:t>SPARQL gives precise access to structured knowledge, yet it remains difficult to use for researchers who are specialists in a subject rather than in Semantic Web technologies [1].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14:paraId="7128CB66" w14:textId="77777777" w:rsidR="00820B4C" w:rsidRDefault="00000000">
      <w:r>
        <w:t xml:space="preserve">Established knowledge-graph question answering benchmarks largely concern general-purpose resources such as DBpedia and Wikidata [3-5]. Smaller research </w:t>
      </w:r>
      <w:r>
        <w:lastRenderedPageBreak/>
        <w:t>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14:paraId="450FF8E6" w14:textId="77777777" w:rsidR="00820B4C" w:rsidRDefault="00000000">
      <w:commentRangeStart w:id="2"/>
      <w:r>
        <w:t>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sparql and natural language phrases sources were seeded manually</w:t>
      </w:r>
      <w:r>
        <w:rPr>
          <w:rStyle w:val="FootnoteReference"/>
        </w:rPr>
        <w:footnoteReference w:id="1"/>
      </w:r>
      <w:r>
        <w:t>. From the seeds, the system aligns and packages traceable candidate pairs; the expert determines benchmark membership and canonical wording.</w:t>
      </w:r>
      <w:commentRangeEnd w:id="2"/>
      <w:r>
        <w:rPr>
          <w:rStyle w:val="CommentReference"/>
          <w:sz w:val="20"/>
          <w:szCs w:val="20"/>
        </w:rPr>
        <w:commentReference w:id="2"/>
      </w:r>
    </w:p>
    <w:p w14:paraId="10CC5850" w14:textId="77777777" w:rsidR="00820B4C" w:rsidRDefault="00000000">
      <w:commentRangeStart w:id="3"/>
      <w:r>
        <w:t xml:space="preserve">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and runbooks are available in the </w:t>
      </w:r>
      <w:hyperlink r:id="rId10">
        <w:r>
          <w:rPr>
            <w:rStyle w:val="Hyperlink"/>
          </w:rPr>
          <w:t>GitHub repository</w:t>
        </w:r>
        <w:r>
          <w:rPr>
            <w:rStyle w:val="FootnoteReference"/>
          </w:rPr>
          <w:footnoteReference w:id="2"/>
        </w:r>
      </w:hyperlink>
      <w:r>
        <w:t xml:space="preserve">, and the reviewed v10 benchmark can be downloaded from the </w:t>
      </w:r>
      <w:hyperlink r:id="rId11">
        <w:r>
          <w:rPr>
            <w:rStyle w:val="Hyperlink"/>
          </w:rPr>
          <w:t>benchmark archive</w:t>
        </w:r>
        <w:r>
          <w:rPr>
            <w:rStyle w:val="FootnoteReference"/>
          </w:rPr>
          <w:footnoteReference w:id="3"/>
        </w:r>
      </w:hyperlink>
      <w:r>
        <w:t>.</w:t>
      </w:r>
      <w:commentRangeEnd w:id="3"/>
      <w:r>
        <w:rPr>
          <w:rStyle w:val="CommentReference"/>
          <w:sz w:val="20"/>
          <w:szCs w:val="20"/>
        </w:rPr>
        <w:commentReference w:id="3"/>
      </w:r>
    </w:p>
    <w:p w14:paraId="0A64B6DA" w14:textId="77777777" w:rsidR="00820B4C" w:rsidRDefault="00000000">
      <w: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14:paraId="54C78F1A" w14:textId="77777777" w:rsidR="00820B4C" w:rsidRDefault="00000000">
      <w:pPr>
        <w:pStyle w:val="p1a"/>
      </w:pPr>
      <w:r>
        <w:rPr>
          <w:b/>
        </w:rPr>
        <w:t>Contribution.</w:t>
      </w:r>
      <w: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14:paraId="06C9C459" w14:textId="77777777" w:rsidR="00820B4C" w:rsidRDefault="00000000">
      <w:pPr>
        <w:pStyle w:val="heading1"/>
      </w:pPr>
      <w:r>
        <w:lastRenderedPageBreak/>
        <w:t>Related Work and Curation Perspective</w:t>
      </w:r>
    </w:p>
    <w:p w14:paraId="057E2D07" w14:textId="77777777" w:rsidR="00820B4C" w:rsidRDefault="00000000">
      <w:pPr>
        <w:pStyle w:val="p1a"/>
      </w:pPr>
      <w:r>
        <w:t>QALD, LC-QuAD 2.0, and later shared tasks established evaluation collections for natural-language access to linked data [3-5, 7-9]. Surveys and dataset analyses show persistent limitations in coverage, transferability, and generalisability [5, 6]. These resources make comparison possible, but their question-query pairs are usually consumed as finished records rather than as outputs of a documented curation process.</w:t>
      </w:r>
    </w:p>
    <w:p w14:paraId="54921CD7" w14:textId="77777777" w:rsidR="00820B4C" w:rsidRDefault="00000000">
      <w:r>
        <w:t>Recent datasets begin closer to real information needs. SPINACH curates difficult requests associated with Wikidata activity, query-log work derives language/query evidence from public use, and bioinformatics collections pair expert questions with federated queries [10-12]. Competency-question research likewise connects domain requirements to formal queries [13, 14, 18]. Human mediation is especially important in scientific and cultural-heritage graphs, where ontology terms and modelling conventions embody disciplinary choices [15-17, 19-21].</w:t>
      </w:r>
    </w:p>
    <w:p w14:paraId="04693FE6" w14:textId="77777777" w:rsidR="00820B4C" w:rsidRDefault="00000000">
      <w:r>
        <w:t>Musparql connects these strands with research-data curation. FAIR, PROV-O, and datasheets for datasets emphasise reusable objects, explicit provenance, and documented creation decisions [22-24].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14:paraId="54C4FB39" w14:textId="77777777" w:rsidR="00820B4C" w:rsidRDefault="00000000">
      <w:pPr>
        <w:pStyle w:val="heading1"/>
      </w:pPr>
      <w:r>
        <w:t>Provenance-Aware Curation Method</w:t>
      </w:r>
    </w:p>
    <w:p w14:paraId="23E69B0A" w14:textId="77777777" w:rsidR="00820B4C" w:rsidRDefault="00000000">
      <w:pPr>
        <w:pStyle w:val="p1a"/>
      </w:pPr>
      <w: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14:paraId="60D6A699" w14:textId="77777777" w:rsidR="00820B4C" w:rsidRDefault="00000000">
      <w:pPr>
        <w:pStyle w:val="image"/>
        <w:keepNext/>
      </w:pPr>
      <w:r>
        <w:rPr>
          <w:noProof/>
        </w:rPr>
        <w:drawing>
          <wp:inline distT="0" distB="0" distL="0" distR="0" wp14:anchorId="7E10AFE2" wp14:editId="6138781F">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12"/>
                    <a:stretch>
                      <a:fillRect/>
                    </a:stretch>
                  </pic:blipFill>
                  <pic:spPr bwMode="auto">
                    <a:xfrm>
                      <a:off x="0" y="0"/>
                      <a:ext cx="4389120" cy="1715135"/>
                    </a:xfrm>
                    <a:prstGeom prst="rect">
                      <a:avLst/>
                    </a:prstGeom>
                    <a:noFill/>
                  </pic:spPr>
                </pic:pic>
              </a:graphicData>
            </a:graphic>
          </wp:inline>
        </w:drawing>
      </w:r>
    </w:p>
    <w:p w14:paraId="25C21EDD" w14:textId="77777777" w:rsidR="00820B4C" w:rsidRDefault="00000000">
      <w:pPr>
        <w:pStyle w:val="figurecaption"/>
        <w:jc w:val="both"/>
      </w:pPr>
      <w:r>
        <w:rPr>
          <w:b/>
        </w:rPr>
        <w:t>Fig. 1.</w:t>
      </w:r>
      <w:r>
        <w:t xml:space="preserve"> Musparql workflow. Source evidence, model proposals, execution observations, and reviewer decisions remain separate but linked.</w:t>
      </w:r>
    </w:p>
    <w:p w14:paraId="2326D19D" w14:textId="77777777" w:rsidR="00820B4C" w:rsidRDefault="00000000">
      <w:pPr>
        <w:pStyle w:val="heading2"/>
      </w:pPr>
      <w:commentRangeStart w:id="4"/>
      <w:r>
        <w:lastRenderedPageBreak/>
        <w:t>Source and Query Acquisition</w:t>
      </w:r>
      <w:commentRangeEnd w:id="4"/>
      <w:r>
        <w:rPr>
          <w:rStyle w:val="CommentReference"/>
          <w:sz w:val="20"/>
          <w:szCs w:val="20"/>
        </w:rPr>
        <w:commentReference w:id="4"/>
      </w:r>
    </w:p>
    <w:p w14:paraId="234438E5" w14:textId="77777777" w:rsidR="00820B4C" w:rsidRDefault="00000000">
      <w:pPr>
        <w:pStyle w:val="p1a"/>
      </w:pPr>
      <w:commentRangeStart w:id="5"/>
      <w:r>
        <w:t>The v10 benchmark was seeded with five music knowledge graphs, selected to vary in schema, documentation, access mode, and intended use, from specialised organs building projects, through a large jazz recordings metadata collection to a federation of heterogenous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commentRangeEnd w:id="5"/>
      <w:r>
        <w:rPr>
          <w:rStyle w:val="CommentReference"/>
          <w:sz w:val="20"/>
          <w:szCs w:val="20"/>
        </w:rPr>
        <w:commentReference w:id="5"/>
      </w:r>
    </w:p>
    <w:p w14:paraId="0B478043" w14:textId="77777777" w:rsidR="00820B4C" w:rsidRDefault="00000000">
      <w: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14:paraId="5110405D" w14:textId="77777777" w:rsidR="00820B4C" w:rsidRDefault="00000000">
      <w:pPr>
        <w:pStyle w:val="heading2"/>
      </w:pPr>
      <w:r>
        <w:t>Stage 2: Evidence Alignment and Provisional Formulation</w:t>
      </w:r>
    </w:p>
    <w:p w14:paraId="77820833" w14:textId="77777777" w:rsidR="00820B4C" w:rsidRDefault="00000000">
      <w:pPr>
        <w:pStyle w:val="p1a"/>
      </w:pPr>
      <w:commentRangeStart w:id="6"/>
      <w:r>
        <w:t>For each acquired query, the workflow first retrieves candidate language written by source authors. Evidence may be directly paired with the query, appear in nearby comments or prose, or occur elsewhere in the project's competency questions, papers, or documentation. The LLM model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commentRangeEnd w:id="6"/>
      <w:r>
        <w:rPr>
          <w:rStyle w:val="CommentReference"/>
          <w:sz w:val="20"/>
          <w:szCs w:val="20"/>
        </w:rPr>
        <w:commentReference w:id="6"/>
      </w:r>
    </w:p>
    <w:p w14:paraId="52817341" w14:textId="77777777" w:rsidR="00820B4C" w:rsidRDefault="00000000">
      <w:pPr>
        <w:pStyle w:val="heading2"/>
      </w:pPr>
      <w:r>
        <w:t>Stage 3: Expert Review</w:t>
      </w:r>
    </w:p>
    <w:p w14:paraId="4B2F5FA7" w14:textId="77777777" w:rsidR="00820B4C" w:rsidRDefault="00000000">
      <w:pPr>
        <w:pStyle w:val="p1a"/>
      </w:pPr>
      <w: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14:paraId="737557BE" w14:textId="77777777" w:rsidR="00820B4C" w:rsidRDefault="00000000">
      <w: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14:paraId="77B3F833" w14:textId="77777777" w:rsidR="00820B4C" w:rsidRDefault="00000000">
      <w:pPr>
        <w:pStyle w:val="image"/>
        <w:keepNext/>
      </w:pPr>
      <w:r>
        <w:rPr>
          <w:noProof/>
        </w:rPr>
        <w:lastRenderedPageBreak/>
        <w:drawing>
          <wp:inline distT="0" distB="0" distL="0" distR="0" wp14:anchorId="4E652363" wp14:editId="190B7CE9">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13"/>
                    <a:stretch>
                      <a:fillRect/>
                    </a:stretch>
                  </pic:blipFill>
                  <pic:spPr bwMode="auto">
                    <a:xfrm>
                      <a:off x="0" y="0"/>
                      <a:ext cx="4389120" cy="2691765"/>
                    </a:xfrm>
                    <a:prstGeom prst="rect">
                      <a:avLst/>
                    </a:prstGeom>
                    <a:noFill/>
                  </pic:spPr>
                </pic:pic>
              </a:graphicData>
            </a:graphic>
          </wp:inline>
        </w:drawing>
      </w:r>
    </w:p>
    <w:p w14:paraId="4E45B72F" w14:textId="77777777" w:rsidR="00820B4C" w:rsidRDefault="00000000">
      <w:pPr>
        <w:pStyle w:val="figurecaption"/>
        <w:jc w:val="both"/>
      </w:pPr>
      <w:commentRangeStart w:id="7"/>
      <w:r>
        <w:rPr>
          <w:b/>
        </w:rPr>
        <w:t>Fig. 2.</w:t>
      </w:r>
      <w:r>
        <w:t xml:space="preserve"> Comparative-review workbench for jazzontology-0016. The earlier formulation omits the performing band; the current formulation surfaces all salient answer dimensions.</w:t>
      </w:r>
      <w:commentRangeEnd w:id="7"/>
      <w:r>
        <w:rPr>
          <w:rStyle w:val="CommentReference"/>
          <w:sz w:val="18"/>
          <w:szCs w:val="20"/>
        </w:rPr>
        <w:commentReference w:id="7"/>
      </w:r>
    </w:p>
    <w:p w14:paraId="63916D40" w14:textId="77777777" w:rsidR="00820B4C" w:rsidRDefault="00000000">
      <w:pPr>
        <w:pStyle w:val="heading2"/>
      </w:pPr>
      <w:commentRangeStart w:id="8"/>
      <w:r>
        <w:t>Stage 4: Publication and Artifact Views</w:t>
      </w:r>
      <w:commentRangeEnd w:id="8"/>
      <w:r>
        <w:rPr>
          <w:rStyle w:val="CommentReference"/>
          <w:sz w:val="20"/>
          <w:szCs w:val="20"/>
        </w:rPr>
        <w:commentReference w:id="8"/>
      </w:r>
    </w:p>
    <w:p w14:paraId="5D190EA8" w14:textId="77777777" w:rsidR="00820B4C" w:rsidRDefault="00000000">
      <w:pPr>
        <w:pStyle w:val="p1a"/>
      </w:pPr>
      <w: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14:paraId="25543E24" w14:textId="77777777" w:rsidR="00820B4C" w:rsidRDefault="00000000">
      <w:pPr>
        <w:pStyle w:val="heading2"/>
      </w:pPr>
      <w:r>
        <w:t>Artifact Model and Publication Views</w:t>
      </w:r>
    </w:p>
    <w:p w14:paraId="2BE0AF44" w14:textId="77777777" w:rsidR="00820B4C" w:rsidRDefault="00000000">
      <w:pPr>
        <w:pStyle w:val="p1a"/>
      </w:pPr>
      <w:commentRangeStart w:id="9"/>
      <w:r>
        <w:t>A benchmark item is represented as a chain of related records (Table 1). The model distinguishes what existed before Musparql processing, what the system inferred or observed, and what a reviewer approved.</w:t>
      </w:r>
      <w:commentRangeEnd w:id="9"/>
      <w:r>
        <w:rPr>
          <w:rStyle w:val="CommentReference"/>
          <w:sz w:val="20"/>
          <w:szCs w:val="20"/>
        </w:rPr>
        <w:commentReference w:id="9"/>
      </w:r>
    </w:p>
    <w:p w14:paraId="65B0826B" w14:textId="77777777" w:rsidR="00820B4C" w:rsidRDefault="00000000">
      <w:pPr>
        <w:pStyle w:val="tablecaption"/>
        <w:jc w:val="both"/>
      </w:pPr>
      <w:r>
        <w:rPr>
          <w:b/>
        </w:rPr>
        <w:t>Table 1.</w:t>
      </w:r>
      <w:r>
        <w:t xml:space="preserve"> Logical layers in the Musparql artifact; the public benchmark is a derived view.</w:t>
      </w:r>
    </w:p>
    <w:tbl>
      <w:tblPr>
        <w:tblW w:w="6918" w:type="dxa"/>
        <w:jc w:val="center"/>
        <w:tblLayout w:type="fixed"/>
        <w:tblCellMar>
          <w:top w:w="45" w:type="dxa"/>
          <w:left w:w="45" w:type="dxa"/>
          <w:bottom w:w="45" w:type="dxa"/>
          <w:right w:w="45" w:type="dxa"/>
        </w:tblCellMar>
        <w:tblLook w:val="04A0" w:firstRow="1" w:lastRow="0" w:firstColumn="1" w:lastColumn="0" w:noHBand="0" w:noVBand="1"/>
      </w:tblPr>
      <w:tblGrid>
        <w:gridCol w:w="2306"/>
        <w:gridCol w:w="2306"/>
        <w:gridCol w:w="2306"/>
      </w:tblGrid>
      <w:tr w:rsidR="00820B4C" w14:paraId="54574E9A" w14:textId="77777777">
        <w:trPr>
          <w:cantSplit/>
          <w:tblHeader/>
          <w:jc w:val="center"/>
        </w:trPr>
        <w:tc>
          <w:tcPr>
            <w:tcW w:w="2306" w:type="dxa"/>
            <w:tcBorders>
              <w:top w:val="single" w:sz="12" w:space="0" w:color="000000"/>
              <w:bottom w:val="single" w:sz="6" w:space="0" w:color="000000"/>
            </w:tcBorders>
            <w:vAlign w:val="center"/>
          </w:tcPr>
          <w:p w14:paraId="3F881DFC" w14:textId="77777777" w:rsidR="00820B4C" w:rsidRDefault="00000000">
            <w:pPr>
              <w:pStyle w:val="p1a"/>
              <w:jc w:val="left"/>
            </w:pPr>
            <w:r>
              <w:rPr>
                <w:b/>
                <w:sz w:val="16"/>
              </w:rPr>
              <w:t>Layer</w:t>
            </w:r>
          </w:p>
        </w:tc>
        <w:tc>
          <w:tcPr>
            <w:tcW w:w="2306" w:type="dxa"/>
            <w:tcBorders>
              <w:top w:val="single" w:sz="12" w:space="0" w:color="000000"/>
              <w:bottom w:val="single" w:sz="6" w:space="0" w:color="000000"/>
            </w:tcBorders>
            <w:vAlign w:val="center"/>
          </w:tcPr>
          <w:p w14:paraId="63F32197" w14:textId="77777777" w:rsidR="00820B4C" w:rsidRDefault="00000000">
            <w:pPr>
              <w:pStyle w:val="p1a"/>
              <w:jc w:val="left"/>
            </w:pPr>
            <w:r>
              <w:rPr>
                <w:b/>
                <w:sz w:val="16"/>
              </w:rPr>
              <w:t>Primary content</w:t>
            </w:r>
          </w:p>
        </w:tc>
        <w:tc>
          <w:tcPr>
            <w:tcW w:w="2306" w:type="dxa"/>
            <w:tcBorders>
              <w:top w:val="single" w:sz="12" w:space="0" w:color="000000"/>
              <w:bottom w:val="single" w:sz="6" w:space="0" w:color="000000"/>
            </w:tcBorders>
            <w:vAlign w:val="center"/>
          </w:tcPr>
          <w:p w14:paraId="015C7DEB" w14:textId="77777777" w:rsidR="00820B4C" w:rsidRDefault="00000000">
            <w:pPr>
              <w:pStyle w:val="p1a"/>
              <w:jc w:val="left"/>
            </w:pPr>
            <w:r>
              <w:rPr>
                <w:b/>
                <w:sz w:val="16"/>
              </w:rPr>
              <w:t>Curation function</w:t>
            </w:r>
          </w:p>
        </w:tc>
      </w:tr>
      <w:tr w:rsidR="00820B4C" w14:paraId="7616774C" w14:textId="77777777">
        <w:trPr>
          <w:cantSplit/>
          <w:jc w:val="center"/>
        </w:trPr>
        <w:tc>
          <w:tcPr>
            <w:tcW w:w="2306" w:type="dxa"/>
            <w:vAlign w:val="center"/>
          </w:tcPr>
          <w:p w14:paraId="346F468F" w14:textId="77777777" w:rsidR="00820B4C" w:rsidRDefault="00000000">
            <w:pPr>
              <w:pStyle w:val="p1a"/>
              <w:jc w:val="left"/>
            </w:pPr>
            <w:r>
              <w:rPr>
                <w:sz w:val="16"/>
              </w:rPr>
              <w:t>Source and query history</w:t>
            </w:r>
          </w:p>
        </w:tc>
        <w:tc>
          <w:tcPr>
            <w:tcW w:w="2306" w:type="dxa"/>
            <w:vAlign w:val="center"/>
          </w:tcPr>
          <w:p w14:paraId="2BF2AE5F" w14:textId="77777777" w:rsidR="00820B4C" w:rsidRDefault="00000000">
            <w:pPr>
              <w:pStyle w:val="p1a"/>
              <w:jc w:val="left"/>
            </w:pPr>
            <w:r>
              <w:rPr>
                <w:sz w:val="16"/>
              </w:rPr>
              <w:t>Location, revision, immutable SPARQL v0, append-only corrections</w:t>
            </w:r>
          </w:p>
        </w:tc>
        <w:tc>
          <w:tcPr>
            <w:tcW w:w="2306" w:type="dxa"/>
            <w:vAlign w:val="center"/>
          </w:tcPr>
          <w:p w14:paraId="181844DC" w14:textId="77777777" w:rsidR="00820B4C" w:rsidRDefault="00000000">
            <w:pPr>
              <w:pStyle w:val="p1a"/>
              <w:jc w:val="left"/>
            </w:pPr>
            <w:r>
              <w:rPr>
                <w:sz w:val="16"/>
              </w:rPr>
              <w:t>Separates source authorship from operational repair</w:t>
            </w:r>
          </w:p>
        </w:tc>
      </w:tr>
      <w:tr w:rsidR="00820B4C" w14:paraId="696D0392" w14:textId="77777777">
        <w:trPr>
          <w:cantSplit/>
          <w:jc w:val="center"/>
        </w:trPr>
        <w:tc>
          <w:tcPr>
            <w:tcW w:w="2306" w:type="dxa"/>
            <w:vAlign w:val="center"/>
          </w:tcPr>
          <w:p w14:paraId="56EB9478" w14:textId="77777777" w:rsidR="00820B4C" w:rsidRDefault="00000000">
            <w:pPr>
              <w:pStyle w:val="p1a"/>
              <w:jc w:val="left"/>
            </w:pPr>
            <w:r>
              <w:rPr>
                <w:sz w:val="16"/>
              </w:rPr>
              <w:t>Evidence alignment</w:t>
            </w:r>
          </w:p>
        </w:tc>
        <w:tc>
          <w:tcPr>
            <w:tcW w:w="2306" w:type="dxa"/>
            <w:vAlign w:val="center"/>
          </w:tcPr>
          <w:p w14:paraId="26ABB528" w14:textId="77777777" w:rsidR="00820B4C" w:rsidRDefault="00000000">
            <w:pPr>
              <w:pStyle w:val="p1a"/>
              <w:jc w:val="left"/>
            </w:pPr>
            <w:r>
              <w:rPr>
                <w:sz w:val="16"/>
              </w:rPr>
              <w:t>Ranked phrases, retained text, citations, alignment decision</w:t>
            </w:r>
          </w:p>
        </w:tc>
        <w:tc>
          <w:tcPr>
            <w:tcW w:w="2306" w:type="dxa"/>
            <w:vAlign w:val="center"/>
          </w:tcPr>
          <w:p w14:paraId="24519926" w14:textId="77777777" w:rsidR="00820B4C" w:rsidRDefault="00000000">
            <w:pPr>
              <w:pStyle w:val="p1a"/>
              <w:jc w:val="left"/>
            </w:pPr>
            <w:r>
              <w:rPr>
                <w:sz w:val="16"/>
              </w:rPr>
              <w:t>Makes query-specific grounding inspectable</w:t>
            </w:r>
          </w:p>
        </w:tc>
      </w:tr>
      <w:tr w:rsidR="00820B4C" w14:paraId="6DE7ED3B" w14:textId="77777777">
        <w:trPr>
          <w:cantSplit/>
          <w:jc w:val="center"/>
        </w:trPr>
        <w:tc>
          <w:tcPr>
            <w:tcW w:w="2306" w:type="dxa"/>
            <w:vAlign w:val="center"/>
          </w:tcPr>
          <w:p w14:paraId="162EDDCB" w14:textId="77777777" w:rsidR="00820B4C" w:rsidRDefault="00000000">
            <w:pPr>
              <w:pStyle w:val="p1a"/>
              <w:jc w:val="left"/>
            </w:pPr>
            <w:r>
              <w:rPr>
                <w:sz w:val="16"/>
              </w:rPr>
              <w:lastRenderedPageBreak/>
              <w:t>Candidate and generation</w:t>
            </w:r>
          </w:p>
        </w:tc>
        <w:tc>
          <w:tcPr>
            <w:tcW w:w="2306" w:type="dxa"/>
            <w:vAlign w:val="center"/>
          </w:tcPr>
          <w:p w14:paraId="1EFF81DA" w14:textId="77777777" w:rsidR="00820B4C" w:rsidRDefault="00000000">
            <w:pPr>
              <w:pStyle w:val="p1a"/>
              <w:jc w:val="left"/>
            </w:pPr>
            <w:r>
              <w:rPr>
                <w:sz w:val="16"/>
              </w:rPr>
              <w:t>Selected query, proposed wording, prompt, model, rationale</w:t>
            </w:r>
          </w:p>
        </w:tc>
        <w:tc>
          <w:tcPr>
            <w:tcW w:w="2306" w:type="dxa"/>
            <w:vAlign w:val="center"/>
          </w:tcPr>
          <w:p w14:paraId="4B253826" w14:textId="77777777" w:rsidR="00820B4C" w:rsidRDefault="00000000">
            <w:pPr>
              <w:pStyle w:val="p1a"/>
              <w:jc w:val="left"/>
            </w:pPr>
            <w:r>
              <w:rPr>
                <w:sz w:val="16"/>
              </w:rPr>
              <w:t>Keeps machine proposals provisional</w:t>
            </w:r>
          </w:p>
        </w:tc>
      </w:tr>
      <w:tr w:rsidR="00820B4C" w14:paraId="1357EE4B" w14:textId="77777777">
        <w:trPr>
          <w:cantSplit/>
          <w:jc w:val="center"/>
        </w:trPr>
        <w:tc>
          <w:tcPr>
            <w:tcW w:w="2306" w:type="dxa"/>
            <w:vAlign w:val="center"/>
          </w:tcPr>
          <w:p w14:paraId="7584F20E" w14:textId="77777777" w:rsidR="00820B4C" w:rsidRDefault="00000000">
            <w:pPr>
              <w:pStyle w:val="p1a"/>
              <w:jc w:val="left"/>
            </w:pPr>
            <w:r>
              <w:rPr>
                <w:sz w:val="16"/>
              </w:rPr>
              <w:t>Execution</w:t>
            </w:r>
          </w:p>
        </w:tc>
        <w:tc>
          <w:tcPr>
            <w:tcW w:w="2306" w:type="dxa"/>
            <w:vAlign w:val="center"/>
          </w:tcPr>
          <w:p w14:paraId="08470C95" w14:textId="77777777" w:rsidR="00820B4C" w:rsidRDefault="00000000">
            <w:pPr>
              <w:pStyle w:val="p1a"/>
              <w:jc w:val="left"/>
            </w:pPr>
            <w:r>
              <w:rPr>
                <w:sz w:val="16"/>
              </w:rPr>
              <w:t>Dated status, count, error, query hash</w:t>
            </w:r>
          </w:p>
        </w:tc>
        <w:tc>
          <w:tcPr>
            <w:tcW w:w="2306" w:type="dxa"/>
            <w:vAlign w:val="center"/>
          </w:tcPr>
          <w:p w14:paraId="28BA6F98" w14:textId="77777777" w:rsidR="00820B4C" w:rsidRDefault="00000000">
            <w:pPr>
              <w:pStyle w:val="p1a"/>
              <w:jc w:val="left"/>
            </w:pPr>
            <w:r>
              <w:rPr>
                <w:sz w:val="16"/>
              </w:rPr>
              <w:t>Records infrastructure behaviour as observation</w:t>
            </w:r>
          </w:p>
        </w:tc>
      </w:tr>
      <w:tr w:rsidR="00820B4C" w14:paraId="4153D088" w14:textId="77777777">
        <w:trPr>
          <w:cantSplit/>
          <w:jc w:val="center"/>
        </w:trPr>
        <w:tc>
          <w:tcPr>
            <w:tcW w:w="2306" w:type="dxa"/>
            <w:vAlign w:val="center"/>
          </w:tcPr>
          <w:p w14:paraId="2F5D5F15" w14:textId="77777777" w:rsidR="00820B4C" w:rsidRDefault="00000000">
            <w:pPr>
              <w:pStyle w:val="p1a"/>
              <w:jc w:val="left"/>
            </w:pPr>
            <w:r>
              <w:rPr>
                <w:sz w:val="16"/>
              </w:rPr>
              <w:t>Review</w:t>
            </w:r>
          </w:p>
        </w:tc>
        <w:tc>
          <w:tcPr>
            <w:tcW w:w="2306" w:type="dxa"/>
            <w:vAlign w:val="center"/>
          </w:tcPr>
          <w:p w14:paraId="2C156612" w14:textId="77777777" w:rsidR="00820B4C" w:rsidRDefault="00000000">
            <w:pPr>
              <w:pStyle w:val="p1a"/>
              <w:jc w:val="left"/>
            </w:pPr>
            <w:r>
              <w:rPr>
                <w:sz w:val="16"/>
              </w:rPr>
              <w:t>Retain/rewrite/dismiss, notes, alternatives</w:t>
            </w:r>
          </w:p>
        </w:tc>
        <w:tc>
          <w:tcPr>
            <w:tcW w:w="2306" w:type="dxa"/>
            <w:vAlign w:val="center"/>
          </w:tcPr>
          <w:p w14:paraId="4BF99848" w14:textId="77777777" w:rsidR="00820B4C" w:rsidRDefault="00000000">
            <w:pPr>
              <w:pStyle w:val="p1a"/>
              <w:jc w:val="left"/>
            </w:pPr>
            <w:r>
              <w:rPr>
                <w:sz w:val="16"/>
              </w:rPr>
              <w:t>Establishes the canonical pair through expert judgment</w:t>
            </w:r>
          </w:p>
        </w:tc>
      </w:tr>
      <w:tr w:rsidR="00820B4C" w14:paraId="248DCB6D" w14:textId="77777777">
        <w:trPr>
          <w:cantSplit/>
          <w:jc w:val="center"/>
        </w:trPr>
        <w:tc>
          <w:tcPr>
            <w:tcW w:w="2306" w:type="dxa"/>
            <w:tcBorders>
              <w:bottom w:val="single" w:sz="12" w:space="0" w:color="000000"/>
            </w:tcBorders>
            <w:vAlign w:val="center"/>
          </w:tcPr>
          <w:p w14:paraId="4773CB18" w14:textId="77777777" w:rsidR="00820B4C" w:rsidRDefault="00000000">
            <w:pPr>
              <w:pStyle w:val="p1a"/>
              <w:jc w:val="left"/>
            </w:pPr>
            <w:r>
              <w:rPr>
                <w:sz w:val="16"/>
              </w:rPr>
              <w:t>Publication</w:t>
            </w:r>
          </w:p>
        </w:tc>
        <w:tc>
          <w:tcPr>
            <w:tcW w:w="2306" w:type="dxa"/>
            <w:tcBorders>
              <w:bottom w:val="single" w:sz="12" w:space="0" w:color="000000"/>
            </w:tcBorders>
            <w:vAlign w:val="center"/>
          </w:tcPr>
          <w:p w14:paraId="404341D1" w14:textId="77777777" w:rsidR="00820B4C" w:rsidRDefault="00000000">
            <w:pPr>
              <w:pStyle w:val="p1a"/>
              <w:jc w:val="left"/>
            </w:pPr>
            <w:r>
              <w:rPr>
                <w:sz w:val="16"/>
              </w:rPr>
              <w:t>Canonical question, selected SPARQL, release metadata</w:t>
            </w:r>
          </w:p>
        </w:tc>
        <w:tc>
          <w:tcPr>
            <w:tcW w:w="2306" w:type="dxa"/>
            <w:tcBorders>
              <w:bottom w:val="single" w:sz="12" w:space="0" w:color="000000"/>
            </w:tcBorders>
            <w:vAlign w:val="center"/>
          </w:tcPr>
          <w:p w14:paraId="6F40D08E" w14:textId="77777777" w:rsidR="00820B4C" w:rsidRDefault="00000000">
            <w:pPr>
              <w:pStyle w:val="p1a"/>
              <w:jc w:val="left"/>
            </w:pPr>
            <w:r>
              <w:rPr>
                <w:sz w:val="16"/>
              </w:rPr>
              <w:t>Provides a stable scoring view</w:t>
            </w:r>
          </w:p>
        </w:tc>
      </w:tr>
    </w:tbl>
    <w:p w14:paraId="6EC1E78A" w14:textId="77777777" w:rsidR="00820B4C" w:rsidRDefault="00820B4C">
      <w:pPr>
        <w:pStyle w:val="p1a"/>
      </w:pPr>
    </w:p>
    <w:p w14:paraId="1FDC9C42" w14:textId="77777777" w:rsidR="00820B4C" w:rsidRDefault="00000000">
      <w:pPr>
        <w:pStyle w:val="p1a"/>
      </w:pPr>
      <w: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14:paraId="6D636505" w14:textId="77777777" w:rsidR="00820B4C" w:rsidRDefault="00000000">
      <w: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14:paraId="192750E1" w14:textId="77777777" w:rsidR="00820B4C" w:rsidRDefault="00000000">
      <w:pPr>
        <w:pStyle w:val="heading1"/>
      </w:pPr>
      <w:r>
        <w:t>Curation Audit of the v10 Snapshot</w:t>
      </w:r>
    </w:p>
    <w:p w14:paraId="1456761F" w14:textId="77777777" w:rsidR="00820B4C" w:rsidRDefault="00000000">
      <w:pPr>
        <w:pStyle w:val="heading2"/>
      </w:pPr>
      <w:r>
        <w:t>Corpus and Formulation Origins</w:t>
      </w:r>
    </w:p>
    <w:p w14:paraId="53FE4772" w14:textId="77777777" w:rsidR="00820B4C" w:rsidRDefault="00000000">
      <w:pPr>
        <w:pStyle w:val="p1a"/>
      </w:pPr>
      <w:commentRangeStart w:id="10"/>
      <w:r>
        <w:t>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[19]; Organs represents instruments, components, locations, and builders [16]; DTL1000 draws on the Jazz Ontology [20]; MusOW surveys music resources on the Web [21]; and LinkedMusic integrates heterogeneous music repositories [15] (Table 2).</w:t>
      </w:r>
      <w:commentRangeEnd w:id="10"/>
      <w:r>
        <w:rPr>
          <w:rStyle w:val="CommentReference"/>
          <w:sz w:val="20"/>
          <w:szCs w:val="20"/>
        </w:rPr>
        <w:commentReference w:id="10"/>
      </w:r>
    </w:p>
    <w:p w14:paraId="5D07C57E" w14:textId="77777777" w:rsidR="00820B4C" w:rsidRDefault="00000000">
      <w:pPr>
        <w:pStyle w:val="tablecaption"/>
      </w:pPr>
      <w:r>
        <w:rPr>
          <w:b/>
        </w:rPr>
        <w:t>Table 2.</w:t>
      </w:r>
      <w:r>
        <w:t xml:space="preserve"> Benchmark coverage and origin of the initial natural-language candidate.</w:t>
      </w:r>
    </w:p>
    <w:tbl>
      <w:tblPr>
        <w:tblW w:w="6917" w:type="dxa"/>
        <w:jc w:val="center"/>
        <w:tblLayout w:type="fixed"/>
        <w:tblCellMar>
          <w:top w:w="45" w:type="dxa"/>
          <w:left w:w="45" w:type="dxa"/>
          <w:bottom w:w="45" w:type="dxa"/>
          <w:right w:w="45" w:type="dxa"/>
        </w:tblCellMar>
        <w:tblLook w:val="04A0" w:firstRow="1" w:lastRow="0" w:firstColumn="1" w:lastColumn="0" w:noHBand="0" w:noVBand="1"/>
      </w:tblPr>
      <w:tblGrid>
        <w:gridCol w:w="1729"/>
        <w:gridCol w:w="1729"/>
        <w:gridCol w:w="1729"/>
        <w:gridCol w:w="1730"/>
      </w:tblGrid>
      <w:tr w:rsidR="00820B4C" w14:paraId="2F6A12E4" w14:textId="77777777">
        <w:trPr>
          <w:cantSplit/>
          <w:tblHeader/>
          <w:jc w:val="center"/>
        </w:trPr>
        <w:tc>
          <w:tcPr>
            <w:tcW w:w="1729" w:type="dxa"/>
            <w:tcBorders>
              <w:top w:val="single" w:sz="12" w:space="0" w:color="000000"/>
              <w:bottom w:val="single" w:sz="6" w:space="0" w:color="000000"/>
            </w:tcBorders>
            <w:vAlign w:val="center"/>
          </w:tcPr>
          <w:p w14:paraId="0E304DE4" w14:textId="77777777" w:rsidR="00820B4C" w:rsidRDefault="00000000">
            <w:pPr>
              <w:pStyle w:val="p1a"/>
              <w:jc w:val="left"/>
            </w:pPr>
            <w:r>
              <w:rPr>
                <w:b/>
                <w:sz w:val="16"/>
              </w:rPr>
              <w:t>Knowledge graph</w:t>
            </w:r>
          </w:p>
        </w:tc>
        <w:tc>
          <w:tcPr>
            <w:tcW w:w="1729" w:type="dxa"/>
            <w:tcBorders>
              <w:top w:val="single" w:sz="12" w:space="0" w:color="000000"/>
              <w:bottom w:val="single" w:sz="6" w:space="0" w:color="000000"/>
            </w:tcBorders>
            <w:vAlign w:val="center"/>
          </w:tcPr>
          <w:p w14:paraId="6E28D282" w14:textId="77777777" w:rsidR="00820B4C" w:rsidRDefault="00000000">
            <w:pPr>
              <w:pStyle w:val="p1a"/>
              <w:jc w:val="left"/>
            </w:pPr>
            <w:r>
              <w:rPr>
                <w:b/>
                <w:sz w:val="16"/>
              </w:rPr>
              <w:t>Pairs</w:t>
            </w:r>
          </w:p>
        </w:tc>
        <w:tc>
          <w:tcPr>
            <w:tcW w:w="1729" w:type="dxa"/>
            <w:tcBorders>
              <w:top w:val="single" w:sz="12" w:space="0" w:color="000000"/>
              <w:bottom w:val="single" w:sz="6" w:space="0" w:color="000000"/>
            </w:tcBorders>
            <w:vAlign w:val="center"/>
          </w:tcPr>
          <w:p w14:paraId="2F20A549" w14:textId="77777777" w:rsidR="00820B4C" w:rsidRDefault="00000000">
            <w:pPr>
              <w:pStyle w:val="p1a"/>
              <w:jc w:val="left"/>
            </w:pPr>
            <w:r>
              <w:rPr>
                <w:b/>
                <w:sz w:val="16"/>
              </w:rPr>
              <w:t>Source-grounded</w:t>
            </w:r>
          </w:p>
        </w:tc>
        <w:tc>
          <w:tcPr>
            <w:tcW w:w="1730" w:type="dxa"/>
            <w:tcBorders>
              <w:top w:val="single" w:sz="12" w:space="0" w:color="000000"/>
              <w:bottom w:val="single" w:sz="6" w:space="0" w:color="000000"/>
            </w:tcBorders>
            <w:vAlign w:val="center"/>
          </w:tcPr>
          <w:p w14:paraId="1271B644" w14:textId="77777777" w:rsidR="00820B4C" w:rsidRDefault="00000000">
            <w:pPr>
              <w:pStyle w:val="p1a"/>
              <w:jc w:val="left"/>
            </w:pPr>
            <w:r>
              <w:rPr>
                <w:b/>
                <w:sz w:val="16"/>
              </w:rPr>
              <w:t>Generated</w:t>
            </w:r>
          </w:p>
        </w:tc>
      </w:tr>
      <w:tr w:rsidR="00820B4C" w14:paraId="567209BA" w14:textId="77777777">
        <w:trPr>
          <w:cantSplit/>
          <w:jc w:val="center"/>
        </w:trPr>
        <w:tc>
          <w:tcPr>
            <w:tcW w:w="1729" w:type="dxa"/>
            <w:vAlign w:val="center"/>
          </w:tcPr>
          <w:p w14:paraId="1363738C" w14:textId="77777777" w:rsidR="00820B4C" w:rsidRDefault="00000000">
            <w:pPr>
              <w:pStyle w:val="p1a"/>
              <w:jc w:val="left"/>
            </w:pPr>
            <w:r>
              <w:rPr>
                <w:sz w:val="16"/>
              </w:rPr>
              <w:t>Musical Meetups</w:t>
            </w:r>
          </w:p>
        </w:tc>
        <w:tc>
          <w:tcPr>
            <w:tcW w:w="1729" w:type="dxa"/>
            <w:vAlign w:val="center"/>
          </w:tcPr>
          <w:p w14:paraId="6954769B" w14:textId="77777777" w:rsidR="00820B4C" w:rsidRDefault="00000000">
            <w:pPr>
              <w:pStyle w:val="p1a"/>
              <w:jc w:val="left"/>
            </w:pPr>
            <w:r>
              <w:rPr>
                <w:sz w:val="16"/>
              </w:rPr>
              <w:t>30</w:t>
            </w:r>
          </w:p>
        </w:tc>
        <w:tc>
          <w:tcPr>
            <w:tcW w:w="1729" w:type="dxa"/>
            <w:vAlign w:val="center"/>
          </w:tcPr>
          <w:p w14:paraId="685713B7" w14:textId="77777777" w:rsidR="00820B4C" w:rsidRDefault="00000000">
            <w:pPr>
              <w:pStyle w:val="p1a"/>
              <w:jc w:val="left"/>
            </w:pPr>
            <w:r>
              <w:rPr>
                <w:sz w:val="16"/>
              </w:rPr>
              <w:t>20</w:t>
            </w:r>
          </w:p>
        </w:tc>
        <w:tc>
          <w:tcPr>
            <w:tcW w:w="1730" w:type="dxa"/>
            <w:vAlign w:val="center"/>
          </w:tcPr>
          <w:p w14:paraId="6F9C3389" w14:textId="77777777" w:rsidR="00820B4C" w:rsidRDefault="00000000">
            <w:pPr>
              <w:pStyle w:val="p1a"/>
              <w:jc w:val="left"/>
            </w:pPr>
            <w:r>
              <w:rPr>
                <w:sz w:val="16"/>
              </w:rPr>
              <w:t>10</w:t>
            </w:r>
          </w:p>
        </w:tc>
      </w:tr>
      <w:tr w:rsidR="00820B4C" w14:paraId="48DB3971" w14:textId="77777777">
        <w:trPr>
          <w:cantSplit/>
          <w:jc w:val="center"/>
        </w:trPr>
        <w:tc>
          <w:tcPr>
            <w:tcW w:w="1729" w:type="dxa"/>
            <w:vAlign w:val="center"/>
          </w:tcPr>
          <w:p w14:paraId="6FEC0141" w14:textId="77777777" w:rsidR="00820B4C" w:rsidRDefault="00000000">
            <w:pPr>
              <w:pStyle w:val="p1a"/>
              <w:jc w:val="left"/>
            </w:pPr>
            <w:r>
              <w:rPr>
                <w:sz w:val="16"/>
              </w:rPr>
              <w:lastRenderedPageBreak/>
              <w:t>100 Years of Jazz (DTL1000)</w:t>
            </w:r>
          </w:p>
        </w:tc>
        <w:tc>
          <w:tcPr>
            <w:tcW w:w="1729" w:type="dxa"/>
            <w:vAlign w:val="center"/>
          </w:tcPr>
          <w:p w14:paraId="4BF90EE7" w14:textId="77777777" w:rsidR="00820B4C" w:rsidRDefault="00000000">
            <w:pPr>
              <w:pStyle w:val="p1a"/>
              <w:jc w:val="left"/>
            </w:pPr>
            <w:r>
              <w:rPr>
                <w:sz w:val="16"/>
              </w:rPr>
              <w:t>20</w:t>
            </w:r>
          </w:p>
        </w:tc>
        <w:tc>
          <w:tcPr>
            <w:tcW w:w="1729" w:type="dxa"/>
            <w:vAlign w:val="center"/>
          </w:tcPr>
          <w:p w14:paraId="2CBD8A29" w14:textId="77777777" w:rsidR="00820B4C" w:rsidRDefault="00000000">
            <w:pPr>
              <w:pStyle w:val="p1a"/>
              <w:jc w:val="left"/>
            </w:pPr>
            <w:r>
              <w:rPr>
                <w:sz w:val="16"/>
              </w:rPr>
              <w:t>9</w:t>
            </w:r>
          </w:p>
        </w:tc>
        <w:tc>
          <w:tcPr>
            <w:tcW w:w="1730" w:type="dxa"/>
            <w:vAlign w:val="center"/>
          </w:tcPr>
          <w:p w14:paraId="7E6A235A" w14:textId="77777777" w:rsidR="00820B4C" w:rsidRDefault="00000000">
            <w:pPr>
              <w:pStyle w:val="p1a"/>
              <w:jc w:val="left"/>
            </w:pPr>
            <w:r>
              <w:rPr>
                <w:sz w:val="16"/>
              </w:rPr>
              <w:t>11</w:t>
            </w:r>
          </w:p>
        </w:tc>
      </w:tr>
      <w:tr w:rsidR="00820B4C" w14:paraId="6AEEF753" w14:textId="77777777">
        <w:trPr>
          <w:cantSplit/>
          <w:jc w:val="center"/>
        </w:trPr>
        <w:tc>
          <w:tcPr>
            <w:tcW w:w="1729" w:type="dxa"/>
            <w:vAlign w:val="center"/>
          </w:tcPr>
          <w:p w14:paraId="1D3786BC" w14:textId="77777777" w:rsidR="00820B4C" w:rsidRDefault="00000000">
            <w:pPr>
              <w:pStyle w:val="p1a"/>
              <w:jc w:val="left"/>
            </w:pPr>
            <w:r>
              <w:rPr>
                <w:sz w:val="16"/>
              </w:rPr>
              <w:t>Music On the Web (MusOW)</w:t>
            </w:r>
          </w:p>
        </w:tc>
        <w:tc>
          <w:tcPr>
            <w:tcW w:w="1729" w:type="dxa"/>
            <w:vAlign w:val="center"/>
          </w:tcPr>
          <w:p w14:paraId="7638963D" w14:textId="77777777" w:rsidR="00820B4C" w:rsidRDefault="00000000">
            <w:pPr>
              <w:pStyle w:val="p1a"/>
              <w:jc w:val="left"/>
            </w:pPr>
            <w:r>
              <w:rPr>
                <w:sz w:val="16"/>
              </w:rPr>
              <w:t>20</w:t>
            </w:r>
          </w:p>
        </w:tc>
        <w:tc>
          <w:tcPr>
            <w:tcW w:w="1729" w:type="dxa"/>
            <w:vAlign w:val="center"/>
          </w:tcPr>
          <w:p w14:paraId="73E887FC" w14:textId="77777777" w:rsidR="00820B4C" w:rsidRDefault="00000000">
            <w:pPr>
              <w:pStyle w:val="p1a"/>
              <w:jc w:val="left"/>
            </w:pPr>
            <w:r>
              <w:rPr>
                <w:sz w:val="16"/>
              </w:rPr>
              <w:t>18</w:t>
            </w:r>
          </w:p>
        </w:tc>
        <w:tc>
          <w:tcPr>
            <w:tcW w:w="1730" w:type="dxa"/>
            <w:vAlign w:val="center"/>
          </w:tcPr>
          <w:p w14:paraId="3AB5C90E" w14:textId="77777777" w:rsidR="00820B4C" w:rsidRDefault="00000000">
            <w:pPr>
              <w:pStyle w:val="p1a"/>
              <w:jc w:val="left"/>
            </w:pPr>
            <w:r>
              <w:rPr>
                <w:sz w:val="16"/>
              </w:rPr>
              <w:t>2</w:t>
            </w:r>
          </w:p>
        </w:tc>
      </w:tr>
      <w:tr w:rsidR="00820B4C" w14:paraId="3C6C7A9C" w14:textId="77777777">
        <w:trPr>
          <w:cantSplit/>
          <w:jc w:val="center"/>
        </w:trPr>
        <w:tc>
          <w:tcPr>
            <w:tcW w:w="1729" w:type="dxa"/>
            <w:vAlign w:val="center"/>
          </w:tcPr>
          <w:p w14:paraId="6C9311CD" w14:textId="77777777" w:rsidR="00820B4C" w:rsidRDefault="00000000">
            <w:pPr>
              <w:pStyle w:val="p1a"/>
              <w:jc w:val="left"/>
            </w:pPr>
            <w:r>
              <w:rPr>
                <w:sz w:val="16"/>
              </w:rPr>
              <w:t>LinkedMusic</w:t>
            </w:r>
          </w:p>
        </w:tc>
        <w:tc>
          <w:tcPr>
            <w:tcW w:w="1729" w:type="dxa"/>
            <w:vAlign w:val="center"/>
          </w:tcPr>
          <w:p w14:paraId="611EDFFB" w14:textId="77777777" w:rsidR="00820B4C" w:rsidRDefault="00000000">
            <w:pPr>
              <w:pStyle w:val="p1a"/>
              <w:jc w:val="left"/>
            </w:pPr>
            <w:r>
              <w:rPr>
                <w:sz w:val="16"/>
              </w:rPr>
              <w:t>21</w:t>
            </w:r>
          </w:p>
        </w:tc>
        <w:tc>
          <w:tcPr>
            <w:tcW w:w="1729" w:type="dxa"/>
            <w:vAlign w:val="center"/>
          </w:tcPr>
          <w:p w14:paraId="7883796C" w14:textId="77777777" w:rsidR="00820B4C" w:rsidRDefault="00000000">
            <w:pPr>
              <w:pStyle w:val="p1a"/>
              <w:jc w:val="left"/>
            </w:pPr>
            <w:r>
              <w:rPr>
                <w:sz w:val="16"/>
              </w:rPr>
              <w:t>20</w:t>
            </w:r>
          </w:p>
        </w:tc>
        <w:tc>
          <w:tcPr>
            <w:tcW w:w="1730" w:type="dxa"/>
            <w:vAlign w:val="center"/>
          </w:tcPr>
          <w:p w14:paraId="66D60AE2" w14:textId="77777777" w:rsidR="00820B4C" w:rsidRDefault="00000000">
            <w:pPr>
              <w:pStyle w:val="p1a"/>
              <w:jc w:val="left"/>
            </w:pPr>
            <w:r>
              <w:rPr>
                <w:sz w:val="16"/>
              </w:rPr>
              <w:t>1</w:t>
            </w:r>
          </w:p>
        </w:tc>
      </w:tr>
      <w:tr w:rsidR="00820B4C" w14:paraId="00B02855" w14:textId="77777777">
        <w:trPr>
          <w:cantSplit/>
          <w:jc w:val="center"/>
        </w:trPr>
        <w:tc>
          <w:tcPr>
            <w:tcW w:w="1729" w:type="dxa"/>
            <w:vAlign w:val="center"/>
          </w:tcPr>
          <w:p w14:paraId="28A88BD7" w14:textId="77777777" w:rsidR="00820B4C" w:rsidRDefault="00000000">
            <w:pPr>
              <w:pStyle w:val="p1a"/>
              <w:jc w:val="left"/>
            </w:pPr>
            <w:r>
              <w:rPr>
                <w:sz w:val="16"/>
              </w:rPr>
              <w:t>Organs</w:t>
            </w:r>
          </w:p>
        </w:tc>
        <w:tc>
          <w:tcPr>
            <w:tcW w:w="1729" w:type="dxa"/>
            <w:vAlign w:val="center"/>
          </w:tcPr>
          <w:p w14:paraId="6509706C" w14:textId="77777777" w:rsidR="00820B4C" w:rsidRDefault="00000000">
            <w:pPr>
              <w:pStyle w:val="p1a"/>
              <w:jc w:val="left"/>
            </w:pPr>
            <w:r>
              <w:rPr>
                <w:sz w:val="16"/>
              </w:rPr>
              <w:t>9</w:t>
            </w:r>
          </w:p>
        </w:tc>
        <w:tc>
          <w:tcPr>
            <w:tcW w:w="1729" w:type="dxa"/>
            <w:vAlign w:val="center"/>
          </w:tcPr>
          <w:p w14:paraId="362ADDB7" w14:textId="77777777" w:rsidR="00820B4C" w:rsidRDefault="00000000">
            <w:pPr>
              <w:pStyle w:val="p1a"/>
              <w:jc w:val="left"/>
            </w:pPr>
            <w:r>
              <w:rPr>
                <w:sz w:val="16"/>
              </w:rPr>
              <w:t>4</w:t>
            </w:r>
          </w:p>
        </w:tc>
        <w:tc>
          <w:tcPr>
            <w:tcW w:w="1730" w:type="dxa"/>
            <w:vAlign w:val="center"/>
          </w:tcPr>
          <w:p w14:paraId="25888056" w14:textId="77777777" w:rsidR="00820B4C" w:rsidRDefault="00000000">
            <w:pPr>
              <w:pStyle w:val="p1a"/>
              <w:jc w:val="left"/>
            </w:pPr>
            <w:r>
              <w:rPr>
                <w:sz w:val="16"/>
              </w:rPr>
              <w:t>5</w:t>
            </w:r>
          </w:p>
        </w:tc>
      </w:tr>
      <w:tr w:rsidR="00820B4C" w14:paraId="0BC58E53" w14:textId="77777777">
        <w:trPr>
          <w:cantSplit/>
          <w:jc w:val="center"/>
        </w:trPr>
        <w:tc>
          <w:tcPr>
            <w:tcW w:w="1729" w:type="dxa"/>
            <w:tcBorders>
              <w:bottom w:val="single" w:sz="12" w:space="0" w:color="000000"/>
            </w:tcBorders>
            <w:vAlign w:val="center"/>
          </w:tcPr>
          <w:p w14:paraId="0107E421" w14:textId="77777777" w:rsidR="00820B4C" w:rsidRDefault="00000000">
            <w:pPr>
              <w:pStyle w:val="p1a"/>
              <w:jc w:val="left"/>
            </w:pPr>
            <w:r>
              <w:rPr>
                <w:sz w:val="16"/>
              </w:rPr>
              <w:t>Total</w:t>
            </w:r>
          </w:p>
        </w:tc>
        <w:tc>
          <w:tcPr>
            <w:tcW w:w="1729" w:type="dxa"/>
            <w:tcBorders>
              <w:bottom w:val="single" w:sz="12" w:space="0" w:color="000000"/>
            </w:tcBorders>
            <w:vAlign w:val="center"/>
          </w:tcPr>
          <w:p w14:paraId="26C76FA7" w14:textId="77777777" w:rsidR="00820B4C" w:rsidRDefault="00000000">
            <w:pPr>
              <w:pStyle w:val="p1a"/>
              <w:jc w:val="left"/>
            </w:pPr>
            <w:r>
              <w:rPr>
                <w:sz w:val="16"/>
              </w:rPr>
              <w:t>100</w:t>
            </w:r>
          </w:p>
        </w:tc>
        <w:tc>
          <w:tcPr>
            <w:tcW w:w="1729" w:type="dxa"/>
            <w:tcBorders>
              <w:bottom w:val="single" w:sz="12" w:space="0" w:color="000000"/>
            </w:tcBorders>
            <w:vAlign w:val="center"/>
          </w:tcPr>
          <w:p w14:paraId="4C131858" w14:textId="77777777" w:rsidR="00820B4C" w:rsidRDefault="00000000">
            <w:pPr>
              <w:pStyle w:val="p1a"/>
              <w:jc w:val="left"/>
            </w:pPr>
            <w:r>
              <w:rPr>
                <w:sz w:val="16"/>
              </w:rPr>
              <w:t>71</w:t>
            </w:r>
          </w:p>
        </w:tc>
        <w:tc>
          <w:tcPr>
            <w:tcW w:w="1730" w:type="dxa"/>
            <w:tcBorders>
              <w:bottom w:val="single" w:sz="12" w:space="0" w:color="000000"/>
            </w:tcBorders>
            <w:vAlign w:val="center"/>
          </w:tcPr>
          <w:p w14:paraId="1399BBC7" w14:textId="77777777" w:rsidR="00820B4C" w:rsidRDefault="00000000">
            <w:pPr>
              <w:pStyle w:val="p1a"/>
              <w:jc w:val="left"/>
            </w:pPr>
            <w:r>
              <w:rPr>
                <w:sz w:val="16"/>
              </w:rPr>
              <w:t>29</w:t>
            </w:r>
          </w:p>
        </w:tc>
      </w:tr>
    </w:tbl>
    <w:p w14:paraId="34F1AF24" w14:textId="77777777" w:rsidR="00820B4C" w:rsidRDefault="00000000">
      <w:pPr>
        <w:pStyle w:val="p1a"/>
      </w:pPr>
      <w: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14:paraId="36D8B944" w14:textId="77777777" w:rsidR="00820B4C" w:rsidRDefault="00000000">
      <w:pPr>
        <w:pStyle w:val="heading2"/>
      </w:pPr>
      <w:r>
        <w:t>Effect of Expert Review</w:t>
      </w:r>
    </w:p>
    <w:p w14:paraId="33484098" w14:textId="77777777" w:rsidR="00820B4C" w:rsidRDefault="00000000">
      <w:pPr>
        <w:pStyle w:val="p1a"/>
      </w:pPr>
      <w: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14:paraId="75E2C75B" w14:textId="77777777" w:rsidR="00820B4C" w:rsidRDefault="00000000">
      <w:pPr>
        <w:pStyle w:val="tablecaption"/>
      </w:pPr>
      <w:r>
        <w:rPr>
          <w:b/>
        </w:rPr>
        <w:t>Table 3.</w:t>
      </w:r>
      <w:r>
        <w:t xml:space="preserve"> Effect of expert review on the initial candidate.</w:t>
      </w:r>
    </w:p>
    <w:tbl>
      <w:tblPr>
        <w:tblW w:w="6917" w:type="dxa"/>
        <w:jc w:val="center"/>
        <w:tblLayout w:type="fixed"/>
        <w:tblCellMar>
          <w:top w:w="45" w:type="dxa"/>
          <w:left w:w="45" w:type="dxa"/>
          <w:bottom w:w="45" w:type="dxa"/>
          <w:right w:w="45" w:type="dxa"/>
        </w:tblCellMar>
        <w:tblLook w:val="04A0" w:firstRow="1" w:lastRow="0" w:firstColumn="1" w:lastColumn="0" w:noHBand="0" w:noVBand="1"/>
      </w:tblPr>
      <w:tblGrid>
        <w:gridCol w:w="1729"/>
        <w:gridCol w:w="1729"/>
        <w:gridCol w:w="1729"/>
        <w:gridCol w:w="1730"/>
      </w:tblGrid>
      <w:tr w:rsidR="00820B4C" w14:paraId="6727FF2F" w14:textId="77777777">
        <w:trPr>
          <w:cantSplit/>
          <w:tblHeader/>
          <w:jc w:val="center"/>
        </w:trPr>
        <w:tc>
          <w:tcPr>
            <w:tcW w:w="1729" w:type="dxa"/>
            <w:tcBorders>
              <w:top w:val="single" w:sz="12" w:space="0" w:color="000000"/>
              <w:bottom w:val="single" w:sz="6" w:space="0" w:color="000000"/>
            </w:tcBorders>
            <w:vAlign w:val="center"/>
          </w:tcPr>
          <w:p w14:paraId="1806DA7C" w14:textId="77777777" w:rsidR="00820B4C" w:rsidRDefault="00000000">
            <w:pPr>
              <w:pStyle w:val="p1a"/>
              <w:jc w:val="left"/>
            </w:pPr>
            <w:r>
              <w:rPr>
                <w:b/>
                <w:sz w:val="16"/>
              </w:rPr>
              <w:t>Initial candidate</w:t>
            </w:r>
          </w:p>
        </w:tc>
        <w:tc>
          <w:tcPr>
            <w:tcW w:w="1729" w:type="dxa"/>
            <w:tcBorders>
              <w:top w:val="single" w:sz="12" w:space="0" w:color="000000"/>
              <w:bottom w:val="single" w:sz="6" w:space="0" w:color="000000"/>
            </w:tcBorders>
            <w:vAlign w:val="center"/>
          </w:tcPr>
          <w:p w14:paraId="59F8743A" w14:textId="77777777" w:rsidR="00820B4C" w:rsidRDefault="00000000">
            <w:pPr>
              <w:pStyle w:val="p1a"/>
              <w:jc w:val="left"/>
            </w:pPr>
            <w:r>
              <w:rPr>
                <w:b/>
                <w:sz w:val="16"/>
              </w:rPr>
              <w:t>Retained</w:t>
            </w:r>
          </w:p>
        </w:tc>
        <w:tc>
          <w:tcPr>
            <w:tcW w:w="1729" w:type="dxa"/>
            <w:tcBorders>
              <w:top w:val="single" w:sz="12" w:space="0" w:color="000000"/>
              <w:bottom w:val="single" w:sz="6" w:space="0" w:color="000000"/>
            </w:tcBorders>
            <w:vAlign w:val="center"/>
          </w:tcPr>
          <w:p w14:paraId="2B8FC337" w14:textId="77777777" w:rsidR="00820B4C" w:rsidRDefault="00000000">
            <w:pPr>
              <w:pStyle w:val="p1a"/>
              <w:jc w:val="left"/>
            </w:pPr>
            <w:r>
              <w:rPr>
                <w:b/>
                <w:sz w:val="16"/>
              </w:rPr>
              <w:t>Reviewer rewrite</w:t>
            </w:r>
          </w:p>
        </w:tc>
        <w:tc>
          <w:tcPr>
            <w:tcW w:w="1730" w:type="dxa"/>
            <w:tcBorders>
              <w:top w:val="single" w:sz="12" w:space="0" w:color="000000"/>
              <w:bottom w:val="single" w:sz="6" w:space="0" w:color="000000"/>
            </w:tcBorders>
            <w:vAlign w:val="center"/>
          </w:tcPr>
          <w:p w14:paraId="4540EF45" w14:textId="77777777" w:rsidR="00820B4C" w:rsidRDefault="00000000">
            <w:pPr>
              <w:pStyle w:val="p1a"/>
              <w:jc w:val="left"/>
            </w:pPr>
            <w:r>
              <w:rPr>
                <w:b/>
                <w:sz w:val="16"/>
              </w:rPr>
              <w:t>Total</w:t>
            </w:r>
          </w:p>
        </w:tc>
      </w:tr>
      <w:tr w:rsidR="00820B4C" w14:paraId="7ECB7BAD" w14:textId="77777777">
        <w:trPr>
          <w:cantSplit/>
          <w:jc w:val="center"/>
        </w:trPr>
        <w:tc>
          <w:tcPr>
            <w:tcW w:w="1729" w:type="dxa"/>
            <w:vAlign w:val="center"/>
          </w:tcPr>
          <w:p w14:paraId="0475951B" w14:textId="77777777" w:rsidR="00820B4C" w:rsidRDefault="00000000">
            <w:pPr>
              <w:pStyle w:val="p1a"/>
              <w:jc w:val="left"/>
            </w:pPr>
            <w:r>
              <w:rPr>
                <w:sz w:val="16"/>
              </w:rPr>
              <w:t>Direct source wording</w:t>
            </w:r>
          </w:p>
        </w:tc>
        <w:tc>
          <w:tcPr>
            <w:tcW w:w="1729" w:type="dxa"/>
            <w:vAlign w:val="center"/>
          </w:tcPr>
          <w:p w14:paraId="2DE5D6EB" w14:textId="77777777" w:rsidR="00820B4C" w:rsidRDefault="00000000">
            <w:pPr>
              <w:pStyle w:val="p1a"/>
              <w:jc w:val="left"/>
            </w:pPr>
            <w:r>
              <w:rPr>
                <w:sz w:val="16"/>
              </w:rPr>
              <w:t>25</w:t>
            </w:r>
          </w:p>
        </w:tc>
        <w:tc>
          <w:tcPr>
            <w:tcW w:w="1729" w:type="dxa"/>
            <w:vAlign w:val="center"/>
          </w:tcPr>
          <w:p w14:paraId="6572D25B" w14:textId="77777777" w:rsidR="00820B4C" w:rsidRDefault="00000000">
            <w:pPr>
              <w:pStyle w:val="p1a"/>
              <w:jc w:val="left"/>
            </w:pPr>
            <w:r>
              <w:rPr>
                <w:sz w:val="16"/>
              </w:rPr>
              <w:t>3</w:t>
            </w:r>
          </w:p>
        </w:tc>
        <w:tc>
          <w:tcPr>
            <w:tcW w:w="1730" w:type="dxa"/>
            <w:vAlign w:val="center"/>
          </w:tcPr>
          <w:p w14:paraId="00FCD6DD" w14:textId="77777777" w:rsidR="00820B4C" w:rsidRDefault="00000000">
            <w:pPr>
              <w:pStyle w:val="p1a"/>
              <w:jc w:val="left"/>
            </w:pPr>
            <w:r>
              <w:rPr>
                <w:sz w:val="16"/>
              </w:rPr>
              <w:t>28</w:t>
            </w:r>
          </w:p>
        </w:tc>
      </w:tr>
      <w:tr w:rsidR="00820B4C" w14:paraId="27C774D5" w14:textId="77777777">
        <w:trPr>
          <w:cantSplit/>
          <w:jc w:val="center"/>
        </w:trPr>
        <w:tc>
          <w:tcPr>
            <w:tcW w:w="1729" w:type="dxa"/>
            <w:vAlign w:val="center"/>
          </w:tcPr>
          <w:p w14:paraId="5F54A02C" w14:textId="77777777" w:rsidR="00820B4C" w:rsidRDefault="00000000">
            <w:pPr>
              <w:pStyle w:val="p1a"/>
              <w:jc w:val="left"/>
            </w:pPr>
            <w:r>
              <w:rPr>
                <w:sz w:val="16"/>
              </w:rPr>
              <w:t>Source-based paraphrase</w:t>
            </w:r>
          </w:p>
        </w:tc>
        <w:tc>
          <w:tcPr>
            <w:tcW w:w="1729" w:type="dxa"/>
            <w:vAlign w:val="center"/>
          </w:tcPr>
          <w:p w14:paraId="4C9194D2" w14:textId="77777777" w:rsidR="00820B4C" w:rsidRDefault="00000000">
            <w:pPr>
              <w:pStyle w:val="p1a"/>
              <w:jc w:val="left"/>
            </w:pPr>
            <w:r>
              <w:rPr>
                <w:sz w:val="16"/>
              </w:rPr>
              <w:t>18</w:t>
            </w:r>
          </w:p>
        </w:tc>
        <w:tc>
          <w:tcPr>
            <w:tcW w:w="1729" w:type="dxa"/>
            <w:vAlign w:val="center"/>
          </w:tcPr>
          <w:p w14:paraId="08071828" w14:textId="77777777" w:rsidR="00820B4C" w:rsidRDefault="00000000">
            <w:pPr>
              <w:pStyle w:val="p1a"/>
              <w:jc w:val="left"/>
            </w:pPr>
            <w:r>
              <w:rPr>
                <w:sz w:val="16"/>
              </w:rPr>
              <w:t>25</w:t>
            </w:r>
          </w:p>
        </w:tc>
        <w:tc>
          <w:tcPr>
            <w:tcW w:w="1730" w:type="dxa"/>
            <w:vAlign w:val="center"/>
          </w:tcPr>
          <w:p w14:paraId="13365E2C" w14:textId="77777777" w:rsidR="00820B4C" w:rsidRDefault="00000000">
            <w:pPr>
              <w:pStyle w:val="p1a"/>
              <w:jc w:val="left"/>
            </w:pPr>
            <w:r>
              <w:rPr>
                <w:sz w:val="16"/>
              </w:rPr>
              <w:t>43</w:t>
            </w:r>
          </w:p>
        </w:tc>
      </w:tr>
      <w:tr w:rsidR="00820B4C" w14:paraId="76806A09" w14:textId="77777777">
        <w:trPr>
          <w:cantSplit/>
          <w:jc w:val="center"/>
        </w:trPr>
        <w:tc>
          <w:tcPr>
            <w:tcW w:w="1729" w:type="dxa"/>
            <w:vAlign w:val="center"/>
          </w:tcPr>
          <w:p w14:paraId="29D9E7B9" w14:textId="77777777" w:rsidR="00820B4C" w:rsidRDefault="00000000">
            <w:pPr>
              <w:pStyle w:val="p1a"/>
              <w:jc w:val="left"/>
            </w:pPr>
            <w:r>
              <w:rPr>
                <w:sz w:val="16"/>
              </w:rPr>
              <w:t>Generated</w:t>
            </w:r>
          </w:p>
        </w:tc>
        <w:tc>
          <w:tcPr>
            <w:tcW w:w="1729" w:type="dxa"/>
            <w:vAlign w:val="center"/>
          </w:tcPr>
          <w:p w14:paraId="279B5D9B" w14:textId="77777777" w:rsidR="00820B4C" w:rsidRDefault="00000000">
            <w:pPr>
              <w:pStyle w:val="p1a"/>
              <w:jc w:val="left"/>
            </w:pPr>
            <w:r>
              <w:rPr>
                <w:sz w:val="16"/>
              </w:rPr>
              <w:t>9</w:t>
            </w:r>
          </w:p>
        </w:tc>
        <w:tc>
          <w:tcPr>
            <w:tcW w:w="1729" w:type="dxa"/>
            <w:vAlign w:val="center"/>
          </w:tcPr>
          <w:p w14:paraId="0E62BC08" w14:textId="77777777" w:rsidR="00820B4C" w:rsidRDefault="00000000">
            <w:pPr>
              <w:pStyle w:val="p1a"/>
              <w:jc w:val="left"/>
            </w:pPr>
            <w:r>
              <w:rPr>
                <w:sz w:val="16"/>
              </w:rPr>
              <w:t>20</w:t>
            </w:r>
          </w:p>
        </w:tc>
        <w:tc>
          <w:tcPr>
            <w:tcW w:w="1730" w:type="dxa"/>
            <w:vAlign w:val="center"/>
          </w:tcPr>
          <w:p w14:paraId="7CD445A3" w14:textId="77777777" w:rsidR="00820B4C" w:rsidRDefault="00000000">
            <w:pPr>
              <w:pStyle w:val="p1a"/>
              <w:jc w:val="left"/>
            </w:pPr>
            <w:r>
              <w:rPr>
                <w:sz w:val="16"/>
              </w:rPr>
              <w:t>29</w:t>
            </w:r>
          </w:p>
        </w:tc>
      </w:tr>
      <w:tr w:rsidR="00820B4C" w14:paraId="242D62D4" w14:textId="77777777">
        <w:trPr>
          <w:cantSplit/>
          <w:jc w:val="center"/>
        </w:trPr>
        <w:tc>
          <w:tcPr>
            <w:tcW w:w="1729" w:type="dxa"/>
            <w:tcBorders>
              <w:bottom w:val="single" w:sz="12" w:space="0" w:color="000000"/>
            </w:tcBorders>
            <w:vAlign w:val="center"/>
          </w:tcPr>
          <w:p w14:paraId="3770C3CC" w14:textId="77777777" w:rsidR="00820B4C" w:rsidRDefault="00000000">
            <w:pPr>
              <w:pStyle w:val="p1a"/>
              <w:jc w:val="left"/>
            </w:pPr>
            <w:r>
              <w:rPr>
                <w:sz w:val="16"/>
              </w:rPr>
              <w:t>Total</w:t>
            </w:r>
          </w:p>
        </w:tc>
        <w:tc>
          <w:tcPr>
            <w:tcW w:w="1729" w:type="dxa"/>
            <w:tcBorders>
              <w:bottom w:val="single" w:sz="12" w:space="0" w:color="000000"/>
            </w:tcBorders>
            <w:vAlign w:val="center"/>
          </w:tcPr>
          <w:p w14:paraId="7C142B91" w14:textId="77777777" w:rsidR="00820B4C" w:rsidRDefault="00000000">
            <w:pPr>
              <w:pStyle w:val="p1a"/>
              <w:jc w:val="left"/>
            </w:pPr>
            <w:r>
              <w:rPr>
                <w:sz w:val="16"/>
              </w:rPr>
              <w:t>52</w:t>
            </w:r>
          </w:p>
        </w:tc>
        <w:tc>
          <w:tcPr>
            <w:tcW w:w="1729" w:type="dxa"/>
            <w:tcBorders>
              <w:bottom w:val="single" w:sz="12" w:space="0" w:color="000000"/>
            </w:tcBorders>
            <w:vAlign w:val="center"/>
          </w:tcPr>
          <w:p w14:paraId="2CD85E4D" w14:textId="77777777" w:rsidR="00820B4C" w:rsidRDefault="00000000">
            <w:pPr>
              <w:pStyle w:val="p1a"/>
              <w:jc w:val="left"/>
            </w:pPr>
            <w:r>
              <w:rPr>
                <w:sz w:val="16"/>
              </w:rPr>
              <w:t>48</w:t>
            </w:r>
          </w:p>
        </w:tc>
        <w:tc>
          <w:tcPr>
            <w:tcW w:w="1730" w:type="dxa"/>
            <w:tcBorders>
              <w:bottom w:val="single" w:sz="12" w:space="0" w:color="000000"/>
            </w:tcBorders>
            <w:vAlign w:val="center"/>
          </w:tcPr>
          <w:p w14:paraId="03A676EF" w14:textId="77777777" w:rsidR="00820B4C" w:rsidRDefault="00000000">
            <w:pPr>
              <w:pStyle w:val="p1a"/>
              <w:jc w:val="left"/>
            </w:pPr>
            <w:r>
              <w:rPr>
                <w:sz w:val="16"/>
              </w:rPr>
              <w:t>100</w:t>
            </w:r>
          </w:p>
        </w:tc>
      </w:tr>
    </w:tbl>
    <w:p w14:paraId="7C3514BC" w14:textId="77777777" w:rsidR="00820B4C" w:rsidRDefault="00820B4C">
      <w:pPr>
        <w:pStyle w:val="p1a"/>
      </w:pPr>
    </w:p>
    <w:p w14:paraId="1B697991" w14:textId="77777777" w:rsidR="00820B4C" w:rsidRDefault="00000000">
      <w:pPr>
        <w:pStyle w:val="p1a"/>
      </w:pPr>
      <w:commentRangeStart w:id="11"/>
      <w: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commentRangeEnd w:id="11"/>
      <w:r>
        <w:rPr>
          <w:rStyle w:val="CommentReference"/>
          <w:sz w:val="20"/>
          <w:szCs w:val="20"/>
        </w:rPr>
        <w:commentReference w:id="11"/>
      </w:r>
    </w:p>
    <w:p w14:paraId="38698086" w14:textId="77777777" w:rsidR="00820B4C" w:rsidRDefault="00000000">
      <w:pPr>
        <w:pStyle w:val="heading1"/>
      </w:pPr>
      <w:r>
        <w:lastRenderedPageBreak/>
        <w:t>Where Review Changes Meaning</w:t>
      </w:r>
    </w:p>
    <w:p w14:paraId="42746E25" w14:textId="77777777" w:rsidR="00820B4C" w:rsidRDefault="00000000">
      <w:pPr>
        <w:pStyle w:val="p1a"/>
      </w:pPr>
      <w:r>
        <w:t>Qualitative inspection of rewritten and disputed cases identified four recurring reasons for intervention. They are not an exhaustive taxonomy; they show why expert adjudication remains necessary after evidence has been assembled.</w:t>
      </w:r>
    </w:p>
    <w:p w14:paraId="07B256A3" w14:textId="77777777" w:rsidR="00820B4C" w:rsidRDefault="00000000">
      <w:pPr>
        <w:pStyle w:val="heading2"/>
      </w:pPr>
      <w:r>
        <w:t>Ontology Terminology and Answer-Variable Salience</w:t>
      </w:r>
    </w:p>
    <w:p w14:paraId="5FB272D8" w14:textId="77777777" w:rsidR="00820B4C" w:rsidRDefault="00000000">
      <w:pPr>
        <w:pStyle w:val="p1a"/>
      </w:pPr>
      <w:commentRangeStart w:id="12"/>
      <w:r>
        <w:t>Figure 2 provides the central example because one pair exposes two independent review problems. The SPARQL selects the mo:Release titled On Broadway, Vol. 1 and returns its tracks, performing band, recording date, and place. The earlier formulation called the release an 'album' and omitted the band, both was corrected by the reviewer.</w:t>
      </w:r>
      <w:commentRangeEnd w:id="12"/>
      <w:r>
        <w:rPr>
          <w:rStyle w:val="CommentReference"/>
          <w:sz w:val="20"/>
          <w:szCs w:val="20"/>
        </w:rPr>
        <w:commentReference w:id="12"/>
      </w:r>
    </w:p>
    <w:p w14:paraId="5BECBB2F" w14:textId="77777777" w:rsidR="00820B4C" w:rsidRDefault="00000000">
      <w:r>
        <w:t>While the missing band information was a semantic error, the album/release terminology decision was not straightforward. The Music Ontology distinguishes an album-level SignalGroup from its publication as a Release [2].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14:paraId="23D5D770" w14:textId="77777777" w:rsidR="00820B4C" w:rsidRDefault="00000000">
      <w:pPr>
        <w:pStyle w:val="heading2"/>
      </w:pPr>
      <w:r>
        <w:t>Computational Operation Versus Communicative Salience</w:t>
      </w:r>
    </w:p>
    <w:p w14:paraId="5DB6A39A" w14:textId="77777777" w:rsidR="00820B4C" w:rsidRDefault="00000000">
      <w:pPr>
        <w:pStyle w:val="p1a"/>
      </w:pPr>
      <w: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14:paraId="42AF2276" w14:textId="77777777" w:rsidR="00820B4C" w:rsidRDefault="00000000">
      <w:pPr>
        <w:pStyle w:val="heading2"/>
      </w:pPr>
      <w:r>
        <w:t>Provenance Fields as Answers or Support</w:t>
      </w:r>
    </w:p>
    <w:p w14:paraId="53C9E8B3" w14:textId="77777777" w:rsidR="00820B4C" w:rsidRDefault="00000000">
      <w:pPr>
        <w:pStyle w:val="p1a"/>
      </w:pPr>
      <w: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14:paraId="03F10115" w14:textId="77777777" w:rsidR="00820B4C" w:rsidRDefault="00000000">
      <w:pPr>
        <w:pStyle w:val="heading2"/>
      </w:pPr>
      <w:r>
        <w:lastRenderedPageBreak/>
        <w:t>Implementation Mechanism Versus Domain Concept</w:t>
      </w:r>
    </w:p>
    <w:p w14:paraId="4FC3453D" w14:textId="77777777" w:rsidR="00820B4C" w:rsidRDefault="00000000">
      <w:pPr>
        <w:pStyle w:val="p1a"/>
      </w:pPr>
      <w: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14:paraId="1144215C" w14:textId="77777777" w:rsidR="00820B4C" w:rsidRDefault="00820B4C"/>
    <w:p w14:paraId="7DC084FC" w14:textId="77777777" w:rsidR="00820B4C" w:rsidRDefault="00000000">
      <w: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14:paraId="5DBAAB16" w14:textId="77777777" w:rsidR="00820B4C" w:rsidRDefault="00000000">
      <w:pPr>
        <w:pStyle w:val="heading1"/>
      </w:pPr>
      <w:r>
        <w:t>Discussion and Conclusion</w:t>
      </w:r>
    </w:p>
    <w:p w14:paraId="5D42486D" w14:textId="77777777" w:rsidR="00820B4C" w:rsidRDefault="00000000">
      <w:pPr>
        <w:pStyle w:val="p1a"/>
      </w:pPr>
      <w:commentRangeStart w:id="13"/>
      <w:commentRangeStart w:id="14"/>
      <w: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streamlining and speeding up curation: it is a shift from end-to-end manual authorship toward expert adjudication over traceable candidates. The 52 retained and 48 rewritten formulations show both sides of that division, although the study does not measure time or cost against a fully manual baseline.</w:t>
      </w:r>
      <w:commentRangeEnd w:id="14"/>
      <w:r>
        <w:rPr>
          <w:rStyle w:val="CommentReference"/>
          <w:sz w:val="20"/>
          <w:szCs w:val="20"/>
        </w:rPr>
        <w:commentReference w:id="14"/>
      </w:r>
      <w:commentRangeEnd w:id="13"/>
      <w:r>
        <w:rPr>
          <w:rStyle w:val="CommentReference"/>
          <w:sz w:val="20"/>
          <w:szCs w:val="20"/>
        </w:rPr>
        <w:commentReference w:id="13"/>
      </w:r>
    </w:p>
    <w:p w14:paraId="52E16AD8" w14:textId="77777777" w:rsidR="00820B4C" w:rsidRDefault="00000000">
      <w:commentRangeStart w:id="15"/>
      <w:r>
        <w:t xml:space="preserve">The claims are bounded by one domain and one principal reviewer; the pipeline is not domain-specific, it has been applied to generate candidate pairs in other domains, but the review by domain experts is still outstanding. Holdout separation is implemented but not evaluated as a secrecy or leakage study, and the linguistic-dimensions workbench has not yet produced a multi-reviewer analysis. </w:t>
      </w:r>
      <w:commentRangeEnd w:id="15"/>
      <w:r>
        <w:rPr>
          <w:rStyle w:val="CommentReference"/>
          <w:sz w:val="20"/>
          <w:szCs w:val="20"/>
        </w:rPr>
        <w:commentReference w:id="15"/>
      </w:r>
    </w:p>
    <w:p w14:paraId="2CCCB3DE" w14:textId="77777777" w:rsidR="00820B4C" w:rsidRDefault="00000000">
      <w: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14:paraId="441D057E" w14:textId="77777777" w:rsidR="00820B4C" w:rsidRDefault="00000000">
      <w:r>
        <w:t>For metadata research, the main result is that evaluation pairs become more trustworthy when they are published as views over a provenance-rich curation record. Automation makes the process and the record manageable; expert review makes the semantic commitment.</w:t>
      </w:r>
    </w:p>
    <w:p w14:paraId="2868954E" w14:textId="77777777" w:rsidR="00820B4C" w:rsidRDefault="00000000">
      <w:pPr>
        <w:pStyle w:val="acknowlegments"/>
      </w:pPr>
      <w:commentRangeStart w:id="16"/>
      <w:r>
        <w:rPr>
          <w:b/>
        </w:rPr>
        <w:t>Acknowledgments.</w:t>
      </w:r>
      <w:r>
        <w:t xml:space="preserve"> The Musparql workflow grew out of Quagga, a predecessor initiative that collected question-query pairs for knowledge graphs in the social sciences and humanities. The </w:t>
      </w:r>
      <w:r>
        <w:lastRenderedPageBreak/>
        <w:t>author thanks the Industry Commons Foundation for institutional support, and Matteo Romanello and Harshdeep Singh of Odoma for initiating Quagga, providing its infrastructure, and offering valuable insights and encouragement. This work was conducted as part of the GRAPHIA project, funded by the European Union's Horizon Europe research and innovation programme under grant agreement No. 101188018. Views and opinions expressed are those of the author only and do not necessarily reflect those of the European Union or the European Commission; neither the European Union nor the granting authority can be held responsible for them.</w:t>
      </w:r>
      <w:commentRangeEnd w:id="16"/>
      <w:r>
        <w:rPr>
          <w:rStyle w:val="CommentReference"/>
          <w:sz w:val="18"/>
          <w:szCs w:val="20"/>
        </w:rPr>
        <w:commentReference w:id="16"/>
      </w:r>
    </w:p>
    <w:p w14:paraId="4F34A5B4" w14:textId="77777777" w:rsidR="00820B4C" w:rsidRDefault="00000000">
      <w:pPr>
        <w:pStyle w:val="acknowlegments"/>
      </w:pPr>
      <w:r>
        <w:rPr>
          <w:b/>
        </w:rPr>
        <w:t>Disclosure of Interests.</w:t>
      </w:r>
      <w:r>
        <w:t xml:space="preserve"> The author has no competing interests to declare that are relevant to the content of this article.</w:t>
      </w:r>
    </w:p>
    <w:p w14:paraId="31C5D876" w14:textId="77777777" w:rsidR="00820B4C" w:rsidRDefault="00000000">
      <w:pPr>
        <w:pStyle w:val="acknowlegments"/>
      </w:pPr>
      <w:commentRangeStart w:id="17"/>
      <w:r>
        <w:rPr>
          <w:b/>
        </w:rPr>
        <w:t>Declaration on Generative AI.</w:t>
      </w:r>
      <w: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commentRangeEnd w:id="17"/>
      <w:r>
        <w:rPr>
          <w:rStyle w:val="CommentReference"/>
          <w:sz w:val="18"/>
          <w:szCs w:val="20"/>
        </w:rPr>
        <w:commentReference w:id="17"/>
      </w:r>
    </w:p>
    <w:p w14:paraId="0E0DFA31" w14:textId="77777777" w:rsidR="00820B4C" w:rsidRDefault="00000000">
      <w:pPr>
        <w:pStyle w:val="heading1"/>
        <w:numPr>
          <w:ilvl w:val="0"/>
          <w:numId w:val="0"/>
        </w:numPr>
      </w:pPr>
      <w:r>
        <w:t>References</w:t>
      </w:r>
    </w:p>
    <w:p w14:paraId="4943DCAD" w14:textId="77777777" w:rsidR="00820B4C" w:rsidRDefault="00000000">
      <w:pPr>
        <w:pStyle w:val="referenceitem"/>
      </w:pPr>
      <w:r>
        <w:t>Harris, S., Seaborne, A. (eds.): SPARQL 1.1 Query Language. W3C Recommendation (2013). https://www.w3.org/TR/sparql11-query/</w:t>
      </w:r>
    </w:p>
    <w:p w14:paraId="4B75BF80" w14:textId="77777777" w:rsidR="00820B4C" w:rsidRDefault="00000000">
      <w:pPr>
        <w:pStyle w:val="referenceitem"/>
      </w:pPr>
      <w:r>
        <w:t>Raimond, Y., Abdallah, S.A., Sandler, M.B., Giasson, F.: The Music Ontology. In: Proceedings of ISMIR 2007, pp. 417–422. Austrian Computer Society (2007). https://ismir2007.ismir.net/proceedings/ISMIR2007_p417_raimond.pdf</w:t>
      </w:r>
    </w:p>
    <w:p w14:paraId="7F40657E" w14:textId="77777777" w:rsidR="00820B4C" w:rsidRDefault="00000000">
      <w:pPr>
        <w:pStyle w:val="referenceitem"/>
      </w:pPr>
      <w:r>
        <w:t>Lopez, V., Unger, C., Cimiano, P., Motta, E.: Evaluating question answering over linked data. J. Web Semant. 21, 3–13 (2013). https://doi.org/10.1016/j.websem.2013.05.006</w:t>
      </w:r>
    </w:p>
    <w:p w14:paraId="6482845D" w14:textId="77777777" w:rsidR="00820B4C" w:rsidRDefault="00000000">
      <w:pPr>
        <w:pStyle w:val="referenceitem"/>
      </w:pPr>
      <w:r>
        <w:t>Dubey, M., Banerjee, D., Abdelkawi, A., Lehmann, J.: LC-QuAD 2.0: A large dataset for complex question answering over Wikidata and DBpedia. In: ISWC 2019. LNCS, vol. 11779, pp. 69–78. Springer (2019). https://doi.org/10.1007/978-3-030-30796-7_5</w:t>
      </w:r>
    </w:p>
    <w:p w14:paraId="7E1CCBB5" w14:textId="77777777" w:rsidR="00820B4C" w:rsidRDefault="00000000">
      <w:pPr>
        <w:pStyle w:val="referenceitem"/>
      </w:pPr>
      <w:r>
        <w:t>Höffner, K., Walter, S., Marx, E., Usbeck, R., Lehmann, J., Ngonga Ngomo, A.-C.: Survey on challenges of question answering in the Semantic Web. Semant. Web 8, 895–920 (2017). https://doi.org/10.3233/SW-160247</w:t>
      </w:r>
    </w:p>
    <w:p w14:paraId="31BFDC7C" w14:textId="77777777" w:rsidR="00820B4C" w:rsidRDefault="00000000">
      <w:pPr>
        <w:pStyle w:val="referenceitem"/>
      </w:pPr>
      <w:commentRangeStart w:id="18"/>
      <w:r>
        <w:t>Jiang, L., Usbeck, R.: Knowledge graph question answering datasets and their generalizability: are they enough for future research? In: Proceedings of SIGIR 2022, pp. 3209–3218. ACM (2022). https://doi.org/10.48550/arXiv.2205.06573</w:t>
      </w:r>
      <w:commentRangeEnd w:id="18"/>
      <w:r>
        <w:rPr>
          <w:rStyle w:val="CommentReference"/>
          <w:sz w:val="18"/>
          <w:szCs w:val="20"/>
        </w:rPr>
        <w:commentReference w:id="18"/>
      </w:r>
    </w:p>
    <w:p w14:paraId="287A5318" w14:textId="77777777" w:rsidR="00820B4C" w:rsidRDefault="00000000">
      <w:pPr>
        <w:pStyle w:val="referenceitem"/>
      </w:pPr>
      <w:r>
        <w:t>Usbeck, R., Yan, X., Perevalov, A., Jiang, L., Schulz, J., Kraft, A., et al.: QALD-10—The 10th challenge on question answering over linked data. Semant. Web 15, 277–289 (2024). https://doi.org/10.3233/SW-233471</w:t>
      </w:r>
    </w:p>
    <w:p w14:paraId="77D29595" w14:textId="77777777" w:rsidR="00820B4C" w:rsidRDefault="00000000">
      <w:pPr>
        <w:pStyle w:val="referenceitem"/>
      </w:pPr>
      <w:r>
        <w:t>Banerjee, D., Usbeck, R., Mihindukulasooriya, N., Jaradeh, M.Y., Auer, S., Singh, G., et al. (eds.): Joint Proceedings of Scholarly QALD 2023 and SemREC 2023. CEUR Workshop Proceedings, vol. 3592 (2023). https://ceur-ws.org/Vol-3592/</w:t>
      </w:r>
    </w:p>
    <w:p w14:paraId="64C17B79" w14:textId="77777777" w:rsidR="00820B4C" w:rsidRDefault="00000000">
      <w:pPr>
        <w:pStyle w:val="referenceitem"/>
      </w:pPr>
      <w:r>
        <w:t>TEXT2SPARQL: Second International TEXT2SPARQL Challenge: Dataset Participation (2026). https://text2sparql.aksw.org/2026/participation/datasets/, accessed 2 Aug 2026</w:t>
      </w:r>
    </w:p>
    <w:p w14:paraId="6DAAC505" w14:textId="77777777" w:rsidR="00820B4C" w:rsidRDefault="00000000">
      <w:pPr>
        <w:pStyle w:val="referenceitem"/>
      </w:pPr>
      <w:r>
        <w:t>Liu, S., Semnani, S., Triedman, H., Xu, J., Zhao, I.D., Lam, M.: SPINACH: SPARQL-based information navigation for challenging real-world questions. In: Findings of EMNLP 2024, pp. 15977–16001. ACL (2024). https://doi.org/10.18653/v1/2024.findings-emnlp.938</w:t>
      </w:r>
    </w:p>
    <w:p w14:paraId="4B553884" w14:textId="77777777" w:rsidR="00820B4C" w:rsidRDefault="00000000">
      <w:pPr>
        <w:pStyle w:val="referenceitem"/>
      </w:pPr>
      <w:commentRangeStart w:id="19"/>
      <w:r>
        <w:t>Walter, S., Bast, H.: The Wikidata Query Logs Dataset. In: Proceedings of SIGIR 2026 (2026). https://doi.org/10.48550/arXiv.2602.14594</w:t>
      </w:r>
      <w:commentRangeEnd w:id="19"/>
      <w:r>
        <w:rPr>
          <w:rStyle w:val="CommentReference"/>
          <w:sz w:val="18"/>
          <w:szCs w:val="20"/>
        </w:rPr>
        <w:commentReference w:id="19"/>
      </w:r>
    </w:p>
    <w:p w14:paraId="1F6608C8" w14:textId="77777777" w:rsidR="00820B4C" w:rsidRDefault="00000000">
      <w:pPr>
        <w:pStyle w:val="referenceitem"/>
      </w:pPr>
      <w:r>
        <w:lastRenderedPageBreak/>
        <w:t>Bolleman, J., Emonet, V., Altenhoff, A., Bairoch, A., Blatter, M.-C., Bridge, A., et al.: A large collection of bioinformatics question–query pairs over federated knowledge graphs: methodology and applications. GigaScience 14, giaf045 (2025). https://doi.org/10.1093/gigascience/giaf045</w:t>
      </w:r>
    </w:p>
    <w:p w14:paraId="286B988E" w14:textId="77777777" w:rsidR="00820B4C" w:rsidRDefault="00000000">
      <w:pPr>
        <w:pStyle w:val="referenceitem"/>
      </w:pPr>
      <w:r>
        <w:t>Wiśniewski, D., Potoniec, J., Ławrynowicz, A., Keet, C.M.: Analysis of ontology competency questions and their formalizations in SPARQL-OWL. J. Web Semant. 59, 100534 (2019). https://doi.org/10.1016/j.websem.2019.100534</w:t>
      </w:r>
    </w:p>
    <w:p w14:paraId="42C84665" w14:textId="77777777" w:rsidR="00820B4C" w:rsidRDefault="00000000">
      <w:pPr>
        <w:pStyle w:val="referenceitem"/>
      </w:pPr>
      <w:r>
        <w:t>Taghzouti, Y., Michel, F., Jiang, T., Nothias, L.-F., Gandon, F.: Q²Forge: minting competency questions and SPARQL queries for question-answering over knowledge graphs. In: Proceedings of K-CAP 2025. ACM (2025). https://doi.org/10.1145/3731443.3771350</w:t>
      </w:r>
    </w:p>
    <w:p w14:paraId="18415D1F" w14:textId="77777777" w:rsidR="00820B4C" w:rsidRDefault="00000000">
      <w:pPr>
        <w:pStyle w:val="referenceitem"/>
      </w:pPr>
      <w:r>
        <w:t>Pond, L., Kirby, L., Meng, S., Ngassam, S., Chow, S., Hillerbrand, D., et al.: SESEMMI for LinkedMusic: democratizing access to musical archives via large language models. In: LLM4Music at ISMIR 2025 (2025). https://openreview.net/forum?id=hSDeNeUzcy</w:t>
      </w:r>
    </w:p>
    <w:p w14:paraId="1E9E2C3B" w14:textId="77777777" w:rsidR="00820B4C" w:rsidRDefault="00000000">
      <w:pPr>
        <w:pStyle w:val="referenceitem"/>
      </w:pPr>
      <w:r>
        <w:t>de Berardinis, J., Carriero, V.A., Jain, N., Lazzari, N., Meroño-Peñuela, A., Poltronieri, A., et al.: The Polifonia Ontology Network: building a semantic backbone for musical heritage. In: ISWC 2023, pp. 302–322. Springer (2023). https://doi.org/10.1007/978-3-031-47243-5_17</w:t>
      </w:r>
    </w:p>
    <w:p w14:paraId="35138F3A" w14:textId="77777777" w:rsidR="00820B4C" w:rsidRDefault="00000000">
      <w:pPr>
        <w:pStyle w:val="referenceitem"/>
      </w:pPr>
      <w:r>
        <w:t>Tsaneva, S., Dessì, D., Osborne, F., Sabou, M.: Enhancing scientific knowledge graph generation pipelines with LLMs and human-in-the-loop. In: Sci-K 2024. CEUR Workshop Proceedings, vol. 3780 (2024). https://ceur-ws.org/Vol-3780/paper1.pdf</w:t>
      </w:r>
    </w:p>
    <w:p w14:paraId="4A6A7BF6" w14:textId="77777777" w:rsidR="00820B4C" w:rsidRDefault="00000000">
      <w:pPr>
        <w:pStyle w:val="referenceitem"/>
      </w:pPr>
      <w:r>
        <w:t>Grüninger, M., Fox, M.S.: The role of competency questions in enterprise engineering. In: Benchmarking—Theory and Practice, pp. 22–31. Springer (1995). https://doi.org/10.1007/978-0-387-34847-6_3</w:t>
      </w:r>
    </w:p>
    <w:p w14:paraId="722268AD" w14:textId="77777777" w:rsidR="00820B4C" w:rsidRDefault="00000000">
      <w:pPr>
        <w:pStyle w:val="referenceitem"/>
      </w:pPr>
      <w:r>
        <w:t>Morales Tirado, A., Carvalho, J., Ratta, M., Uwasomba, C., Mulholland, P., Barlow, H., et al.: Musical Meetups Knowledge Graph (MMKG): a collection of evidence for historical social network analysis. In: ESWC 2024, pp. 110–127. Springer (2024). https://doi.org/10.1007/978-3-031-60635-9_7</w:t>
      </w:r>
    </w:p>
    <w:p w14:paraId="2D16ACA9" w14:textId="77777777" w:rsidR="00820B4C" w:rsidRDefault="00000000">
      <w:pPr>
        <w:pStyle w:val="referenceitem"/>
      </w:pPr>
      <w:r>
        <w:t>Proutskova, P., Wolff, D., Fazekas, G., Frieler, K., Höger, F., Velichkina, O., et al.: The Jazz Ontology: a semantic model and large-scale RDF repositories for jazz. J. Web Semant. 74, 100735 (2022). https://doi.org/10.1016/j.websem.2022.100735</w:t>
      </w:r>
    </w:p>
    <w:p w14:paraId="59EA93F4" w14:textId="77777777" w:rsidR="00820B4C" w:rsidRDefault="00000000">
      <w:pPr>
        <w:pStyle w:val="referenceitem"/>
      </w:pPr>
      <w:r>
        <w:t>Daquino, M., Daga, E., d’Aquin, M., Gangemi, A., Holland, S., Laney, R., et al.: Characterizing the landscape of musical data on the Web: state of the art and challenges. In: WHiSe II. CEUR Workshop Proceedings, vol. 2014, pp. 57–68 (2017). https://ceur-ws.org/Vol-2014/paper-07.pdf</w:t>
      </w:r>
    </w:p>
    <w:p w14:paraId="173AD933" w14:textId="77777777" w:rsidR="00820B4C" w:rsidRDefault="00000000">
      <w:pPr>
        <w:pStyle w:val="referenceitem"/>
      </w:pPr>
      <w:r>
        <w:t>Wilkinson, M.D., Dumontier, M., Aalbersberg, I.J., Appleton, G., Axton, M., Baak, A., et al.: The FAIR Guiding Principles for scientific data management and stewardship. Sci. Data 3, 160018 (2016). https://doi.org/10.1038/sdata.2016.18</w:t>
      </w:r>
    </w:p>
    <w:p w14:paraId="47AB4009" w14:textId="77777777" w:rsidR="00820B4C" w:rsidRDefault="00000000">
      <w:pPr>
        <w:pStyle w:val="referenceitem"/>
      </w:pPr>
      <w:r>
        <w:t>Lebo, T., Sahoo, S., McGuinness, D., et al.: PROV-O: The PROV Ontology. W3C Recommendation (2013). https://www.w3.org/TR/prov-o/</w:t>
      </w:r>
    </w:p>
    <w:p w14:paraId="0FC47031" w14:textId="77777777" w:rsidR="00820B4C" w:rsidRDefault="00000000">
      <w:pPr>
        <w:pStyle w:val="referenceitem"/>
      </w:pPr>
      <w:r>
        <w:t>Gebru, T., Morgenstern, J., Vecchione, B., Vaughan, J.W., Wallach, H., Daumé III, H., et al.: Datasheets for datasets. Commun. ACM 64(12), 86–92 (2021). https://doi.org/10.1145/3458723</w:t>
      </w:r>
    </w:p>
    <w:sectPr w:rsidR="00820B4C">
      <w:headerReference w:type="even" r:id="rId14"/>
      <w:headerReference w:type="default" r:id="rId15"/>
      <w:footerReference w:type="even" r:id="rId16"/>
      <w:footerReference w:type="default" r:id="rId17"/>
      <w:pgSz w:w="11906" w:h="16838"/>
      <w:pgMar w:top="2948" w:right="2494" w:bottom="2948" w:left="2494" w:header="2381" w:footer="2324" w:gutter="0"/>
      <w:cols w:space="720"/>
      <w:formProt w:val="0"/>
      <w:docGrid w:linePitch="2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drew Dubber" w:date="2026-09-08T20:08:00Z" w:initials="AD">
    <w:p w14:paraId="68C3B85B" w14:textId="77777777" w:rsidR="00820B4C" w:rsidRDefault="00000000">
      <w:r>
        <w:annotationRef/>
      </w:r>
      <w:r>
        <w:t>MTSR reviews double-blind (CFP: "following a double-blind peer review process"). Name, ORCID, email and affiliation come out of the review copy and go back in for the camera-ready (18 Oct). For the camera-ready, LNCS wants institution, city and country: "Industry Commons Foundation, Stockholm, Sweden". And a question: would you use your ICF address as the contact? It's an ICF paper, and the affiliation and the address should agree.</w:t>
      </w:r>
    </w:p>
  </w:comment>
  <w:comment w:id="1" w:author="Andrew Dubber" w:date="2026-09-08T20:08:00Z" w:initials="AD">
    <w:p w14:paraId="3784605D" w14:textId="77777777" w:rsidR="00820B4C" w:rsidRDefault="00000000">
      <w:r>
        <w:annotationRef/>
      </w:r>
      <w:r>
        <w:t>"Streamlines" and "a more efficient route" here, and "streamlining and speeding up curation" in the Discussion, sit against the Discussion's own "the study does not measure time or cost against a fully manual baseline". A reviewer will quote one against the other. Either measure something (even rough reviewer-minutes per item from the v10 round) or claim what you can show, e.g. "it moves the expert's effort to the decisions that need an expert" and "The result is evaluation data that are easier to inspect and more trustworthy to reuse".</w:t>
      </w:r>
    </w:p>
  </w:comment>
  <w:comment w:id="2" w:author="Andrew Dubber" w:date="2026-09-08T20:08:00Z" w:initials="AD">
    <w:p w14:paraId="6C719970" w14:textId="77777777" w:rsidR="00820B4C" w:rsidRDefault="00000000">
      <w:r>
        <w:annotationRef/>
      </w:r>
      <w:r>
        <w:t>Reads as: "the knowledge graphs, with their SPARQL sources and natural-language sources, were seeded manually".</w:t>
      </w:r>
    </w:p>
  </w:comment>
  <w:comment w:id="3" w:author="Andrew Dubber" w:date="2026-09-08T20:08:00Z" w:initials="AD">
    <w:p w14:paraId="5D184CBB" w14:textId="77777777" w:rsidR="00820B4C" w:rsidRDefault="00000000">
      <w:r>
        <w:annotationRef/>
      </w:r>
      <w:r>
        <w:t>Two things. (1) Both links identify you (the ppquadrat handle), so they come out of the anonymised copy: use an anonymised mirror (anonymous.4open.science) or "repository link withheld for review". (2) Footnote 3 is a dead link: the v10 zip returns 404. The only GitHub release is benchmark-v9 (5 Aug); benchmark/v10 is in the tree and the README calls it current. Cut the v10 release or point at the directory before the camera-ready.</w:t>
      </w:r>
    </w:p>
  </w:comment>
  <w:comment w:id="4" w:author="Andrew Dubber" w:date="2026-09-08T20:08:00Z" w:initials="AD">
    <w:p w14:paraId="08448345" w14:textId="77777777" w:rsidR="00820B4C" w:rsidRDefault="00000000">
      <w:r>
        <w:annotationRef/>
      </w:r>
      <w:r>
        <w:t>3.1 has no "Stage 1:" prefix while 3.2 to 3.4 do.</w:t>
      </w:r>
    </w:p>
  </w:comment>
  <w:comment w:id="5" w:author="Andrew Dubber" w:date="2026-09-08T20:08:00Z" w:initials="AD">
    <w:p w14:paraId="476C9FAB" w14:textId="77777777" w:rsidR="00820B4C" w:rsidRDefault="00000000">
      <w:r>
        <w:annotationRef/>
      </w:r>
      <w:r>
        <w:t>"heterogenous" &gt; "heterogeneous". And "from specialised organs building projects, through a large jazz recordings metadata collection to a federation of heterogenous music resources" reads as "from a specialised organ-building project, through a large collection of jazz recording metadata, to a federation of heterogeneous music resources".</w:t>
      </w:r>
    </w:p>
  </w:comment>
  <w:comment w:id="6" w:author="Andrew Dubber" w:date="2026-09-08T20:08:00Z" w:initials="AD">
    <w:p w14:paraId="2D364667" w14:textId="1DCA66BB" w:rsidR="00820B4C" w:rsidRDefault="00000000">
      <w:r>
        <w:annotationRef/>
      </w:r>
      <w:r>
        <w:t>"The LLM ranks"</w:t>
      </w:r>
      <w:r w:rsidR="00277120">
        <w:t xml:space="preserve"> – M already stands for Model</w:t>
      </w:r>
      <w:r>
        <w:t>.</w:t>
      </w:r>
    </w:p>
  </w:comment>
  <w:comment w:id="7" w:author="Andrew Dubber" w:date="2026-09-08T20:08:00Z" w:initials="AD">
    <w:p w14:paraId="1637AABF" w14:textId="77777777" w:rsidR="00820B4C" w:rsidRDefault="00000000">
      <w:r>
        <w:annotationRef/>
      </w:r>
      <w:r>
        <w:t>Hard to read at column width: the status label runs into the confidence figure. Cropping to the two comparison panels would make it legible and lose nothing. Also the figure says "who performed it" where 5.1 says "performing band"; match the text to the figure.</w:t>
      </w:r>
    </w:p>
  </w:comment>
  <w:comment w:id="8" w:author="Andrew Dubber" w:date="2026-09-08T20:08:00Z" w:initials="AD">
    <w:p w14:paraId="709E263E" w14:textId="77777777" w:rsidR="00820B4C" w:rsidRDefault="00000000">
      <w:r>
        <w:annotationRef/>
      </w:r>
      <w:r>
        <w:t>3.4 "Stage 4: Publication and Artifact Views" followed by 3.5 "Artifact Model and Publication Views" reads as the same heading twice. Suggest 3.4 becomes "Stage 4: Publication" and the artefact model becomes its own Section 4, as in the Sci-K version. At a metadata conference the artefact model is the contribution, and a top-level heading says so. Page count allows it (about 11 of 12 pages).</w:t>
      </w:r>
    </w:p>
  </w:comment>
  <w:comment w:id="9" w:author="Andrew Dubber" w:date="2026-09-08T20:08:00Z" w:initials="AD">
    <w:p w14:paraId="7E2E15F3" w14:textId="77777777" w:rsidR="00820B4C" w:rsidRDefault="00000000">
      <w:r>
        <w:annotationRef/>
      </w:r>
      <w:r>
        <w:t>PROV-O is cited in Section 2 and then not used. Say how Table 1 relates to it: is the record serialised as PROV-O, or as your own JSONL schema with a PROV-O mapping (Entity, Activity, Agent) as future work? And state the concrete form of the published artefact (benchmark.jsonl, alternatives.jsonl, manifest.json per the README) and the licence (CC BY 4.0 benchmark, MIT software). Metadata reviewers ask for format and licence first.</w:t>
      </w:r>
    </w:p>
  </w:comment>
  <w:comment w:id="10" w:author="Andrew Dubber" w:date="2026-09-08T20:08:00Z" w:initials="AD">
    <w:p w14:paraId="490D0E2D" w14:textId="77777777" w:rsidR="00820B4C" w:rsidRDefault="00000000">
      <w:r>
        <w:annotationRef/>
      </w:r>
      <w:r>
        <w:t>DTL1000 is never expanded; one gloss at first use (Dig That Lick, if I have that right). The text lists the five sources in one order and Table 2 in another; match them.</w:t>
      </w:r>
    </w:p>
  </w:comment>
  <w:comment w:id="11" w:author="Andrew Dubber" w:date="2026-09-08T20:08:00Z" w:initials="AD">
    <w:p w14:paraId="14E5BAC7" w14:textId="77777777" w:rsidR="00820B4C" w:rsidRDefault="00000000">
      <w:r>
        <w:annotationRef/>
      </w:r>
      <w:r>
        <w:t>The Sci-K version had a table of SPARQL features (on v9: 43 FILTER, 42 aggregates, 34 ORDER BY, 5 federated SERVICE). That is the one table a benchmark user wants, because it says how hard the queries are. With a page in hand, a compact version or one sentence with the v10 numbers would answer "is this just simple lookups?" before it is asked.</w:t>
      </w:r>
    </w:p>
  </w:comment>
  <w:comment w:id="12" w:author="Andrew Dubber" w:date="2026-09-08T20:08:00Z" w:initials="AD">
    <w:p w14:paraId="4C3B2362" w14:textId="77777777" w:rsidR="00820B4C" w:rsidRDefault="00000000">
      <w:r>
        <w:annotationRef/>
      </w:r>
      <w:r>
        <w:t>Text and figure disagree. The text says the reviewer corrected both problems. The screenshot shows both formulations as model output (MiniMax-M2.5 on both runs), the previous run marked "prompt_improvement_recommended" and the current run "accepted". So the reviewer flagged the first wording, a later run did better, and the reviewer accepted it. That is a better story, because it is comparative review doing what 3.3 says it does. Suggested: "The reviewer flagged the earlier formulation, which called the release an 'album' and omitted the performers; a later run produced the current formulation, which the reviewer accepted." (Also "both was corrected" &gt; "both were corrected".) And "Figure 2" here vs "(Fig. 1)" in Section 3: LNCS uses "Fig." in running text.</w:t>
      </w:r>
    </w:p>
  </w:comment>
  <w:comment w:id="14" w:author="Andrew Dubber" w:date="2026-09-08T20:08:00Z" w:initials="AD">
    <w:p w14:paraId="13C93E32" w14:textId="77777777" w:rsidR="00820B4C" w:rsidRDefault="00000000">
      <w:r>
        <w:annotationRef/>
      </w:r>
      <w:r>
        <w:t>See the abstract comment. Suggested: "The practical benefit is a change in what the expert does: adjudication over traceable candidates instead of end-to-end authorship."</w:t>
      </w:r>
    </w:p>
  </w:comment>
  <w:comment w:id="13" w:author="Andrew Dubber" w:date="2026-09-08T20:08:00Z" w:initials="AD">
    <w:p w14:paraId="2A63C49B" w14:textId="77777777" w:rsidR="00820B4C" w:rsidRDefault="00000000">
      <w:r>
        <w:annotationRef/>
      </w:r>
      <w:r>
        <w:t>Track: MTSR 2026 has a special track, "Metadata and Ontologies in Musicology". The domain-agnostic framing argues for the general track and I think that is right; the special track's reviewers would know the Music Ontology and Polifonia, which cuts both ways. Your call, I only flag that it exists. Optional for related work: one sentence placing the artefact model against Croissant (MLCommons) and DCAT would not hurt for this audience.</w:t>
      </w:r>
    </w:p>
  </w:comment>
  <w:comment w:id="15" w:author="Andrew Dubber" w:date="2026-09-08T20:08:00Z" w:initials="AD">
    <w:p w14:paraId="507A29E0" w14:textId="77777777" w:rsidR="00820B4C" w:rsidRDefault="00000000">
      <w:r>
        <w:annotationRef/>
      </w:r>
      <w:r>
        <w:t>Who is the principal reviewer? If it is you, say so and say what expertise you bring. The Jazz Ontology and DTL1000 are your own work, a strength for the jazz items and a fair question for the others. A 48% rewrite rate measured by the author on her own pipeline's output reads differently from one measured by an independent expert; one plain sentence pre-empts the objection. Also a comma splice: "The pipeline is not domain-specific: it has been applied to generate candidate pairs in other domains, but expert review of those candidates is still outstanding."</w:t>
      </w:r>
    </w:p>
  </w:comment>
  <w:comment w:id="16" w:author="Andrew Dubber" w:date="2026-09-08T20:08:00Z" w:initials="AD">
    <w:p w14:paraId="79A55FB9" w14:textId="78596000" w:rsidR="00820B4C" w:rsidRDefault="00000000">
      <w:r>
        <w:annotationRef/>
      </w:r>
      <w:r>
        <w:t xml:space="preserve">Out for the review copy (ICF, Matteo and Harsh by name, the grant number all identify you); back in for the camera-ready. Separately, and for us rather than the paper: we </w:t>
      </w:r>
      <w:r w:rsidR="00277120">
        <w:t>deferred</w:t>
      </w:r>
      <w:r>
        <w:t xml:space="preserve"> the Zenodo deposit at your request because the repository carries the benchmark pairs, and the paper invites readers to download the same pairs from GitHub. </w:t>
      </w:r>
      <w:r w:rsidR="00277120">
        <w:t>I know that GitHub doesn’t automatically seed LLMs in the same way as Zenodo does (according to Harsh and Matteo) but still w</w:t>
      </w:r>
      <w:r>
        <w:t xml:space="preserve">orth a conscious decision </w:t>
      </w:r>
      <w:r w:rsidR="00277120">
        <w:t xml:space="preserve">or </w:t>
      </w:r>
      <w:r>
        <w:t xml:space="preserve">Matteo's </w:t>
      </w:r>
      <w:r w:rsidR="00277120">
        <w:t>confirmation</w:t>
      </w:r>
      <w:r>
        <w:t>.</w:t>
      </w:r>
    </w:p>
  </w:comment>
  <w:comment w:id="17" w:author="Andrew Dubber" w:date="2026-09-08T20:08:00Z" w:initials="AD">
    <w:p w14:paraId="585624E1" w14:textId="77777777" w:rsidR="00820B4C" w:rsidRDefault="00000000">
      <w:r>
        <w:annotationRef/>
      </w:r>
      <w:r>
        <w:t>This heading is a CEUR-template section. Springer has no such heading but does ask for LLM use to be declared, so keep the content; it can sit as a paragraph after the Disclosure of Interests.</w:t>
      </w:r>
    </w:p>
  </w:comment>
  <w:comment w:id="18" w:author="Andrew Dubber" w:date="2026-09-08T20:08:00Z" w:initials="AD">
    <w:p w14:paraId="7BD1C27F" w14:textId="77777777" w:rsidR="00820B4C" w:rsidRDefault="00000000">
      <w:r>
        <w:annotationRef/>
      </w:r>
      <w:r>
        <w:t>ACM paper cited with an arXiv DOI. The ACM one is 10.1145/3477495.3531751.</w:t>
      </w:r>
    </w:p>
  </w:comment>
  <w:comment w:id="19" w:author="Andrew Dubber" w:date="2026-09-08T20:08:00Z" w:initials="AD">
    <w:p w14:paraId="391F7E85" w14:textId="77777777" w:rsidR="00820B4C" w:rsidRDefault="00000000">
      <w:r>
        <w:annotationRef/>
      </w:r>
      <w:r>
        <w:t>Same: the ACM DOI is 10.1145/3805712.3808612 (SIGIR 2026). Also the list is in neither citation order nor alphabetical order ([2] is first cited in 5.1, after [24]); LNCS accepts either, so pick one and renumber.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C3B85B" w15:done="0"/>
  <w15:commentEx w15:paraId="3784605D" w15:done="0"/>
  <w15:commentEx w15:paraId="6C719970" w15:done="0"/>
  <w15:commentEx w15:paraId="5D184CBB" w15:done="0"/>
  <w15:commentEx w15:paraId="08448345" w15:done="0"/>
  <w15:commentEx w15:paraId="476C9FAB" w15:done="0"/>
  <w15:commentEx w15:paraId="2D364667" w15:done="0"/>
  <w15:commentEx w15:paraId="1637AABF" w15:done="0"/>
  <w15:commentEx w15:paraId="709E263E" w15:done="0"/>
  <w15:commentEx w15:paraId="7E2E15F3" w15:done="0"/>
  <w15:commentEx w15:paraId="490D0E2D" w15:done="0"/>
  <w15:commentEx w15:paraId="14E5BAC7" w15:done="0"/>
  <w15:commentEx w15:paraId="4C3B2362" w15:done="0"/>
  <w15:commentEx w15:paraId="13C93E32" w15:done="0"/>
  <w15:commentEx w15:paraId="2A63C49B" w15:done="0"/>
  <w15:commentEx w15:paraId="507A29E0" w15:done="0"/>
  <w15:commentEx w15:paraId="79A55FB9" w15:done="0"/>
  <w15:commentEx w15:paraId="585624E1" w15:done="0"/>
  <w15:commentEx w15:paraId="7BD1C27F" w15:done="0"/>
  <w15:commentEx w15:paraId="391F7E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C3B85B" w16cid:durableId="38C331D8"/>
  <w16cid:commentId w16cid:paraId="3784605D" w16cid:durableId="62462892"/>
  <w16cid:commentId w16cid:paraId="6C719970" w16cid:durableId="500B4951"/>
  <w16cid:commentId w16cid:paraId="5D184CBB" w16cid:durableId="750679BE"/>
  <w16cid:commentId w16cid:paraId="08448345" w16cid:durableId="61BC16A3"/>
  <w16cid:commentId w16cid:paraId="476C9FAB" w16cid:durableId="01D8F2EE"/>
  <w16cid:commentId w16cid:paraId="2D364667" w16cid:durableId="74FAFF23"/>
  <w16cid:commentId w16cid:paraId="1637AABF" w16cid:durableId="765E43A6"/>
  <w16cid:commentId w16cid:paraId="709E263E" w16cid:durableId="6C320767"/>
  <w16cid:commentId w16cid:paraId="7E2E15F3" w16cid:durableId="369BD6D4"/>
  <w16cid:commentId w16cid:paraId="490D0E2D" w16cid:durableId="7FA9953B"/>
  <w16cid:commentId w16cid:paraId="14E5BAC7" w16cid:durableId="488A9D89"/>
  <w16cid:commentId w16cid:paraId="4C3B2362" w16cid:durableId="05E67C4C"/>
  <w16cid:commentId w16cid:paraId="13C93E32" w16cid:durableId="630FB88F"/>
  <w16cid:commentId w16cid:paraId="2A63C49B" w16cid:durableId="10EE8A70"/>
  <w16cid:commentId w16cid:paraId="507A29E0" w16cid:durableId="7FD2589B"/>
  <w16cid:commentId w16cid:paraId="79A55FB9" w16cid:durableId="162E1DE0"/>
  <w16cid:commentId w16cid:paraId="585624E1" w16cid:durableId="0C1097F9"/>
  <w16cid:commentId w16cid:paraId="7BD1C27F" w16cid:durableId="566E1746"/>
  <w16cid:commentId w16cid:paraId="391F7E85" w16cid:durableId="0C3B94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9233DB" w14:textId="77777777" w:rsidR="003D2F75" w:rsidRDefault="003D2F75">
      <w:pPr>
        <w:spacing w:line="240" w:lineRule="auto"/>
      </w:pPr>
      <w:r>
        <w:separator/>
      </w:r>
    </w:p>
  </w:endnote>
  <w:endnote w:type="continuationSeparator" w:id="0">
    <w:p w14:paraId="5AD8F2EF" w14:textId="77777777" w:rsidR="003D2F75" w:rsidRDefault="003D2F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ngti SC">
    <w:panose1 w:val="02010600040101010101"/>
    <w:charset w:val="86"/>
    <w:family w:val="auto"/>
    <w:pitch w:val="variable"/>
    <w:sig w:usb0="00000287" w:usb1="080F0000" w:usb2="00000010" w:usb3="00000000" w:csb0="0004009F" w:csb1="00000000"/>
  </w:font>
  <w:font w:name="Courier">
    <w:altName w:val="Courier New"/>
    <w:panose1 w:val="02070309020205020404"/>
    <w:charset w:val="01"/>
    <w:family w:val="roman"/>
    <w:pitch w:val="variable"/>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930646" w14:textId="77777777" w:rsidR="00820B4C" w:rsidRDefault="00820B4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F1A46" w14:textId="77777777" w:rsidR="00820B4C" w:rsidRDefault="00820B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051529" w14:textId="77777777" w:rsidR="003D2F75" w:rsidRDefault="003D2F75">
      <w:r>
        <w:separator/>
      </w:r>
    </w:p>
  </w:footnote>
  <w:footnote w:type="continuationSeparator" w:id="0">
    <w:p w14:paraId="7FE5C51B" w14:textId="77777777" w:rsidR="003D2F75" w:rsidRDefault="003D2F75">
      <w:r>
        <w:continuationSeparator/>
      </w:r>
    </w:p>
  </w:footnote>
  <w:footnote w:id="1">
    <w:p w14:paraId="52A011E6" w14:textId="77777777" w:rsidR="00820B4C" w:rsidRDefault="00000000">
      <w:pPr>
        <w:pStyle w:val="FootnoteText"/>
        <w:jc w:val="left"/>
      </w:pPr>
      <w:r>
        <w:rPr>
          <w:rStyle w:val="FootnoteCharacters"/>
        </w:rPr>
        <w:footnoteRef/>
      </w:r>
      <w:r>
        <w:tab/>
        <w:t>An LLM assisted source discovery and acquisition process has since been developed and tested and is available in the Musparql GitHub repository. It is not described in the paper because it was not used in v10 benchmark construction</w:t>
      </w:r>
    </w:p>
  </w:footnote>
  <w:footnote w:id="2">
    <w:p w14:paraId="61DB9791" w14:textId="77777777" w:rsidR="00820B4C" w:rsidRDefault="00000000">
      <w:pPr>
        <w:pStyle w:val="FootnoteText"/>
        <w:jc w:val="left"/>
      </w:pPr>
      <w:r>
        <w:rPr>
          <w:rStyle w:val="FootnoteCharacters"/>
        </w:rPr>
        <w:footnoteRef/>
      </w:r>
      <w:r>
        <w:tab/>
        <w:t xml:space="preserve">Musparql repository: </w:t>
      </w:r>
      <w:hyperlink r:id="rId1">
        <w:r>
          <w:rPr>
            <w:rStyle w:val="Hyperlink"/>
          </w:rPr>
          <w:t>https://github.com/ppquadrat/musparql-aligner</w:t>
        </w:r>
      </w:hyperlink>
    </w:p>
  </w:footnote>
  <w:footnote w:id="3">
    <w:p w14:paraId="40528EE9" w14:textId="77777777" w:rsidR="00820B4C" w:rsidRDefault="00000000">
      <w:pPr>
        <w:pStyle w:val="FootnoteText"/>
        <w:jc w:val="left"/>
      </w:pPr>
      <w:r>
        <w:rPr>
          <w:rStyle w:val="FootnoteCharacters"/>
        </w:rPr>
        <w:footnoteRef/>
      </w:r>
      <w:r>
        <w:tab/>
        <w:t xml:space="preserve">Musparql benchmark v10 archive: </w:t>
      </w:r>
      <w:hyperlink r:id="rId2">
        <w:r>
          <w:rPr>
            <w:rStyle w:val="Hyperlink"/>
          </w:rPr>
          <w:t>https://github.com/ppquadrat/musparql-aligner/releases/download/benchmark-v10/musparql-benchmark-v10.zip</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09D58" w14:textId="77777777" w:rsidR="00820B4C" w:rsidRDefault="00820B4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75255" w14:textId="77777777" w:rsidR="00820B4C" w:rsidRDefault="00820B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3486A"/>
    <w:multiLevelType w:val="multilevel"/>
    <w:tmpl w:val="8F4485FC"/>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A952932"/>
    <w:multiLevelType w:val="multilevel"/>
    <w:tmpl w:val="44FA9598"/>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2D47275B"/>
    <w:multiLevelType w:val="multilevel"/>
    <w:tmpl w:val="1D7C7052"/>
    <w:lvl w:ilvl="0">
      <w:start w:val="1"/>
      <w:numFmt w:val="decimal"/>
      <w:pStyle w:val="numitem"/>
      <w:lvlText w:val="%1."/>
      <w:lvlJc w:val="right"/>
      <w:pPr>
        <w:tabs>
          <w:tab w:val="num" w:pos="0"/>
        </w:tabs>
        <w:ind w:left="227" w:hanging="57"/>
      </w:pPr>
    </w:lvl>
    <w:lvl w:ilvl="1">
      <w:start w:val="1"/>
      <w:numFmt w:val="lowerLetter"/>
      <w:lvlText w:val="%2."/>
      <w:lvlJc w:val="left"/>
      <w:pPr>
        <w:tabs>
          <w:tab w:val="num" w:pos="227"/>
        </w:tabs>
        <w:ind w:left="454" w:hanging="227"/>
      </w:pPr>
    </w:lvl>
    <w:lvl w:ilvl="2">
      <w:start w:val="1"/>
      <w:numFmt w:val="decimal"/>
      <w:lvlText w:val="(%3)"/>
      <w:lvlJc w:val="left"/>
      <w:pPr>
        <w:tabs>
          <w:tab w:val="num" w:pos="454"/>
        </w:tabs>
        <w:ind w:left="794" w:hanging="340"/>
      </w:pPr>
    </w:lvl>
    <w:lvl w:ilvl="3">
      <w:start w:val="1"/>
      <w:numFmt w:val="lowerRoman"/>
      <w:lvlText w:val="%4."/>
      <w:lvlJc w:val="left"/>
      <w:pPr>
        <w:tabs>
          <w:tab w:val="num" w:pos="794"/>
        </w:tabs>
        <w:ind w:left="1077" w:hanging="283"/>
      </w:pPr>
    </w:lvl>
    <w:lvl w:ilvl="4">
      <w:start w:val="1"/>
      <w:numFmt w:val="lowerLetter"/>
      <w:lvlText w:val="(%5)"/>
      <w:lvlJc w:val="left"/>
      <w:pPr>
        <w:tabs>
          <w:tab w:val="num" w:pos="1077"/>
        </w:tabs>
        <w:ind w:left="1360" w:hanging="283"/>
      </w:pPr>
    </w:lvl>
    <w:lvl w:ilvl="5">
      <w:start w:val="1"/>
      <w:numFmt w:val="upperLetter"/>
      <w:lvlText w:val="%6."/>
      <w:lvlJc w:val="left"/>
      <w:pPr>
        <w:tabs>
          <w:tab w:val="num" w:pos="1360"/>
        </w:tabs>
        <w:ind w:left="1700" w:hanging="34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4A9863D8"/>
    <w:multiLevelType w:val="multilevel"/>
    <w:tmpl w:val="3D6CCCD0"/>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4" w15:restartNumberingAfterBreak="0">
    <w:nsid w:val="75150434"/>
    <w:multiLevelType w:val="multilevel"/>
    <w:tmpl w:val="BD7A9FFE"/>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5" w15:restartNumberingAfterBreak="0">
    <w:nsid w:val="7E1F4E93"/>
    <w:multiLevelType w:val="multilevel"/>
    <w:tmpl w:val="389403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0125274">
    <w:abstractNumId w:val="3"/>
  </w:num>
  <w:num w:numId="2" w16cid:durableId="1331367986">
    <w:abstractNumId w:val="1"/>
  </w:num>
  <w:num w:numId="3" w16cid:durableId="2070573016">
    <w:abstractNumId w:val="2"/>
  </w:num>
  <w:num w:numId="4" w16cid:durableId="711659679">
    <w:abstractNumId w:val="0"/>
  </w:num>
  <w:num w:numId="5" w16cid:durableId="480660596">
    <w:abstractNumId w:val="4"/>
  </w:num>
  <w:num w:numId="6" w16cid:durableId="9340723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drew Dubber">
    <w15:presenceInfo w15:providerId="AD" w15:userId="S::andrew.dubber@industrycommons.net::ccf2b12d-524f-4edb-a081-df5de9e8130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autoHyphenation/>
  <w:hyphenationZone w:val="400"/>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B4C"/>
    <w:rsid w:val="00277120"/>
    <w:rsid w:val="003D2F75"/>
    <w:rsid w:val="006B3526"/>
    <w:rsid w:val="00820B4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A3FF526"/>
  <w15:docId w15:val="{126DB6AE-83D1-3942-A71E-2B7D6E68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suppressAutoHyphens w:val="0"/>
      <w:spacing w:line="240" w:lineRule="atLeast"/>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
    <w:name w:val="e-mail"/>
    <w:basedOn w:val="DefaultParagraphFont"/>
    <w:qFormat/>
    <w:rPr>
      <w:rFonts w:ascii="Courier New" w:hAnsi="Courier New"/>
    </w:rPr>
  </w:style>
  <w:style w:type="character" w:customStyle="1" w:styleId="FootnoteCharacters">
    <w:name w:val="Footnote Characters"/>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erandFooter">
    <w:name w:val="Header and Footer"/>
    <w:basedOn w:val="Normal"/>
    <w:qFormat/>
  </w:style>
  <w:style w:type="paragraph" w:styleId="Footer">
    <w:name w:val="footer"/>
    <w:basedOn w:val="Normal"/>
    <w:semiHidden/>
    <w:unhideWhenUsed/>
  </w:style>
  <w:style w:type="paragraph" w:customStyle="1" w:styleId="heading1">
    <w:name w:val="heading1"/>
    <w:basedOn w:val="Normal"/>
    <w:next w:val="p1a"/>
    <w:qFormat/>
    <w:pPr>
      <w:keepNext/>
      <w:keepLines/>
      <w:numPr>
        <w:numId w:val="4"/>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4"/>
      </w:numPr>
      <w:suppressAutoHyphens/>
      <w:spacing w:before="360" w:after="160"/>
      <w:jc w:val="left"/>
      <w:outlineLvl w:val="1"/>
    </w:pPr>
    <w:rPr>
      <w:b/>
    </w:rPr>
  </w:style>
  <w:style w:type="paragraph" w:customStyle="1" w:styleId="acknowlegments">
    <w:name w:val="acknowlegments"/>
    <w:basedOn w:val="Normal"/>
    <w:qFormat/>
    <w:pPr>
      <w:spacing w:before="240" w:line="220" w:lineRule="atLeast"/>
      <w:ind w:firstLine="0"/>
    </w:pPr>
    <w:rPr>
      <w:sz w:val="18"/>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qFormat/>
    <w:pPr>
      <w:numPr>
        <w:numId w:val="3"/>
      </w:numPr>
      <w:spacing w:before="160" w:after="160"/>
      <w:contextualSpacing/>
    </w:pPr>
  </w:style>
  <w:style w:type="paragraph" w:customStyle="1" w:styleId="p1a">
    <w:name w:val="p1a"/>
    <w:basedOn w:val="Normal"/>
    <w:next w:val="Normal"/>
    <w:qFormat/>
    <w:pPr>
      <w:ind w:firstLine="0"/>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head left"/>
    <w:basedOn w:val="Normal"/>
    <w:qFormat/>
    <w:pPr>
      <w:tabs>
        <w:tab w:val="left" w:pos="680"/>
      </w:tabs>
      <w:ind w:firstLine="0"/>
      <w:jc w:val="left"/>
    </w:pPr>
    <w:rPr>
      <w:sz w:val="18"/>
      <w:szCs w:val="18"/>
    </w:rPr>
  </w:style>
  <w:style w:type="paragraph" w:customStyle="1" w:styleId="runningheadright">
    <w:name w:val="runninghead right"/>
    <w:basedOn w:val="Normal"/>
    <w:qFormat/>
    <w:pPr>
      <w:tabs>
        <w:tab w:val="right" w:pos="6237"/>
        <w:tab w:val="right" w:pos="6917"/>
      </w:tabs>
      <w:ind w:firstLine="0"/>
      <w:jc w:val="lef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qFormat/>
    <w:pPr>
      <w:spacing w:line="200" w:lineRule="exact"/>
    </w:pPr>
    <w:rPr>
      <w:sz w:val="16"/>
    </w:rPr>
  </w:style>
  <w:style w:type="numbering" w:customStyle="1" w:styleId="arabnumitem">
    <w:name w:val="arabnumitem"/>
    <w:qFormat/>
  </w:style>
  <w:style w:type="numbering" w:customStyle="1" w:styleId="headings">
    <w:name w:val="headings"/>
    <w:qFormat/>
  </w:style>
  <w:style w:type="numbering" w:customStyle="1" w:styleId="itemization1">
    <w:name w:val="itemization1"/>
    <w:qFormat/>
  </w:style>
  <w:style w:type="numbering" w:customStyle="1" w:styleId="itemization2">
    <w:name w:val="itemization2"/>
    <w:qFormat/>
  </w:style>
  <w:style w:type="numbering" w:customStyle="1" w:styleId="referencelist">
    <w:name w:val="referencelist"/>
    <w:semiHidden/>
    <w:qFormat/>
  </w:style>
  <w:style w:type="paragraph" w:styleId="CommentText">
    <w:name w:val="annotation text"/>
    <w:basedOn w:val="Normal"/>
    <w:link w:val="CommentTextChar"/>
    <w:semiHidden/>
    <w:pPr>
      <w:spacing w:line="240" w:lineRule="auto"/>
    </w:pPr>
  </w:style>
  <w:style w:type="character" w:customStyle="1" w:styleId="CommentTextChar">
    <w:name w:val="Comment Text Char"/>
    <w:basedOn w:val="DefaultParagraphFont"/>
    <w:link w:val="CommentText"/>
    <w:semiHidden/>
    <w:rPr>
      <w:rFonts w:eastAsia="Times New Roman"/>
    </w:rPr>
  </w:style>
  <w:style w:type="character" w:styleId="CommentReference">
    <w:name w:val="annotation reference"/>
    <w:basedOn w:val="DefaultParagraphFont"/>
    <w:semiHidden/>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pquadrat/musparql-aligner/releases/download/benchmark-v10/musparql-benchmark-v10.zip"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github.com/ppquadrat/musparql-aligner" TargetMode="Externa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ppquadrat/musparql-aligner/releases/download/benchmark-v10/musparql-benchmark-v10.zip" TargetMode="External"/><Relationship Id="rId1" Type="http://schemas.openxmlformats.org/officeDocument/2006/relationships/hyperlink" Target="https://github.com/ppquadrat/musparql-aligne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4079</Words>
  <Characters>23251</Characters>
  <Application>Microsoft Office Word</Application>
  <DocSecurity>0</DocSecurity>
  <Lines>193</Lines>
  <Paragraphs>54</Paragraphs>
  <ScaleCrop>false</ScaleCrop>
  <Company>Microsoft</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Provenance-Aware Curation of NL-SPARQL Evaluation Data for Domain Knowledge Graphs</dc:title>
  <dc:subject>MTSR 2026 main-track submission revised after author corrections</dc:subject>
  <dc:creator>Polina Proutskova</dc:creator>
  <cp:keywords>metadata curation NL-SPARQL knowledge graph question answering provenance human-in-the-loop evaluation domain knowledge graphs</cp:keywords>
  <dc:description>Styles and macros for Springer Lecture Notes</dc:description>
  <cp:lastModifiedBy>Andrew Dubber</cp:lastModifiedBy>
  <cp:revision>2</cp:revision>
  <dcterms:created xsi:type="dcterms:W3CDTF">2026-09-08T20:43:00Z</dcterms:created>
  <dcterms:modified xsi:type="dcterms:W3CDTF">2026-09-08T20:43:00Z</dcterms:modified>
  <dc:language>en-GB</dc:language>
</cp:coreProperties>
</file>