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[9].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[6, 14, 23].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w:t>
      </w:r>
      <w:r>
        <w:rPr/>
        <w:t>SPARQL</w:t>
      </w:r>
      <w:r>
        <w:rPr/>
        <w:t xml:space="preserve">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r>
        <w:t>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runbooks, and reviewed v10 benchmark snapshot are available in an anonymised repository; access details are withheld for double-blind review.</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 6, 14, 21, 23]. Surveys and dataset analyses show persistent limitations in coverage, transferability, and generalisability [10, 11].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[3, 13, 24]. Competency-question research likewise connects domain requirements to formal queries [8, 16, 20, 26]. Human mediation is especially important in scientific and cultural-heritage graphs, where ontology terms and modelling conventions embody disciplinary choices [4, 5, 16-18, 22].</w:t>
      </w:r>
    </w:p>
    <w:p>
      <w:pPr>
        <w:pStyle w:val="Normal"/>
        <w:rPr/>
      </w:pPr>
      <w:r>
        <w:rPr/>
        <w:t>Musparql connects these strands with research-data curation. FAIR, PROV-O, datasheets for datasets, DCAT, and Croissant emphasise reusable objects, explicit provenance, documented creation decisions, and machine-readable publication metadata [1, 7, 12, 15, 25].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 xml:space="preserve">Stage 1: </w:t>
      </w:r>
      <w:r>
        <w:rPr/>
        <w:t>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r>
        <w:rPr/>
        <w:t>A benchmark item is represented as a chain of related records (Table 1). The model distinguishes what existed before Musparql processing, what the system inferred or observed, and what a reviewer approved.</w:t>
      </w:r>
      <w:r/>
      <w:r>
        <w:rPr/>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r>
    </w:p>
    <w:p>
      <w:pPr>
        <w:pStyle w:val="Normal"/>
        <w:ind w:hanging="0" w:star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[12]. While derivation, generation, use, revision, and responsibility map to PROV-O relationships, reviewer approval remains a Musparql-specific relation. RDF export and validation of the mapping remain future work.</w:t>
      </w:r>
    </w:p>
    <w:p>
      <w:pPr>
        <w:pStyle w:val="Normal"/>
        <w:ind w:firstLine="227" w:star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 xml:space="preserve">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[16]; Organs represents instruments, components, locations, and builders [5]; DTL1000 </w:t>
      </w:r>
      <w:r>
        <w:rPr/>
        <w:t>(from Dig That Lick project)</w:t>
      </w:r>
      <w:r>
        <w:rPr/>
        <w:t xml:space="preserve"> draws on the Jazz Ontology [18]; MusOW surveys music resources on the Web [4]; and LinkedMusic integrates heterogeneous music repositories [17]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13"/>
        <w:gridCol w:w="1425"/>
        <w:gridCol w:w="1650"/>
        <w:gridCol w:w="1562"/>
      </w:tblGrid>
      <w:tr>
        <w:trPr>
          <w:tblHeader w:val="true"/>
          <w:cantSplit w:val="true"/>
        </w:trPr>
        <w:tc>
          <w:tcPr>
            <w:tcW w:w="2313" w:type="dxa"/>
            <w:tcBorders>
              <w:top w:val="single" w:sz="12" w:space="0" w:color="000000"/>
              <w:bottom w:val="single" w:sz="6" w:space="0" w:color="000000"/>
            </w:tcBorders>
            <w:vAlign w:val="center"/>
          </w:tcPr>
          <w:p>
            <w:pPr>
              <w:pStyle w:val="p1a"/>
              <w:jc w:val="start"/>
              <w:rPr/>
            </w:pPr>
            <w:r>
              <w:rPr>
                <w:b/>
                <w:sz w:val="16"/>
              </w:rPr>
              <w:t>Knowledge graph</w:t>
            </w:r>
          </w:p>
        </w:tc>
        <w:tc>
          <w:tcPr>
            <w:tcW w:w="1425" w:type="dxa"/>
            <w:tcBorders>
              <w:top w:val="single" w:sz="12" w:space="0" w:color="000000"/>
              <w:bottom w:val="single" w:sz="6" w:space="0" w:color="000000"/>
            </w:tcBorders>
            <w:vAlign w:val="center"/>
          </w:tcPr>
          <w:p>
            <w:pPr>
              <w:pStyle w:val="p1a"/>
              <w:jc w:val="start"/>
              <w:rPr/>
            </w:pPr>
            <w:r>
              <w:rPr>
                <w:b/>
                <w:sz w:val="16"/>
              </w:rPr>
              <w:t>Pairs</w:t>
            </w:r>
          </w:p>
        </w:tc>
        <w:tc>
          <w:tcPr>
            <w:tcW w:w="1650" w:type="dxa"/>
            <w:tcBorders>
              <w:top w:val="single" w:sz="12" w:space="0" w:color="000000"/>
              <w:bottom w:val="single" w:sz="6" w:space="0" w:color="000000"/>
            </w:tcBorders>
            <w:vAlign w:val="center"/>
          </w:tcPr>
          <w:p>
            <w:pPr>
              <w:pStyle w:val="p1a"/>
              <w:jc w:val="start"/>
              <w:rPr/>
            </w:pPr>
            <w:r>
              <w:rPr>
                <w:b/>
                <w:sz w:val="16"/>
              </w:rPr>
              <w:t>Source-grounded</w:t>
            </w:r>
          </w:p>
        </w:tc>
        <w:tc>
          <w:tcPr>
            <w:tcW w:w="1562"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2313" w:type="dxa"/>
            <w:tcBorders/>
            <w:vAlign w:val="center"/>
          </w:tcPr>
          <w:p>
            <w:pPr>
              <w:pStyle w:val="p1a"/>
              <w:jc w:val="start"/>
              <w:rPr/>
            </w:pPr>
            <w:r>
              <w:rPr>
                <w:sz w:val="16"/>
              </w:rPr>
              <w:t>Musical Meetups</w:t>
            </w:r>
          </w:p>
        </w:tc>
        <w:tc>
          <w:tcPr>
            <w:tcW w:w="1425" w:type="dxa"/>
            <w:tcBorders/>
            <w:vAlign w:val="center"/>
          </w:tcPr>
          <w:p>
            <w:pPr>
              <w:pStyle w:val="p1a"/>
              <w:jc w:val="start"/>
              <w:rPr/>
            </w:pPr>
            <w:r>
              <w:rPr>
                <w:sz w:val="16"/>
              </w:rPr>
              <w:t>30</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10</w:t>
            </w:r>
          </w:p>
        </w:tc>
      </w:tr>
      <w:tr>
        <w:trPr>
          <w:cantSplit w:val="true"/>
        </w:trPr>
        <w:tc>
          <w:tcPr>
            <w:tcW w:w="2313" w:type="dxa"/>
            <w:tcBorders/>
            <w:vAlign w:val="center"/>
          </w:tcPr>
          <w:p>
            <w:pPr>
              <w:pStyle w:val="p1a"/>
              <w:jc w:val="start"/>
              <w:rPr/>
            </w:pPr>
            <w:r>
              <w:rPr>
                <w:sz w:val="16"/>
              </w:rPr>
              <w:t>Organs</w:t>
            </w:r>
          </w:p>
        </w:tc>
        <w:tc>
          <w:tcPr>
            <w:tcW w:w="1425" w:type="dxa"/>
            <w:tcBorders/>
            <w:vAlign w:val="center"/>
          </w:tcPr>
          <w:p>
            <w:pPr>
              <w:pStyle w:val="p1a"/>
              <w:jc w:val="start"/>
              <w:rPr/>
            </w:pPr>
            <w:r>
              <w:rPr>
                <w:sz w:val="16"/>
              </w:rPr>
              <w:t>9</w:t>
            </w:r>
          </w:p>
        </w:tc>
        <w:tc>
          <w:tcPr>
            <w:tcW w:w="1650" w:type="dxa"/>
            <w:tcBorders/>
            <w:vAlign w:val="center"/>
          </w:tcPr>
          <w:p>
            <w:pPr>
              <w:pStyle w:val="p1a"/>
              <w:jc w:val="start"/>
              <w:rPr/>
            </w:pPr>
            <w:r>
              <w:rPr>
                <w:sz w:val="16"/>
              </w:rPr>
              <w:t>4</w:t>
            </w:r>
          </w:p>
        </w:tc>
        <w:tc>
          <w:tcPr>
            <w:tcW w:w="1562" w:type="dxa"/>
            <w:tcBorders/>
            <w:vAlign w:val="center"/>
          </w:tcPr>
          <w:p>
            <w:pPr>
              <w:pStyle w:val="p1a"/>
              <w:jc w:val="start"/>
              <w:rPr/>
            </w:pPr>
            <w:r>
              <w:rPr>
                <w:sz w:val="16"/>
              </w:rPr>
              <w:t>5</w:t>
            </w:r>
          </w:p>
        </w:tc>
      </w:tr>
      <w:tr>
        <w:trPr>
          <w:cantSplit w:val="true"/>
        </w:trPr>
        <w:tc>
          <w:tcPr>
            <w:tcW w:w="2313" w:type="dxa"/>
            <w:tcBorders/>
            <w:vAlign w:val="center"/>
          </w:tcPr>
          <w:p>
            <w:pPr>
              <w:pStyle w:val="p1a"/>
              <w:jc w:val="start"/>
              <w:rPr/>
            </w:pPr>
            <w:r>
              <w:rPr>
                <w:sz w:val="16"/>
              </w:rPr>
              <w:t xml:space="preserve">DTL1000 </w:t>
            </w:r>
            <w:r>
              <w:rPr>
                <w:sz w:val="16"/>
              </w:rPr>
              <w:t>(</w:t>
            </w:r>
            <w:r>
              <w:rPr>
                <w:sz w:val="16"/>
              </w:rPr>
              <w:t>JazzOntology</w:t>
            </w:r>
            <w:r>
              <w:rPr>
                <w:sz w:val="16"/>
              </w:rPr>
              <w:t>)</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9</w:t>
            </w:r>
          </w:p>
        </w:tc>
        <w:tc>
          <w:tcPr>
            <w:tcW w:w="1562" w:type="dxa"/>
            <w:tcBorders/>
            <w:vAlign w:val="center"/>
          </w:tcPr>
          <w:p>
            <w:pPr>
              <w:pStyle w:val="p1a"/>
              <w:jc w:val="start"/>
              <w:rPr/>
            </w:pPr>
            <w:r>
              <w:rPr>
                <w:sz w:val="16"/>
              </w:rPr>
              <w:t>11</w:t>
            </w:r>
          </w:p>
        </w:tc>
      </w:tr>
      <w:tr>
        <w:trPr>
          <w:cantSplit w:val="true"/>
        </w:trPr>
        <w:tc>
          <w:tcPr>
            <w:tcW w:w="2313" w:type="dxa"/>
            <w:tcBorders/>
            <w:vAlign w:val="center"/>
          </w:tcPr>
          <w:p>
            <w:pPr>
              <w:pStyle w:val="p1a"/>
              <w:jc w:val="start"/>
              <w:rPr>
                <w:sz w:val="16"/>
              </w:rPr>
            </w:pPr>
            <w:r>
              <w:rPr>
                <w:sz w:val="16"/>
              </w:rPr>
              <w:t>Music On the Web (MusOW)</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18</w:t>
            </w:r>
          </w:p>
        </w:tc>
        <w:tc>
          <w:tcPr>
            <w:tcW w:w="1562" w:type="dxa"/>
            <w:tcBorders/>
            <w:vAlign w:val="center"/>
          </w:tcPr>
          <w:p>
            <w:pPr>
              <w:pStyle w:val="p1a"/>
              <w:jc w:val="start"/>
              <w:rPr/>
            </w:pPr>
            <w:r>
              <w:rPr>
                <w:sz w:val="16"/>
              </w:rPr>
              <w:t>2</w:t>
            </w:r>
          </w:p>
        </w:tc>
      </w:tr>
      <w:tr>
        <w:trPr>
          <w:cantSplit w:val="true"/>
        </w:trPr>
        <w:tc>
          <w:tcPr>
            <w:tcW w:w="2313" w:type="dxa"/>
            <w:tcBorders/>
            <w:vAlign w:val="center"/>
          </w:tcPr>
          <w:p>
            <w:pPr>
              <w:pStyle w:val="p1a"/>
              <w:jc w:val="start"/>
              <w:rPr/>
            </w:pPr>
            <w:r>
              <w:rPr>
                <w:sz w:val="16"/>
              </w:rPr>
              <w:t>LinkedMusic</w:t>
            </w:r>
          </w:p>
        </w:tc>
        <w:tc>
          <w:tcPr>
            <w:tcW w:w="1425" w:type="dxa"/>
            <w:tcBorders/>
            <w:vAlign w:val="center"/>
          </w:tcPr>
          <w:p>
            <w:pPr>
              <w:pStyle w:val="p1a"/>
              <w:jc w:val="start"/>
              <w:rPr/>
            </w:pPr>
            <w:r>
              <w:rPr>
                <w:sz w:val="16"/>
              </w:rPr>
              <w:t>21</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w:t>
            </w:r>
          </w:p>
        </w:tc>
      </w:tr>
      <w:tr>
        <w:trPr>
          <w:cantSplit w:val="true"/>
        </w:trPr>
        <w:tc>
          <w:tcPr>
            <w:tcW w:w="2313" w:type="dxa"/>
            <w:tcBorders>
              <w:bottom w:val="single" w:sz="12" w:space="0" w:color="000000"/>
            </w:tcBorders>
            <w:vAlign w:val="center"/>
          </w:tcPr>
          <w:p>
            <w:pPr>
              <w:pStyle w:val="p1a"/>
              <w:jc w:val="start"/>
              <w:rPr/>
            </w:pPr>
            <w:r>
              <w:rPr>
                <w:sz w:val="16"/>
              </w:rPr>
              <w:t>Total</w:t>
            </w:r>
          </w:p>
        </w:tc>
        <w:tc>
          <w:tcPr>
            <w:tcW w:w="1425" w:type="dxa"/>
            <w:tcBorders>
              <w:bottom w:val="single" w:sz="12" w:space="0" w:color="000000"/>
            </w:tcBorders>
            <w:vAlign w:val="center"/>
          </w:tcPr>
          <w:p>
            <w:pPr>
              <w:pStyle w:val="p1a"/>
              <w:jc w:val="start"/>
              <w:rPr/>
            </w:pPr>
            <w:r>
              <w:rPr>
                <w:sz w:val="16"/>
              </w:rPr>
              <w:t>100</w:t>
            </w:r>
          </w:p>
        </w:tc>
        <w:tc>
          <w:tcPr>
            <w:tcW w:w="1650" w:type="dxa"/>
            <w:tcBorders>
              <w:bottom w:val="single" w:sz="12" w:space="0" w:color="000000"/>
            </w:tcBorders>
            <w:vAlign w:val="center"/>
          </w:tcPr>
          <w:p>
            <w:pPr>
              <w:pStyle w:val="p1a"/>
              <w:jc w:val="start"/>
              <w:rPr/>
            </w:pPr>
            <w:r>
              <w:rPr>
                <w:sz w:val="16"/>
              </w:rPr>
              <w:t>71</w:t>
            </w:r>
          </w:p>
        </w:tc>
        <w:tc>
          <w:tcPr>
            <w:tcW w:w="1562" w:type="dxa"/>
            <w:tcBorders>
              <w:bottom w:val="single" w:sz="12" w:space="0" w:color="000000"/>
            </w:tcBorders>
            <w:vAlign w:val="center"/>
          </w:tcPr>
          <w:p>
            <w:pPr>
              <w:pStyle w:val="p1a"/>
              <w:jc w:val="star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[19].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t>The claims are bounded by one domain and one principal reviewer. The reviewer had relevant domain and knowledge-graph modelling expertise, but the review was not independent, and equivalent source-creator expertise was not available for every graph. The pipeline has generated candidate pairs in other domains outside music,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tab/>
        <w:t>An LLM-assisted source-discovery and acquisition process has since been developed and tested. It is not described in the paper because it was not used in v10 benchmark construction. Repository access details are withheld for double-blind review.</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4022</Words>
  <Characters>25928</Characters>
  <CharactersWithSpaces>29702</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2026-09-13T18:32:24Z</dcterms:modified>
  <cp:revision>13</cp:revision>
  <dc:subject>MTSR 2026 main-track submission revised after author corrections</dc:subject>
  <dc:title>Provenance-Aware Curation of NL-SPARQL Evaluation Data for Domain Knowledge Graphs</dc:title>
</cp:coreProperties>
</file>