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uthor"/>
        <w:rPr/>
      </w:pPr>
      <w:r>
        <w:rPr/>
        <w:t>Polina Proutskova</w:t>
      </w:r>
      <w:r>
        <w:rPr>
          <w:vertAlign w:val="superscript"/>
        </w:rPr>
        <w:t>*</w:t>
      </w:r>
      <w:r>
        <w:rPr>
          <w:rStyle w:val="ORCID"/>
        </w:rPr>
        <w:t>[0000-0002-7514-2711]</w:t>
      </w:r>
    </w:p>
    <w:p>
      <w:pPr>
        <w:pStyle w:val="address"/>
        <w:rPr/>
      </w:pPr>
      <w:r>
        <w:rPr/>
        <w:t>Industry Commons Foundation</w:t>
      </w:r>
    </w:p>
    <w:p>
      <w:pPr>
        <w:pStyle w:val="address"/>
        <w:rPr/>
      </w:pPr>
      <w:r>
        <w:rPr>
          <w:rStyle w:val="e-mail"/>
        </w:rPr>
        <w:t>polina.proutskova@industrycommons.net</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[9].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[6, 14, 23].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SPARQL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r>
        <w:rP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2">
        <w:r>
          <w:rPr>
            <w:rStyle w:val="Hyperlink"/>
          </w:rPr>
          <w:t>GitHub repository</w:t>
        </w:r>
        <w:r>
          <w:rPr>
            <w:rStyle w:val="Hyperlink"/>
            <w:rStyle w:val="FootnoteReference"/>
          </w:rPr>
          <w:footnoteReference w:id="3"/>
        </w:r>
      </w:hyperlink>
      <w:r>
        <w:rPr/>
        <w:t xml:space="preserve">, and the reviewed v10 benchmark can be downloaded from the </w:t>
      </w:r>
      <w:hyperlink r:id="rId3">
        <w:r>
          <w:rPr>
            <w:rStyle w:val="Hyperlink"/>
          </w:rPr>
          <w:t>benchmark directory</w:t>
        </w:r>
        <w:r>
          <w:rPr>
            <w:rStyle w:val="Hyperlink"/>
            <w:rStyle w:val="FootnoteReference"/>
          </w:rPr>
          <w:footnoteReference w:id="4"/>
        </w:r>
      </w:hyperlink>
      <w:r>
        <w:rPr/>
        <w:t>.</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 6, 14, 21, 23]. Surveys and dataset analyses show persistent limitations in coverage, transferability, and generalisability [10, 11].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[3, 13, 24]. Competency-question research likewise connects domain requirements to formal queries [8, 16, 20, 26]. Human mediation is especially important in scientific and cultural-heritage graphs, where ontology terms and modelling conventions embody disciplinary choices [4, 5, 16-18, 22].</w:t>
      </w:r>
    </w:p>
    <w:p>
      <w:pPr>
        <w:pStyle w:val="Normal"/>
        <w:rPr/>
      </w:pPr>
      <w:r>
        <w:rPr/>
        <w:t>Musparql connects these strands with research-data curation. FAIR, PROV-O, datasheets for datasets, DCAT, and Croissant emphasise reusable objects, explicit provenance, documented creation decisions, and machine-readable publication metadata [1, 7, 12, 15, 25].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Figure 1&#10;Musparql workflow from manually curated source and query acquisition through evidence alignment, expert review, and publication, preserving provenance at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1&#10;Musparql workflow from manually curated source and query acquisition through evidence alignment, expert review, and publication, preserving provenance at each stage."/>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Stage 1: 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Figure 2&#10;Comparative-review workbench showing a source SPARQL query with previous and current natural-language formulations and reviewe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Figure 2&#10;Comparative-review workbench showing a source SPARQL query with previous and current natural-language formulations and reviewer controls."/>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r>
        <w:rPr/>
        <w:t>A benchmark item is represented as a chain of related records (Table 1). The model distinguishes what existed before Musparql processing, what the system inferred or observed, and what a reviewer approved.</w:t>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left w:w="45" w:type="dxa"/>
          <w:bottom w:w="45" w:type="dxa"/>
          <w:right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left"/>
              <w:rPr/>
            </w:pPr>
            <w:r>
              <w:rPr>
                <w:b/>
                <w:sz w:val="16"/>
              </w:rPr>
              <w:t>Layer</w:t>
            </w:r>
          </w:p>
        </w:tc>
        <w:tc>
          <w:tcPr>
            <w:tcW w:w="2306" w:type="dxa"/>
            <w:tcBorders>
              <w:top w:val="single" w:sz="12" w:space="0" w:color="000000"/>
              <w:bottom w:val="single" w:sz="6" w:space="0" w:color="000000"/>
            </w:tcBorders>
            <w:vAlign w:val="center"/>
          </w:tcPr>
          <w:p>
            <w:pPr>
              <w:pStyle w:val="p1a"/>
              <w:jc w:val="left"/>
              <w:rPr/>
            </w:pPr>
            <w:r>
              <w:rPr>
                <w:b/>
                <w:sz w:val="16"/>
              </w:rPr>
              <w:t>Primary content</w:t>
            </w:r>
          </w:p>
        </w:tc>
        <w:tc>
          <w:tcPr>
            <w:tcW w:w="2306" w:type="dxa"/>
            <w:tcBorders>
              <w:top w:val="single" w:sz="12" w:space="0" w:color="000000"/>
              <w:bottom w:val="single" w:sz="6" w:space="0" w:color="000000"/>
            </w:tcBorders>
            <w:vAlign w:val="center"/>
          </w:tcPr>
          <w:p>
            <w:pPr>
              <w:pStyle w:val="p1a"/>
              <w:jc w:val="left"/>
              <w:rPr/>
            </w:pPr>
            <w:r>
              <w:rPr>
                <w:b/>
                <w:sz w:val="16"/>
              </w:rPr>
              <w:t>Curation function</w:t>
            </w:r>
          </w:p>
        </w:tc>
      </w:tr>
      <w:tr>
        <w:trPr>
          <w:cantSplit w:val="true"/>
        </w:trPr>
        <w:tc>
          <w:tcPr>
            <w:tcW w:w="2306" w:type="dxa"/>
            <w:tcBorders/>
            <w:vAlign w:val="center"/>
          </w:tcPr>
          <w:p>
            <w:pPr>
              <w:pStyle w:val="p1a"/>
              <w:jc w:val="left"/>
              <w:rPr/>
            </w:pPr>
            <w:r>
              <w:rPr>
                <w:sz w:val="16"/>
              </w:rPr>
              <w:t>Source and query history</w:t>
            </w:r>
          </w:p>
        </w:tc>
        <w:tc>
          <w:tcPr>
            <w:tcW w:w="2306" w:type="dxa"/>
            <w:tcBorders/>
            <w:vAlign w:val="center"/>
          </w:tcPr>
          <w:p>
            <w:pPr>
              <w:pStyle w:val="p1a"/>
              <w:jc w:val="left"/>
              <w:rPr/>
            </w:pPr>
            <w:r>
              <w:rPr>
                <w:sz w:val="16"/>
              </w:rPr>
              <w:t>Location, revision, immutable SPARQL v0, append-only corrections</w:t>
            </w:r>
          </w:p>
        </w:tc>
        <w:tc>
          <w:tcPr>
            <w:tcW w:w="2306" w:type="dxa"/>
            <w:tcBorders/>
            <w:vAlign w:val="center"/>
          </w:tcPr>
          <w:p>
            <w:pPr>
              <w:pStyle w:val="p1a"/>
              <w:jc w:val="left"/>
              <w:rPr/>
            </w:pPr>
            <w:r>
              <w:rPr>
                <w:sz w:val="16"/>
              </w:rPr>
              <w:t>Separates source authorship from operational repair</w:t>
            </w:r>
          </w:p>
        </w:tc>
      </w:tr>
      <w:tr>
        <w:trPr>
          <w:cantSplit w:val="true"/>
        </w:trPr>
        <w:tc>
          <w:tcPr>
            <w:tcW w:w="2306" w:type="dxa"/>
            <w:tcBorders/>
            <w:vAlign w:val="center"/>
          </w:tcPr>
          <w:p>
            <w:pPr>
              <w:pStyle w:val="p1a"/>
              <w:jc w:val="left"/>
              <w:rPr/>
            </w:pPr>
            <w:r>
              <w:rPr>
                <w:sz w:val="16"/>
              </w:rPr>
              <w:t>Evidence alignment</w:t>
            </w:r>
          </w:p>
        </w:tc>
        <w:tc>
          <w:tcPr>
            <w:tcW w:w="2306" w:type="dxa"/>
            <w:tcBorders/>
            <w:vAlign w:val="center"/>
          </w:tcPr>
          <w:p>
            <w:pPr>
              <w:pStyle w:val="p1a"/>
              <w:jc w:val="left"/>
              <w:rPr/>
            </w:pPr>
            <w:r>
              <w:rPr>
                <w:sz w:val="16"/>
              </w:rPr>
              <w:t>Ranked phrases, retained text, citations, alignment decision</w:t>
            </w:r>
          </w:p>
        </w:tc>
        <w:tc>
          <w:tcPr>
            <w:tcW w:w="2306" w:type="dxa"/>
            <w:tcBorders/>
            <w:vAlign w:val="center"/>
          </w:tcPr>
          <w:p>
            <w:pPr>
              <w:pStyle w:val="p1a"/>
              <w:jc w:val="left"/>
              <w:rPr/>
            </w:pPr>
            <w:r>
              <w:rPr>
                <w:sz w:val="16"/>
              </w:rPr>
              <w:t>Makes query-specific grounding inspectable</w:t>
            </w:r>
          </w:p>
        </w:tc>
      </w:tr>
      <w:tr>
        <w:trPr>
          <w:cantSplit w:val="true"/>
        </w:trPr>
        <w:tc>
          <w:tcPr>
            <w:tcW w:w="2306" w:type="dxa"/>
            <w:tcBorders/>
            <w:vAlign w:val="center"/>
          </w:tcPr>
          <w:p>
            <w:pPr>
              <w:pStyle w:val="p1a"/>
              <w:jc w:val="left"/>
              <w:rPr/>
            </w:pPr>
            <w:r>
              <w:rPr>
                <w:sz w:val="16"/>
              </w:rPr>
              <w:t>Candidate and generation</w:t>
            </w:r>
          </w:p>
        </w:tc>
        <w:tc>
          <w:tcPr>
            <w:tcW w:w="2306" w:type="dxa"/>
            <w:tcBorders/>
            <w:vAlign w:val="center"/>
          </w:tcPr>
          <w:p>
            <w:pPr>
              <w:pStyle w:val="p1a"/>
              <w:jc w:val="left"/>
              <w:rPr/>
            </w:pPr>
            <w:r>
              <w:rPr>
                <w:sz w:val="16"/>
              </w:rPr>
              <w:t>Selected query, proposed wording, prompt, model, rationale</w:t>
            </w:r>
          </w:p>
        </w:tc>
        <w:tc>
          <w:tcPr>
            <w:tcW w:w="2306" w:type="dxa"/>
            <w:tcBorders/>
            <w:vAlign w:val="center"/>
          </w:tcPr>
          <w:p>
            <w:pPr>
              <w:pStyle w:val="p1a"/>
              <w:jc w:val="left"/>
              <w:rPr/>
            </w:pPr>
            <w:r>
              <w:rPr>
                <w:sz w:val="16"/>
              </w:rPr>
              <w:t>Keeps machine proposals provisional</w:t>
            </w:r>
          </w:p>
        </w:tc>
      </w:tr>
      <w:tr>
        <w:trPr>
          <w:cantSplit w:val="true"/>
        </w:trPr>
        <w:tc>
          <w:tcPr>
            <w:tcW w:w="2306" w:type="dxa"/>
            <w:tcBorders/>
            <w:vAlign w:val="center"/>
          </w:tcPr>
          <w:p>
            <w:pPr>
              <w:pStyle w:val="p1a"/>
              <w:jc w:val="left"/>
              <w:rPr/>
            </w:pPr>
            <w:r>
              <w:rPr>
                <w:sz w:val="16"/>
              </w:rPr>
              <w:t>Execution</w:t>
            </w:r>
          </w:p>
        </w:tc>
        <w:tc>
          <w:tcPr>
            <w:tcW w:w="2306" w:type="dxa"/>
            <w:tcBorders/>
            <w:vAlign w:val="center"/>
          </w:tcPr>
          <w:p>
            <w:pPr>
              <w:pStyle w:val="p1a"/>
              <w:jc w:val="left"/>
              <w:rPr/>
            </w:pPr>
            <w:r>
              <w:rPr>
                <w:sz w:val="16"/>
              </w:rPr>
              <w:t>Dated status, count, error, query hash</w:t>
            </w:r>
          </w:p>
        </w:tc>
        <w:tc>
          <w:tcPr>
            <w:tcW w:w="2306" w:type="dxa"/>
            <w:tcBorders/>
            <w:vAlign w:val="center"/>
          </w:tcPr>
          <w:p>
            <w:pPr>
              <w:pStyle w:val="p1a"/>
              <w:jc w:val="left"/>
              <w:rPr/>
            </w:pPr>
            <w:r>
              <w:rPr>
                <w:sz w:val="16"/>
              </w:rPr>
              <w:t>Records infrastructure behaviour as observation</w:t>
            </w:r>
          </w:p>
        </w:tc>
      </w:tr>
      <w:tr>
        <w:trPr>
          <w:cantSplit w:val="true"/>
        </w:trPr>
        <w:tc>
          <w:tcPr>
            <w:tcW w:w="2306" w:type="dxa"/>
            <w:tcBorders/>
            <w:vAlign w:val="center"/>
          </w:tcPr>
          <w:p>
            <w:pPr>
              <w:pStyle w:val="p1a"/>
              <w:jc w:val="left"/>
              <w:rPr/>
            </w:pPr>
            <w:r>
              <w:rPr>
                <w:sz w:val="16"/>
              </w:rPr>
              <w:t>Review</w:t>
            </w:r>
          </w:p>
        </w:tc>
        <w:tc>
          <w:tcPr>
            <w:tcW w:w="2306" w:type="dxa"/>
            <w:tcBorders/>
            <w:vAlign w:val="center"/>
          </w:tcPr>
          <w:p>
            <w:pPr>
              <w:pStyle w:val="p1a"/>
              <w:jc w:val="left"/>
              <w:rPr/>
            </w:pPr>
            <w:r>
              <w:rPr>
                <w:sz w:val="16"/>
              </w:rPr>
              <w:t>Retain/rewrite/dismiss, notes, alternatives</w:t>
            </w:r>
          </w:p>
        </w:tc>
        <w:tc>
          <w:tcPr>
            <w:tcW w:w="2306" w:type="dxa"/>
            <w:tcBorders/>
            <w:vAlign w:val="center"/>
          </w:tcPr>
          <w:p>
            <w:pPr>
              <w:pStyle w:val="p1a"/>
              <w:jc w:val="lef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left"/>
              <w:rPr/>
            </w:pPr>
            <w:r>
              <w:rPr>
                <w:sz w:val="16"/>
              </w:rPr>
              <w:t>Publication</w:t>
            </w:r>
          </w:p>
        </w:tc>
        <w:tc>
          <w:tcPr>
            <w:tcW w:w="2306" w:type="dxa"/>
            <w:tcBorders>
              <w:bottom w:val="single" w:sz="12" w:space="0" w:color="000000"/>
            </w:tcBorders>
            <w:vAlign w:val="center"/>
          </w:tcPr>
          <w:p>
            <w:pPr>
              <w:pStyle w:val="p1a"/>
              <w:jc w:val="left"/>
              <w:rPr/>
            </w:pPr>
            <w:r>
              <w:rPr>
                <w:sz w:val="16"/>
              </w:rPr>
              <w:t>Canonical question, selected SPARQL, release metadata</w:t>
            </w:r>
          </w:p>
        </w:tc>
        <w:tc>
          <w:tcPr>
            <w:tcW w:w="2306" w:type="dxa"/>
            <w:tcBorders>
              <w:bottom w:val="single" w:sz="12" w:space="0" w:color="000000"/>
            </w:tcBorders>
            <w:vAlign w:val="center"/>
          </w:tcPr>
          <w:p>
            <w:pPr>
              <w:pStyle w:val="p1a"/>
              <w:jc w:val="left"/>
              <w:rPr/>
            </w:pPr>
            <w:r>
              <w:rPr>
                <w:sz w:val="16"/>
              </w:rPr>
              <w:t>Provides a stable scoring view</w:t>
            </w:r>
          </w:p>
        </w:tc>
      </w:tr>
    </w:tbl>
    <w:p>
      <w:pPr>
        <w:pStyle w:val="p1a"/>
        <w:rPr/>
      </w:pPr>
      <w:r>
        <w:rPr/>
      </w:r>
    </w:p>
    <w:p>
      <w:pPr>
        <w:pStyle w:val="Normal"/>
        <w:ind w:hanging="0" w:lef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[12]. While derivation, generation, use, revision, and responsibility map to PROV-O relationships, reviewer approval remains a Musparql-specific relation. RDF export and validation of the mapping remain future work.</w:t>
      </w:r>
    </w:p>
    <w:p>
      <w:pPr>
        <w:pStyle w:val="Normal"/>
        <w:ind w:firstLine="227" w:lef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[16]; Organs represents instruments, components, locations, and builders [5]; DTL1000 (from Dig That Lick project) draws on the Jazz Ontology [18]; MusOW surveys music resources on the Web [4]; and LinkedMusic integrates heterogeneous music repositories [17]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left w:w="45" w:type="dxa"/>
          <w:bottom w:w="45" w:type="dxa"/>
          <w:right w:w="45" w:type="dxa"/>
        </w:tblCellMar>
        <w:tblLook w:val="04a0" w:noVBand="1" w:noHBand="0" w:lastColumn="0" w:firstColumn="1" w:lastRow="0" w:firstRow="1"/>
      </w:tblPr>
      <w:tblGrid>
        <w:gridCol w:w="2312"/>
        <w:gridCol w:w="1425"/>
        <w:gridCol w:w="1651"/>
        <w:gridCol w:w="1562"/>
      </w:tblGrid>
      <w:tr>
        <w:trPr>
          <w:tblHeader w:val="true"/>
          <w:cantSplit w:val="true"/>
        </w:trPr>
        <w:tc>
          <w:tcPr>
            <w:tcW w:w="2312" w:type="dxa"/>
            <w:tcBorders>
              <w:top w:val="single" w:sz="12" w:space="0" w:color="000000"/>
              <w:bottom w:val="single" w:sz="6" w:space="0" w:color="000000"/>
            </w:tcBorders>
            <w:vAlign w:val="center"/>
          </w:tcPr>
          <w:p>
            <w:pPr>
              <w:pStyle w:val="p1a"/>
              <w:jc w:val="left"/>
              <w:rPr/>
            </w:pPr>
            <w:r>
              <w:rPr>
                <w:b/>
                <w:sz w:val="16"/>
              </w:rPr>
              <w:t>Knowledge graph</w:t>
            </w:r>
          </w:p>
        </w:tc>
        <w:tc>
          <w:tcPr>
            <w:tcW w:w="1425" w:type="dxa"/>
            <w:tcBorders>
              <w:top w:val="single" w:sz="12" w:space="0" w:color="000000"/>
              <w:bottom w:val="single" w:sz="6" w:space="0" w:color="000000"/>
            </w:tcBorders>
            <w:vAlign w:val="center"/>
          </w:tcPr>
          <w:p>
            <w:pPr>
              <w:pStyle w:val="p1a"/>
              <w:jc w:val="left"/>
              <w:rPr/>
            </w:pPr>
            <w:r>
              <w:rPr>
                <w:b/>
                <w:sz w:val="16"/>
              </w:rPr>
              <w:t>Pairs</w:t>
            </w:r>
          </w:p>
        </w:tc>
        <w:tc>
          <w:tcPr>
            <w:tcW w:w="1651" w:type="dxa"/>
            <w:tcBorders>
              <w:top w:val="single" w:sz="12" w:space="0" w:color="000000"/>
              <w:bottom w:val="single" w:sz="6" w:space="0" w:color="000000"/>
            </w:tcBorders>
            <w:vAlign w:val="center"/>
          </w:tcPr>
          <w:p>
            <w:pPr>
              <w:pStyle w:val="p1a"/>
              <w:jc w:val="left"/>
              <w:rPr/>
            </w:pPr>
            <w:r>
              <w:rPr>
                <w:b/>
                <w:sz w:val="16"/>
              </w:rPr>
              <w:t>Source-grounded</w:t>
            </w:r>
          </w:p>
        </w:tc>
        <w:tc>
          <w:tcPr>
            <w:tcW w:w="1562" w:type="dxa"/>
            <w:tcBorders>
              <w:top w:val="single" w:sz="12" w:space="0" w:color="000000"/>
              <w:bottom w:val="single" w:sz="6" w:space="0" w:color="000000"/>
            </w:tcBorders>
            <w:vAlign w:val="center"/>
          </w:tcPr>
          <w:p>
            <w:pPr>
              <w:pStyle w:val="p1a"/>
              <w:jc w:val="left"/>
              <w:rPr/>
            </w:pPr>
            <w:r>
              <w:rPr>
                <w:b/>
                <w:sz w:val="16"/>
              </w:rPr>
              <w:t>Generated</w:t>
            </w:r>
          </w:p>
        </w:tc>
      </w:tr>
      <w:tr>
        <w:trPr>
          <w:cantSplit w:val="true"/>
        </w:trPr>
        <w:tc>
          <w:tcPr>
            <w:tcW w:w="2312" w:type="dxa"/>
            <w:tcBorders/>
            <w:vAlign w:val="center"/>
          </w:tcPr>
          <w:p>
            <w:pPr>
              <w:pStyle w:val="p1a"/>
              <w:jc w:val="left"/>
              <w:rPr/>
            </w:pPr>
            <w:r>
              <w:rPr>
                <w:sz w:val="16"/>
              </w:rPr>
              <w:t>Musical Meetups</w:t>
            </w:r>
          </w:p>
        </w:tc>
        <w:tc>
          <w:tcPr>
            <w:tcW w:w="1425" w:type="dxa"/>
            <w:tcBorders/>
            <w:vAlign w:val="center"/>
          </w:tcPr>
          <w:p>
            <w:pPr>
              <w:pStyle w:val="p1a"/>
              <w:jc w:val="left"/>
              <w:rPr/>
            </w:pPr>
            <w:r>
              <w:rPr>
                <w:sz w:val="16"/>
              </w:rPr>
              <w:t>30</w:t>
            </w:r>
          </w:p>
        </w:tc>
        <w:tc>
          <w:tcPr>
            <w:tcW w:w="1651" w:type="dxa"/>
            <w:tcBorders/>
            <w:vAlign w:val="center"/>
          </w:tcPr>
          <w:p>
            <w:pPr>
              <w:pStyle w:val="p1a"/>
              <w:jc w:val="left"/>
              <w:rPr/>
            </w:pPr>
            <w:r>
              <w:rPr>
                <w:sz w:val="16"/>
              </w:rPr>
              <w:t>20</w:t>
            </w:r>
          </w:p>
        </w:tc>
        <w:tc>
          <w:tcPr>
            <w:tcW w:w="1562" w:type="dxa"/>
            <w:tcBorders/>
            <w:vAlign w:val="center"/>
          </w:tcPr>
          <w:p>
            <w:pPr>
              <w:pStyle w:val="p1a"/>
              <w:jc w:val="left"/>
              <w:rPr/>
            </w:pPr>
            <w:r>
              <w:rPr>
                <w:sz w:val="16"/>
              </w:rPr>
              <w:t>10</w:t>
            </w:r>
          </w:p>
        </w:tc>
      </w:tr>
      <w:tr>
        <w:trPr>
          <w:cantSplit w:val="true"/>
        </w:trPr>
        <w:tc>
          <w:tcPr>
            <w:tcW w:w="2312" w:type="dxa"/>
            <w:tcBorders/>
            <w:vAlign w:val="center"/>
          </w:tcPr>
          <w:p>
            <w:pPr>
              <w:pStyle w:val="p1a"/>
              <w:jc w:val="left"/>
              <w:rPr/>
            </w:pPr>
            <w:r>
              <w:rPr>
                <w:sz w:val="16"/>
              </w:rPr>
              <w:t>Organs</w:t>
            </w:r>
          </w:p>
        </w:tc>
        <w:tc>
          <w:tcPr>
            <w:tcW w:w="1425" w:type="dxa"/>
            <w:tcBorders/>
            <w:vAlign w:val="center"/>
          </w:tcPr>
          <w:p>
            <w:pPr>
              <w:pStyle w:val="p1a"/>
              <w:jc w:val="left"/>
              <w:rPr/>
            </w:pPr>
            <w:r>
              <w:rPr>
                <w:sz w:val="16"/>
              </w:rPr>
              <w:t>9</w:t>
            </w:r>
          </w:p>
        </w:tc>
        <w:tc>
          <w:tcPr>
            <w:tcW w:w="1651" w:type="dxa"/>
            <w:tcBorders/>
            <w:vAlign w:val="center"/>
          </w:tcPr>
          <w:p>
            <w:pPr>
              <w:pStyle w:val="p1a"/>
              <w:jc w:val="left"/>
              <w:rPr/>
            </w:pPr>
            <w:r>
              <w:rPr>
                <w:sz w:val="16"/>
              </w:rPr>
              <w:t>4</w:t>
            </w:r>
          </w:p>
        </w:tc>
        <w:tc>
          <w:tcPr>
            <w:tcW w:w="1562" w:type="dxa"/>
            <w:tcBorders/>
            <w:vAlign w:val="center"/>
          </w:tcPr>
          <w:p>
            <w:pPr>
              <w:pStyle w:val="p1a"/>
              <w:jc w:val="left"/>
              <w:rPr/>
            </w:pPr>
            <w:r>
              <w:rPr>
                <w:sz w:val="16"/>
              </w:rPr>
              <w:t>5</w:t>
            </w:r>
          </w:p>
        </w:tc>
      </w:tr>
      <w:tr>
        <w:trPr>
          <w:cantSplit w:val="true"/>
        </w:trPr>
        <w:tc>
          <w:tcPr>
            <w:tcW w:w="2312" w:type="dxa"/>
            <w:tcBorders/>
            <w:vAlign w:val="center"/>
          </w:tcPr>
          <w:p>
            <w:pPr>
              <w:pStyle w:val="p1a"/>
              <w:jc w:val="left"/>
              <w:rPr/>
            </w:pPr>
            <w:r>
              <w:rPr>
                <w:sz w:val="16"/>
              </w:rPr>
              <w:t>DTL1000 (JazzOntology)</w:t>
            </w:r>
          </w:p>
        </w:tc>
        <w:tc>
          <w:tcPr>
            <w:tcW w:w="1425" w:type="dxa"/>
            <w:tcBorders/>
            <w:vAlign w:val="center"/>
          </w:tcPr>
          <w:p>
            <w:pPr>
              <w:pStyle w:val="p1a"/>
              <w:jc w:val="left"/>
              <w:rPr/>
            </w:pPr>
            <w:r>
              <w:rPr>
                <w:sz w:val="16"/>
              </w:rPr>
              <w:t>20</w:t>
            </w:r>
          </w:p>
        </w:tc>
        <w:tc>
          <w:tcPr>
            <w:tcW w:w="1651" w:type="dxa"/>
            <w:tcBorders/>
            <w:vAlign w:val="center"/>
          </w:tcPr>
          <w:p>
            <w:pPr>
              <w:pStyle w:val="p1a"/>
              <w:jc w:val="left"/>
              <w:rPr/>
            </w:pPr>
            <w:r>
              <w:rPr>
                <w:sz w:val="16"/>
              </w:rPr>
              <w:t>9</w:t>
            </w:r>
          </w:p>
        </w:tc>
        <w:tc>
          <w:tcPr>
            <w:tcW w:w="1562" w:type="dxa"/>
            <w:tcBorders/>
            <w:vAlign w:val="center"/>
          </w:tcPr>
          <w:p>
            <w:pPr>
              <w:pStyle w:val="p1a"/>
              <w:jc w:val="left"/>
              <w:rPr/>
            </w:pPr>
            <w:r>
              <w:rPr>
                <w:sz w:val="16"/>
              </w:rPr>
              <w:t>11</w:t>
            </w:r>
          </w:p>
        </w:tc>
      </w:tr>
      <w:tr>
        <w:trPr>
          <w:cantSplit w:val="true"/>
        </w:trPr>
        <w:tc>
          <w:tcPr>
            <w:tcW w:w="2312" w:type="dxa"/>
            <w:tcBorders/>
            <w:vAlign w:val="center"/>
          </w:tcPr>
          <w:p>
            <w:pPr>
              <w:pStyle w:val="p1a"/>
              <w:jc w:val="left"/>
              <w:rPr>
                <w:sz w:val="16"/>
              </w:rPr>
            </w:pPr>
            <w:r>
              <w:rPr>
                <w:sz w:val="16"/>
              </w:rPr>
              <w:t>Music On the Web (MusOW)</w:t>
            </w:r>
          </w:p>
        </w:tc>
        <w:tc>
          <w:tcPr>
            <w:tcW w:w="1425" w:type="dxa"/>
            <w:tcBorders/>
            <w:vAlign w:val="center"/>
          </w:tcPr>
          <w:p>
            <w:pPr>
              <w:pStyle w:val="p1a"/>
              <w:jc w:val="left"/>
              <w:rPr/>
            </w:pPr>
            <w:r>
              <w:rPr>
                <w:sz w:val="16"/>
              </w:rPr>
              <w:t>20</w:t>
            </w:r>
          </w:p>
        </w:tc>
        <w:tc>
          <w:tcPr>
            <w:tcW w:w="1651" w:type="dxa"/>
            <w:tcBorders/>
            <w:vAlign w:val="center"/>
          </w:tcPr>
          <w:p>
            <w:pPr>
              <w:pStyle w:val="p1a"/>
              <w:jc w:val="left"/>
              <w:rPr/>
            </w:pPr>
            <w:r>
              <w:rPr>
                <w:sz w:val="16"/>
              </w:rPr>
              <w:t>18</w:t>
            </w:r>
          </w:p>
        </w:tc>
        <w:tc>
          <w:tcPr>
            <w:tcW w:w="1562" w:type="dxa"/>
            <w:tcBorders/>
            <w:vAlign w:val="center"/>
          </w:tcPr>
          <w:p>
            <w:pPr>
              <w:pStyle w:val="p1a"/>
              <w:jc w:val="left"/>
              <w:rPr/>
            </w:pPr>
            <w:r>
              <w:rPr>
                <w:sz w:val="16"/>
              </w:rPr>
              <w:t>2</w:t>
            </w:r>
          </w:p>
        </w:tc>
      </w:tr>
      <w:tr>
        <w:trPr>
          <w:cantSplit w:val="true"/>
        </w:trPr>
        <w:tc>
          <w:tcPr>
            <w:tcW w:w="2312" w:type="dxa"/>
            <w:tcBorders/>
            <w:vAlign w:val="center"/>
          </w:tcPr>
          <w:p>
            <w:pPr>
              <w:pStyle w:val="p1a"/>
              <w:jc w:val="left"/>
              <w:rPr/>
            </w:pPr>
            <w:r>
              <w:rPr>
                <w:sz w:val="16"/>
              </w:rPr>
              <w:t>LinkedMusic</w:t>
            </w:r>
          </w:p>
        </w:tc>
        <w:tc>
          <w:tcPr>
            <w:tcW w:w="1425" w:type="dxa"/>
            <w:tcBorders/>
            <w:vAlign w:val="center"/>
          </w:tcPr>
          <w:p>
            <w:pPr>
              <w:pStyle w:val="p1a"/>
              <w:jc w:val="left"/>
              <w:rPr/>
            </w:pPr>
            <w:r>
              <w:rPr>
                <w:sz w:val="16"/>
              </w:rPr>
              <w:t>21</w:t>
            </w:r>
          </w:p>
        </w:tc>
        <w:tc>
          <w:tcPr>
            <w:tcW w:w="1651" w:type="dxa"/>
            <w:tcBorders/>
            <w:vAlign w:val="center"/>
          </w:tcPr>
          <w:p>
            <w:pPr>
              <w:pStyle w:val="p1a"/>
              <w:jc w:val="left"/>
              <w:rPr/>
            </w:pPr>
            <w:r>
              <w:rPr>
                <w:sz w:val="16"/>
              </w:rPr>
              <w:t>20</w:t>
            </w:r>
          </w:p>
        </w:tc>
        <w:tc>
          <w:tcPr>
            <w:tcW w:w="1562" w:type="dxa"/>
            <w:tcBorders/>
            <w:vAlign w:val="center"/>
          </w:tcPr>
          <w:p>
            <w:pPr>
              <w:pStyle w:val="p1a"/>
              <w:jc w:val="left"/>
              <w:rPr/>
            </w:pPr>
            <w:r>
              <w:rPr>
                <w:sz w:val="16"/>
              </w:rPr>
              <w:t>1</w:t>
            </w:r>
          </w:p>
        </w:tc>
      </w:tr>
      <w:tr>
        <w:trPr>
          <w:cantSplit w:val="true"/>
        </w:trPr>
        <w:tc>
          <w:tcPr>
            <w:tcW w:w="2312" w:type="dxa"/>
            <w:tcBorders>
              <w:bottom w:val="single" w:sz="12" w:space="0" w:color="000000"/>
            </w:tcBorders>
            <w:vAlign w:val="center"/>
          </w:tcPr>
          <w:p>
            <w:pPr>
              <w:pStyle w:val="p1a"/>
              <w:jc w:val="left"/>
              <w:rPr/>
            </w:pPr>
            <w:r>
              <w:rPr>
                <w:sz w:val="16"/>
              </w:rPr>
              <w:t>Total</w:t>
            </w:r>
          </w:p>
        </w:tc>
        <w:tc>
          <w:tcPr>
            <w:tcW w:w="1425" w:type="dxa"/>
            <w:tcBorders>
              <w:bottom w:val="single" w:sz="12" w:space="0" w:color="000000"/>
            </w:tcBorders>
            <w:vAlign w:val="center"/>
          </w:tcPr>
          <w:p>
            <w:pPr>
              <w:pStyle w:val="p1a"/>
              <w:jc w:val="left"/>
              <w:rPr/>
            </w:pPr>
            <w:r>
              <w:rPr>
                <w:sz w:val="16"/>
              </w:rPr>
              <w:t>100</w:t>
            </w:r>
          </w:p>
        </w:tc>
        <w:tc>
          <w:tcPr>
            <w:tcW w:w="1651" w:type="dxa"/>
            <w:tcBorders>
              <w:bottom w:val="single" w:sz="12" w:space="0" w:color="000000"/>
            </w:tcBorders>
            <w:vAlign w:val="center"/>
          </w:tcPr>
          <w:p>
            <w:pPr>
              <w:pStyle w:val="p1a"/>
              <w:jc w:val="left"/>
              <w:rPr/>
            </w:pPr>
            <w:r>
              <w:rPr>
                <w:sz w:val="16"/>
              </w:rPr>
              <w:t>71</w:t>
            </w:r>
          </w:p>
        </w:tc>
        <w:tc>
          <w:tcPr>
            <w:tcW w:w="1562" w:type="dxa"/>
            <w:tcBorders>
              <w:bottom w:val="single" w:sz="12" w:space="0" w:color="000000"/>
            </w:tcBorders>
            <w:vAlign w:val="center"/>
          </w:tcPr>
          <w:p>
            <w:pPr>
              <w:pStyle w:val="p1a"/>
              <w:jc w:val="lef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left w:w="45" w:type="dxa"/>
          <w:bottom w:w="45" w:type="dxa"/>
          <w:right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lef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lef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lef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lef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lef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lef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lef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lef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lef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lef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lef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lef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lef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lef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left w:w="45" w:type="dxa"/>
          <w:bottom w:w="45" w:type="dxa"/>
          <w:right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left"/>
              <w:rPr/>
            </w:pPr>
            <w:r>
              <w:rPr>
                <w:b/>
                <w:sz w:val="16"/>
              </w:rPr>
              <w:t>Initial candidate</w:t>
            </w:r>
          </w:p>
        </w:tc>
        <w:tc>
          <w:tcPr>
            <w:tcW w:w="1729" w:type="dxa"/>
            <w:tcBorders>
              <w:top w:val="single" w:sz="12" w:space="0" w:color="000000"/>
              <w:bottom w:val="single" w:sz="6" w:space="0" w:color="000000"/>
            </w:tcBorders>
            <w:vAlign w:val="center"/>
          </w:tcPr>
          <w:p>
            <w:pPr>
              <w:pStyle w:val="p1a"/>
              <w:jc w:val="left"/>
              <w:rPr/>
            </w:pPr>
            <w:r>
              <w:rPr>
                <w:b/>
                <w:sz w:val="16"/>
              </w:rPr>
              <w:t>Retained</w:t>
            </w:r>
          </w:p>
        </w:tc>
        <w:tc>
          <w:tcPr>
            <w:tcW w:w="1729" w:type="dxa"/>
            <w:tcBorders>
              <w:top w:val="single" w:sz="12" w:space="0" w:color="000000"/>
              <w:bottom w:val="single" w:sz="6" w:space="0" w:color="000000"/>
            </w:tcBorders>
            <w:vAlign w:val="center"/>
          </w:tcPr>
          <w:p>
            <w:pPr>
              <w:pStyle w:val="p1a"/>
              <w:jc w:val="left"/>
              <w:rPr/>
            </w:pPr>
            <w:r>
              <w:rPr>
                <w:b/>
                <w:sz w:val="16"/>
              </w:rPr>
              <w:t>Reviewer rewrite</w:t>
            </w:r>
          </w:p>
        </w:tc>
        <w:tc>
          <w:tcPr>
            <w:tcW w:w="1730" w:type="dxa"/>
            <w:tcBorders>
              <w:top w:val="single" w:sz="12" w:space="0" w:color="000000"/>
              <w:bottom w:val="single" w:sz="6" w:space="0" w:color="000000"/>
            </w:tcBorders>
            <w:vAlign w:val="center"/>
          </w:tcPr>
          <w:p>
            <w:pPr>
              <w:pStyle w:val="p1a"/>
              <w:jc w:val="left"/>
              <w:rPr/>
            </w:pPr>
            <w:r>
              <w:rPr>
                <w:b/>
                <w:sz w:val="16"/>
              </w:rPr>
              <w:t>Total</w:t>
            </w:r>
          </w:p>
        </w:tc>
      </w:tr>
      <w:tr>
        <w:trPr>
          <w:cantSplit w:val="true"/>
        </w:trPr>
        <w:tc>
          <w:tcPr>
            <w:tcW w:w="1729" w:type="dxa"/>
            <w:tcBorders/>
            <w:vAlign w:val="center"/>
          </w:tcPr>
          <w:p>
            <w:pPr>
              <w:pStyle w:val="p1a"/>
              <w:jc w:val="left"/>
              <w:rPr/>
            </w:pPr>
            <w:r>
              <w:rPr>
                <w:sz w:val="16"/>
              </w:rPr>
              <w:t>Direct source wording</w:t>
            </w:r>
          </w:p>
        </w:tc>
        <w:tc>
          <w:tcPr>
            <w:tcW w:w="1729" w:type="dxa"/>
            <w:tcBorders/>
            <w:vAlign w:val="center"/>
          </w:tcPr>
          <w:p>
            <w:pPr>
              <w:pStyle w:val="p1a"/>
              <w:jc w:val="left"/>
              <w:rPr/>
            </w:pPr>
            <w:r>
              <w:rPr>
                <w:sz w:val="16"/>
              </w:rPr>
              <w:t>25</w:t>
            </w:r>
          </w:p>
        </w:tc>
        <w:tc>
          <w:tcPr>
            <w:tcW w:w="1729" w:type="dxa"/>
            <w:tcBorders/>
            <w:vAlign w:val="center"/>
          </w:tcPr>
          <w:p>
            <w:pPr>
              <w:pStyle w:val="p1a"/>
              <w:jc w:val="left"/>
              <w:rPr/>
            </w:pPr>
            <w:r>
              <w:rPr>
                <w:sz w:val="16"/>
              </w:rPr>
              <w:t>3</w:t>
            </w:r>
          </w:p>
        </w:tc>
        <w:tc>
          <w:tcPr>
            <w:tcW w:w="1730" w:type="dxa"/>
            <w:tcBorders/>
            <w:vAlign w:val="center"/>
          </w:tcPr>
          <w:p>
            <w:pPr>
              <w:pStyle w:val="p1a"/>
              <w:jc w:val="left"/>
              <w:rPr/>
            </w:pPr>
            <w:r>
              <w:rPr>
                <w:sz w:val="16"/>
              </w:rPr>
              <w:t>28</w:t>
            </w:r>
          </w:p>
        </w:tc>
      </w:tr>
      <w:tr>
        <w:trPr>
          <w:cantSplit w:val="true"/>
        </w:trPr>
        <w:tc>
          <w:tcPr>
            <w:tcW w:w="1729" w:type="dxa"/>
            <w:tcBorders/>
            <w:vAlign w:val="center"/>
          </w:tcPr>
          <w:p>
            <w:pPr>
              <w:pStyle w:val="p1a"/>
              <w:jc w:val="left"/>
              <w:rPr/>
            </w:pPr>
            <w:r>
              <w:rPr>
                <w:sz w:val="16"/>
              </w:rPr>
              <w:t>Source-based paraphrase</w:t>
            </w:r>
          </w:p>
        </w:tc>
        <w:tc>
          <w:tcPr>
            <w:tcW w:w="1729" w:type="dxa"/>
            <w:tcBorders/>
            <w:vAlign w:val="center"/>
          </w:tcPr>
          <w:p>
            <w:pPr>
              <w:pStyle w:val="p1a"/>
              <w:jc w:val="left"/>
              <w:rPr/>
            </w:pPr>
            <w:r>
              <w:rPr>
                <w:sz w:val="16"/>
              </w:rPr>
              <w:t>18</w:t>
            </w:r>
          </w:p>
        </w:tc>
        <w:tc>
          <w:tcPr>
            <w:tcW w:w="1729" w:type="dxa"/>
            <w:tcBorders/>
            <w:vAlign w:val="center"/>
          </w:tcPr>
          <w:p>
            <w:pPr>
              <w:pStyle w:val="p1a"/>
              <w:jc w:val="left"/>
              <w:rPr/>
            </w:pPr>
            <w:r>
              <w:rPr>
                <w:sz w:val="16"/>
              </w:rPr>
              <w:t>25</w:t>
            </w:r>
          </w:p>
        </w:tc>
        <w:tc>
          <w:tcPr>
            <w:tcW w:w="1730" w:type="dxa"/>
            <w:tcBorders/>
            <w:vAlign w:val="center"/>
          </w:tcPr>
          <w:p>
            <w:pPr>
              <w:pStyle w:val="p1a"/>
              <w:jc w:val="left"/>
              <w:rPr/>
            </w:pPr>
            <w:r>
              <w:rPr>
                <w:sz w:val="16"/>
              </w:rPr>
              <w:t>43</w:t>
            </w:r>
          </w:p>
        </w:tc>
      </w:tr>
      <w:tr>
        <w:trPr>
          <w:cantSplit w:val="true"/>
        </w:trPr>
        <w:tc>
          <w:tcPr>
            <w:tcW w:w="1729" w:type="dxa"/>
            <w:tcBorders/>
            <w:vAlign w:val="center"/>
          </w:tcPr>
          <w:p>
            <w:pPr>
              <w:pStyle w:val="p1a"/>
              <w:jc w:val="left"/>
              <w:rPr/>
            </w:pPr>
            <w:r>
              <w:rPr>
                <w:sz w:val="16"/>
              </w:rPr>
              <w:t>Generated</w:t>
            </w:r>
          </w:p>
        </w:tc>
        <w:tc>
          <w:tcPr>
            <w:tcW w:w="1729" w:type="dxa"/>
            <w:tcBorders/>
            <w:vAlign w:val="center"/>
          </w:tcPr>
          <w:p>
            <w:pPr>
              <w:pStyle w:val="p1a"/>
              <w:jc w:val="left"/>
              <w:rPr/>
            </w:pPr>
            <w:r>
              <w:rPr>
                <w:sz w:val="16"/>
              </w:rPr>
              <w:t>9</w:t>
            </w:r>
          </w:p>
        </w:tc>
        <w:tc>
          <w:tcPr>
            <w:tcW w:w="1729" w:type="dxa"/>
            <w:tcBorders/>
            <w:vAlign w:val="center"/>
          </w:tcPr>
          <w:p>
            <w:pPr>
              <w:pStyle w:val="p1a"/>
              <w:jc w:val="left"/>
              <w:rPr/>
            </w:pPr>
            <w:r>
              <w:rPr>
                <w:sz w:val="16"/>
              </w:rPr>
              <w:t>20</w:t>
            </w:r>
          </w:p>
        </w:tc>
        <w:tc>
          <w:tcPr>
            <w:tcW w:w="1730" w:type="dxa"/>
            <w:tcBorders/>
            <w:vAlign w:val="center"/>
          </w:tcPr>
          <w:p>
            <w:pPr>
              <w:pStyle w:val="p1a"/>
              <w:jc w:val="left"/>
              <w:rPr/>
            </w:pPr>
            <w:r>
              <w:rPr>
                <w:sz w:val="16"/>
              </w:rPr>
              <w:t>29</w:t>
            </w:r>
          </w:p>
        </w:tc>
      </w:tr>
      <w:tr>
        <w:trPr>
          <w:cantSplit w:val="true"/>
        </w:trPr>
        <w:tc>
          <w:tcPr>
            <w:tcW w:w="1729" w:type="dxa"/>
            <w:tcBorders>
              <w:bottom w:val="single" w:sz="12" w:space="0" w:color="000000"/>
            </w:tcBorders>
            <w:vAlign w:val="center"/>
          </w:tcPr>
          <w:p>
            <w:pPr>
              <w:pStyle w:val="p1a"/>
              <w:jc w:val="left"/>
              <w:rPr/>
            </w:pPr>
            <w:r>
              <w:rPr>
                <w:sz w:val="16"/>
              </w:rPr>
              <w:t>Total</w:t>
            </w:r>
          </w:p>
        </w:tc>
        <w:tc>
          <w:tcPr>
            <w:tcW w:w="1729" w:type="dxa"/>
            <w:tcBorders>
              <w:bottom w:val="single" w:sz="12" w:space="0" w:color="000000"/>
            </w:tcBorders>
            <w:vAlign w:val="center"/>
          </w:tcPr>
          <w:p>
            <w:pPr>
              <w:pStyle w:val="p1a"/>
              <w:jc w:val="left"/>
              <w:rPr/>
            </w:pPr>
            <w:r>
              <w:rPr>
                <w:sz w:val="16"/>
              </w:rPr>
              <w:t>52</w:t>
            </w:r>
          </w:p>
        </w:tc>
        <w:tc>
          <w:tcPr>
            <w:tcW w:w="1729" w:type="dxa"/>
            <w:tcBorders>
              <w:bottom w:val="single" w:sz="12" w:space="0" w:color="000000"/>
            </w:tcBorders>
            <w:vAlign w:val="center"/>
          </w:tcPr>
          <w:p>
            <w:pPr>
              <w:pStyle w:val="p1a"/>
              <w:jc w:val="left"/>
              <w:rPr/>
            </w:pPr>
            <w:r>
              <w:rPr>
                <w:sz w:val="16"/>
              </w:rPr>
              <w:t>48</w:t>
            </w:r>
          </w:p>
        </w:tc>
        <w:tc>
          <w:tcPr>
            <w:tcW w:w="1730" w:type="dxa"/>
            <w:tcBorders>
              <w:bottom w:val="single" w:sz="12" w:space="0" w:color="000000"/>
            </w:tcBorders>
            <w:vAlign w:val="center"/>
          </w:tcPr>
          <w:p>
            <w:pPr>
              <w:pStyle w:val="p1a"/>
              <w:jc w:val="lef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[19].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rPr/>
        <w:t>The claims are bounded by one domain and the author as one principal reviewer. The author’s research expertise includes ethnomusicology, musical analysis and music cognition; they developed the Jazz Ontology and its dataset, bringing direct domain and modelling expertise to the jazz cases. The review was not independent, and equivalent source-creator expertise was not available for every graph. The pipeline has generated candidate pairs in other domains outside music,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Acknowledgments.</w:t>
      </w:r>
      <w:r>
        <w:rPr/>
        <w:t xml:space="preserve"> The Musparql workflow grew out of Quagga, a predecessor initiative that collected question-query pairs for knowledge graphs in the social sciences and humanities. The 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left="0"/>
        <w:rPr/>
      </w:pPr>
      <w:r>
        <w:rPr/>
        <w:t>References</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left"/>
        <w:rPr/>
      </w:pPr>
      <w:r>
        <w:rPr>
          <w:rStyle w:val="FootnoteCharacters"/>
        </w:rPr>
        <w:footnoteRef/>
      </w:r>
      <w:r>
        <w:rPr/>
        <w:tab/>
        <w:t>An LLM assisted source discovery and acquisition process has since been developed and tested and is available in the Musparql GitHub repository. It is not described in the paper because it was not used in v10 benchmark construction</w:t>
      </w:r>
    </w:p>
  </w:footnote>
  <w:footnote w:id="3">
    <w:p>
      <w:pPr>
        <w:pStyle w:val="FootnoteText"/>
        <w:jc w:val="left"/>
        <w:rPr/>
      </w:pPr>
      <w:r>
        <w:rPr>
          <w:rStyle w:val="FootnoteCharacters"/>
        </w:rPr>
        <w:footnoteRef/>
      </w:r>
      <w:r>
        <w:rPr/>
        <w:tab/>
        <w:t xml:space="preserve">Musparql repository: </w:t>
      </w:r>
      <w:hyperlink r:id="rId1">
        <w:r>
          <w:rPr>
            <w:rStyle w:val="Hyperlink"/>
          </w:rPr>
          <w:t>https://github.com/ppquadrat/musparql-aligner</w:t>
        </w:r>
      </w:hyperlink>
    </w:p>
  </w:footnote>
  <w:footnote w:id="4">
    <w:p>
      <w:pPr>
        <w:pStyle w:val="FootnoteText"/>
        <w:jc w:val="left"/>
        <w:rPr/>
      </w:pPr>
      <w:r>
        <w:rPr>
          <w:rStyle w:val="FootnoteCharacters"/>
        </w:rPr>
        <w:footnoteRef/>
      </w:r>
      <w:r>
        <w:rPr/>
        <w:tab/>
        <w:t xml:space="preserve">Musparql benchmark v10 snapshot: </w:t>
      </w:r>
      <w:r>
        <w:rPr>
          <w:rStyle w:val="Hyperlink"/>
        </w:rPr>
        <w:t>https://github.com/ppquadrat/musparql-aligner/tree/main/benchmark/v10</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2">
    <w:lvl w:ilvl="0">
      <w:start w:val="1"/>
      <w:numFmt w:val="bullet"/>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lvl w:ilvl="0">
      <w:start w:val="1"/>
      <w:numFmt w:val="decimal"/>
      <w:lvlText w:val="%1."/>
      <w:lvlJc w:val="right"/>
      <w:pPr>
        <w:tabs>
          <w:tab w:val="num" w:pos="0"/>
        </w:tabs>
        <w:ind w:left="227" w:hanging="57"/>
      </w:pPr>
      <w:rPr/>
    </w:lvl>
    <w:lvl w:ilvl="1">
      <w:start w:val="1"/>
      <w:numFmt w:val="lowerLetter"/>
      <w:lvlText w:val="%2."/>
      <w:lvlJc w:val="left"/>
      <w:pPr>
        <w:tabs>
          <w:tab w:val="num" w:pos="227"/>
        </w:tabs>
        <w:ind w:left="454" w:hanging="227"/>
      </w:pPr>
      <w:rPr/>
    </w:lvl>
    <w:lvl w:ilvl="2">
      <w:start w:val="1"/>
      <w:numFmt w:val="decimal"/>
      <w:lvlText w:val="(%3)"/>
      <w:lvlJc w:val="left"/>
      <w:pPr>
        <w:tabs>
          <w:tab w:val="num" w:pos="454"/>
        </w:tabs>
        <w:ind w:left="794" w:hanging="340"/>
      </w:pPr>
      <w:rPr/>
    </w:lvl>
    <w:lvl w:ilvl="3">
      <w:start w:val="1"/>
      <w:numFmt w:val="lowerRoman"/>
      <w:lvlText w:val="%4."/>
      <w:lvlJc w:val="left"/>
      <w:pPr>
        <w:tabs>
          <w:tab w:val="num" w:pos="794"/>
        </w:tabs>
        <w:ind w:left="1077" w:hanging="283"/>
      </w:pPr>
      <w:rPr/>
    </w:lvl>
    <w:lvl w:ilvl="4">
      <w:start w:val="1"/>
      <w:numFmt w:val="lowerLetter"/>
      <w:lvlText w:val="(%5)"/>
      <w:lvlJc w:val="left"/>
      <w:pPr>
        <w:tabs>
          <w:tab w:val="num" w:pos="1077"/>
        </w:tabs>
        <w:ind w:left="1360" w:hanging="283"/>
      </w:pPr>
      <w:rPr/>
    </w:lvl>
    <w:lvl w:ilvl="5">
      <w:start w:val="1"/>
      <w:numFmt w:val="upperLetter"/>
      <w:lvlText w:val="%6."/>
      <w:lvlJc w:val="left"/>
      <w:pPr>
        <w:tabs>
          <w:tab w:val="num" w:pos="1360"/>
        </w:tabs>
        <w:ind w:left="1700" w:hanging="34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567"/>
        </w:tabs>
        <w:ind w:left="567" w:hanging="567"/>
      </w:pPr>
      <w:rPr/>
    </w:lvl>
    <w:lvl w:ilvl="1">
      <w:start w:val="1"/>
      <w:numFmt w:val="decimal"/>
      <w:lvlText w:val="%1.%2"/>
      <w:lvlJc w:val="left"/>
      <w:pPr>
        <w:tabs>
          <w:tab w:val="num" w:pos="567"/>
        </w:tabs>
        <w:ind w:left="567" w:hanging="567"/>
      </w:pPr>
      <w:rPr/>
    </w:lvl>
    <w:lvl w:ilvl="2">
      <w:start w:val="1"/>
      <w:numFmt w:val="decimal"/>
      <w:lvlText w:val="%1.%2.%3"/>
      <w:lvlJc w:val="left"/>
      <w:pPr>
        <w:tabs>
          <w:tab w:val="num" w:pos="851"/>
        </w:tabs>
        <w:ind w:left="851" w:hanging="851"/>
      </w:pPr>
      <w:rPr/>
    </w:lvl>
    <w:lvl w:ilvl="3">
      <w:start w:val="1"/>
      <w:numFmt w:val="decimal"/>
      <w:lvlText w:val="%1.%2.%3.%4"/>
      <w:lvlJc w:val="left"/>
      <w:pPr>
        <w:tabs>
          <w:tab w:val="num" w:pos="851"/>
        </w:tabs>
        <w:ind w:left="851" w:hanging="851"/>
      </w:pPr>
      <w:rPr/>
    </w:lvl>
    <w:lvl w:ilvl="4">
      <w:start w:val="1"/>
      <w:numFmt w:val="decimal"/>
      <w:lvlText w:val="%1.%2.%3.%4.%5"/>
      <w:lvlJc w:val="left"/>
      <w:pPr>
        <w:tabs>
          <w:tab w:val="num" w:pos="964"/>
        </w:tabs>
        <w:ind w:left="964" w:hanging="964"/>
      </w:pPr>
      <w:rPr>
        <w:rFonts w:ascii="Times New Roman" w:hAnsi="Times New Roman"/>
        <w:b w:val="false"/>
        <w:i/>
        <w:sz w:val="20"/>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decimal"/>
      <w:lvlText w:val="%1."/>
      <w:lvlJc w:val="right"/>
      <w:pPr>
        <w:tabs>
          <w:tab w:val="num" w:pos="341"/>
        </w:tabs>
        <w:ind w:left="341" w:hanging="114"/>
      </w:pPr>
      <w:rPr/>
    </w:lvl>
    <w:lvl w:ilvl="1">
      <w:start w:val="1"/>
      <w:numFmt w:val="lowerLetter"/>
      <w:lvlText w:val="%2."/>
      <w:lvlJc w:val="left"/>
      <w:pPr>
        <w:tabs>
          <w:tab w:val="num" w:pos="1896"/>
        </w:tabs>
        <w:ind w:left="1896" w:hanging="360"/>
      </w:pPr>
      <w:rPr/>
    </w:lvl>
    <w:lvl w:ilvl="2">
      <w:start w:val="1"/>
      <w:numFmt w:val="lowerRoman"/>
      <w:lvlText w:val="%3."/>
      <w:lvlJc w:val="right"/>
      <w:pPr>
        <w:tabs>
          <w:tab w:val="num" w:pos="2616"/>
        </w:tabs>
        <w:ind w:left="2616" w:hanging="180"/>
      </w:pPr>
      <w:rPr/>
    </w:lvl>
    <w:lvl w:ilvl="3">
      <w:start w:val="1"/>
      <w:numFmt w:val="decimal"/>
      <w:lvlText w:val="%4."/>
      <w:lvlJc w:val="left"/>
      <w:pPr>
        <w:tabs>
          <w:tab w:val="num" w:pos="3336"/>
        </w:tabs>
        <w:ind w:left="3336" w:hanging="360"/>
      </w:pPr>
      <w:rPr/>
    </w:lvl>
    <w:lvl w:ilvl="4">
      <w:start w:val="1"/>
      <w:numFmt w:val="lowerLetter"/>
      <w:lvlText w:val="%5."/>
      <w:lvlJc w:val="left"/>
      <w:pPr>
        <w:tabs>
          <w:tab w:val="num" w:pos="4056"/>
        </w:tabs>
        <w:ind w:left="4056" w:hanging="360"/>
      </w:pPr>
      <w:rPr/>
    </w:lvl>
    <w:lvl w:ilvl="5">
      <w:start w:val="1"/>
      <w:numFmt w:val="lowerRoman"/>
      <w:lvlText w:val="%6."/>
      <w:lvlJc w:val="right"/>
      <w:pPr>
        <w:tabs>
          <w:tab w:val="num" w:pos="4776"/>
        </w:tabs>
        <w:ind w:left="4776" w:hanging="180"/>
      </w:pPr>
      <w:rPr/>
    </w:lvl>
    <w:lvl w:ilvl="6">
      <w:start w:val="1"/>
      <w:numFmt w:val="decimal"/>
      <w:lvlText w:val="%7."/>
      <w:lvlJc w:val="left"/>
      <w:pPr>
        <w:tabs>
          <w:tab w:val="num" w:pos="5496"/>
        </w:tabs>
        <w:ind w:left="5496" w:hanging="360"/>
      </w:pPr>
      <w:rPr/>
    </w:lvl>
    <w:lvl w:ilvl="7">
      <w:start w:val="1"/>
      <w:numFmt w:val="lowerLetter"/>
      <w:lvlText w:val="%8."/>
      <w:lvlJc w:val="left"/>
      <w:pPr>
        <w:tabs>
          <w:tab w:val="num" w:pos="6216"/>
        </w:tabs>
        <w:ind w:left="6216" w:hanging="360"/>
      </w:pPr>
      <w:rPr/>
    </w:lvl>
    <w:lvl w:ilvl="8">
      <w:start w:val="1"/>
      <w:numFmt w:val="lowerRoman"/>
      <w:lvlText w:val="%9."/>
      <w:lvlJc w:val="right"/>
      <w:pPr>
        <w:tabs>
          <w:tab w:val="num" w:pos="6936"/>
        </w:tabs>
        <w:ind w:left="6936"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left="567"/>
      <w:jc w:val="lef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left="567"/>
      <w:jc w:val="lef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 w:customStyle="1">
    <w:name w:val="Footnote Characters"/>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user" w:customStyle="1">
    <w:name w:val="Endnote Characters (user)"/>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left="567" w:right="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lef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lef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lef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lef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lef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lef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lef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pquadrat/musparql-aligner" TargetMode="External"/><Relationship Id="rId3" Type="http://schemas.openxmlformats.org/officeDocument/2006/relationships/hyperlink" Target="https://github.com/ppquadrat/musparql-aligner/releases/download/benchmark-v10/musparql-benchmark-v10.zip"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ppquadrat/musparql-aligner"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4041</Words>
  <Characters>26001</Characters>
  <CharactersWithSpaces>29794</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2026-09-13T19:15:12Z</dcterms:modified>
  <cp:revision>14</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