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[9].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[6, 14, 23].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w:t>
      </w:r>
      <w:r>
        <w:rPr/>
        <w:t>SPARQL</w:t>
      </w:r>
      <w:r>
        <w:rPr/>
        <w:t xml:space="preserve">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r>
        <w:t>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runbooks, and reviewed v10 benchmark snapshot are available in an anonymised repository; access details are withheld for double-blind review.</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 6, 14, 21, 23]. Surveys and dataset analyses show persistent limitations in coverage, transferability, and generalisability [10, 11].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[3, 13, 24]. Competency-question research likewise connects domain requirements to formal queries [8, 16, 20, 26]. Human mediation is especially important in scientific and cultural-heritage graphs, where ontology terms and modelling conventions embody disciplinary choices [4, 5, 16-18, 22].</w:t>
      </w:r>
    </w:p>
    <w:p>
      <w:pPr>
        <w:pStyle w:val="Normal"/>
        <w:rPr/>
      </w:pPr>
      <w:r>
        <w:rPr/>
        <w:t>Musparql connects these strands with research-data curation. FAIR, PROV-O, datasheets for datasets, DCAT, and Croissant emphasise reusable objects, explicit provenance, documented creation decisions, and machine-readable publication metadata [1, 7, 12, 15, 25].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 xml:space="preserve">Stage 1: </w:t>
      </w:r>
      <w:r>
        <w:rPr/>
        <w:t>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commentRangeStart w:id="2"/>
      <w:r>
        <w:rPr/>
        <w:t>A benchmark item is represented as a chain of related records (Table 1). The model distinguishes what existed before Musparql processing, what the system inferred or observed, and what a reviewer approved.</w:t>
      </w:r>
      <w:commentRangeEnd w:id="2"/>
      <w:r>
        <w:commentReference w:id="2"/>
      </w:r>
      <w:r>
        <w:rPr/>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r>
    </w:p>
    <w:p>
      <w:pPr>
        <w:pStyle w:val="Normal"/>
        <w:ind w:hanging="0" w:star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[12]. While derivation, generation, use, revision, and responsibility map to PROV-O relationships, reviewer approval remains a Musparql-specific relation. RDF export and validation of the mapping remain future work.</w:t>
      </w:r>
    </w:p>
    <w:p>
      <w:pPr>
        <w:pStyle w:val="Normal"/>
        <w:ind w:firstLine="227" w:star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 xml:space="preserve">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[16]; Organs represents instruments, components, locations, and builders [5]; DTL1000 </w:t>
      </w:r>
      <w:r>
        <w:rPr/>
        <w:t>(from Dig That Lick project)</w:t>
      </w:r>
      <w:r>
        <w:rPr/>
        <w:t xml:space="preserve"> draws on the Jazz Ontology [18]; MusOW surveys music resources on the Web [4]; and LinkedMusic integrates heterogeneous music repositories [17]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13"/>
        <w:gridCol w:w="1425"/>
        <w:gridCol w:w="1650"/>
        <w:gridCol w:w="1562"/>
      </w:tblGrid>
      <w:tr>
        <w:trPr>
          <w:tblHeader w:val="true"/>
          <w:cantSplit w:val="true"/>
        </w:trPr>
        <w:tc>
          <w:tcPr>
            <w:tcW w:w="2313" w:type="dxa"/>
            <w:tcBorders>
              <w:top w:val="single" w:sz="12" w:space="0" w:color="000000"/>
              <w:bottom w:val="single" w:sz="6" w:space="0" w:color="000000"/>
            </w:tcBorders>
            <w:vAlign w:val="center"/>
          </w:tcPr>
          <w:p>
            <w:pPr>
              <w:pStyle w:val="p1a"/>
              <w:jc w:val="start"/>
              <w:rPr/>
            </w:pPr>
            <w:r>
              <w:rPr>
                <w:b/>
                <w:sz w:val="16"/>
              </w:rPr>
              <w:t>Knowledge graph</w:t>
            </w:r>
          </w:p>
        </w:tc>
        <w:tc>
          <w:tcPr>
            <w:tcW w:w="1425" w:type="dxa"/>
            <w:tcBorders>
              <w:top w:val="single" w:sz="12" w:space="0" w:color="000000"/>
              <w:bottom w:val="single" w:sz="6" w:space="0" w:color="000000"/>
            </w:tcBorders>
            <w:vAlign w:val="center"/>
          </w:tcPr>
          <w:p>
            <w:pPr>
              <w:pStyle w:val="p1a"/>
              <w:jc w:val="start"/>
              <w:rPr/>
            </w:pPr>
            <w:r>
              <w:rPr>
                <w:b/>
                <w:sz w:val="16"/>
              </w:rPr>
              <w:t>Pairs</w:t>
            </w:r>
          </w:p>
        </w:tc>
        <w:tc>
          <w:tcPr>
            <w:tcW w:w="1650" w:type="dxa"/>
            <w:tcBorders>
              <w:top w:val="single" w:sz="12" w:space="0" w:color="000000"/>
              <w:bottom w:val="single" w:sz="6" w:space="0" w:color="000000"/>
            </w:tcBorders>
            <w:vAlign w:val="center"/>
          </w:tcPr>
          <w:p>
            <w:pPr>
              <w:pStyle w:val="p1a"/>
              <w:jc w:val="start"/>
              <w:rPr/>
            </w:pPr>
            <w:r>
              <w:rPr>
                <w:b/>
                <w:sz w:val="16"/>
              </w:rPr>
              <w:t>Source-grounded</w:t>
            </w:r>
          </w:p>
        </w:tc>
        <w:tc>
          <w:tcPr>
            <w:tcW w:w="1562"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2313" w:type="dxa"/>
            <w:tcBorders/>
            <w:vAlign w:val="center"/>
          </w:tcPr>
          <w:p>
            <w:pPr>
              <w:pStyle w:val="p1a"/>
              <w:jc w:val="start"/>
              <w:rPr/>
            </w:pPr>
            <w:r>
              <w:rPr>
                <w:sz w:val="16"/>
              </w:rPr>
              <w:t>Musical Meetups</w:t>
            </w:r>
          </w:p>
        </w:tc>
        <w:tc>
          <w:tcPr>
            <w:tcW w:w="1425" w:type="dxa"/>
            <w:tcBorders/>
            <w:vAlign w:val="center"/>
          </w:tcPr>
          <w:p>
            <w:pPr>
              <w:pStyle w:val="p1a"/>
              <w:jc w:val="start"/>
              <w:rPr/>
            </w:pPr>
            <w:r>
              <w:rPr>
                <w:sz w:val="16"/>
              </w:rPr>
              <w:t>30</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10</w:t>
            </w:r>
          </w:p>
        </w:tc>
      </w:tr>
      <w:tr>
        <w:trPr>
          <w:cantSplit w:val="true"/>
        </w:trPr>
        <w:tc>
          <w:tcPr>
            <w:tcW w:w="2313" w:type="dxa"/>
            <w:tcBorders/>
            <w:vAlign w:val="center"/>
          </w:tcPr>
          <w:p>
            <w:pPr>
              <w:pStyle w:val="p1a"/>
              <w:jc w:val="start"/>
              <w:rPr/>
            </w:pPr>
            <w:r>
              <w:rPr>
                <w:sz w:val="16"/>
              </w:rPr>
              <w:t>Organs</w:t>
            </w:r>
          </w:p>
        </w:tc>
        <w:tc>
          <w:tcPr>
            <w:tcW w:w="1425" w:type="dxa"/>
            <w:tcBorders/>
            <w:vAlign w:val="center"/>
          </w:tcPr>
          <w:p>
            <w:pPr>
              <w:pStyle w:val="p1a"/>
              <w:jc w:val="start"/>
              <w:rPr/>
            </w:pPr>
            <w:r>
              <w:rPr>
                <w:sz w:val="16"/>
              </w:rPr>
              <w:t>9</w:t>
            </w:r>
          </w:p>
        </w:tc>
        <w:tc>
          <w:tcPr>
            <w:tcW w:w="1650" w:type="dxa"/>
            <w:tcBorders/>
            <w:vAlign w:val="center"/>
          </w:tcPr>
          <w:p>
            <w:pPr>
              <w:pStyle w:val="p1a"/>
              <w:jc w:val="start"/>
              <w:rPr/>
            </w:pPr>
            <w:r>
              <w:rPr>
                <w:sz w:val="16"/>
              </w:rPr>
              <w:t>4</w:t>
            </w:r>
          </w:p>
        </w:tc>
        <w:tc>
          <w:tcPr>
            <w:tcW w:w="1562" w:type="dxa"/>
            <w:tcBorders/>
            <w:vAlign w:val="center"/>
          </w:tcPr>
          <w:p>
            <w:pPr>
              <w:pStyle w:val="p1a"/>
              <w:jc w:val="start"/>
              <w:rPr/>
            </w:pPr>
            <w:r>
              <w:rPr>
                <w:sz w:val="16"/>
              </w:rPr>
              <w:t>5</w:t>
            </w:r>
          </w:p>
        </w:tc>
      </w:tr>
      <w:tr>
        <w:trPr>
          <w:cantSplit w:val="true"/>
        </w:trPr>
        <w:tc>
          <w:tcPr>
            <w:tcW w:w="2313" w:type="dxa"/>
            <w:tcBorders/>
            <w:vAlign w:val="center"/>
          </w:tcPr>
          <w:p>
            <w:pPr>
              <w:pStyle w:val="p1a"/>
              <w:jc w:val="start"/>
              <w:rPr/>
            </w:pPr>
            <w:r>
              <w:rPr>
                <w:sz w:val="16"/>
              </w:rPr>
              <w:t xml:space="preserve">DTL1000 </w:t>
            </w:r>
            <w:r>
              <w:rPr>
                <w:sz w:val="16"/>
              </w:rPr>
              <w:t>(</w:t>
            </w:r>
            <w:r>
              <w:rPr>
                <w:sz w:val="16"/>
              </w:rPr>
              <w:t>JazzOntology</w:t>
            </w:r>
            <w:r>
              <w:rPr>
                <w:sz w:val="16"/>
              </w:rPr>
              <w:t>)</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9</w:t>
            </w:r>
          </w:p>
        </w:tc>
        <w:tc>
          <w:tcPr>
            <w:tcW w:w="1562" w:type="dxa"/>
            <w:tcBorders/>
            <w:vAlign w:val="center"/>
          </w:tcPr>
          <w:p>
            <w:pPr>
              <w:pStyle w:val="p1a"/>
              <w:jc w:val="start"/>
              <w:rPr/>
            </w:pPr>
            <w:r>
              <w:rPr>
                <w:sz w:val="16"/>
              </w:rPr>
              <w:t>11</w:t>
            </w:r>
          </w:p>
        </w:tc>
      </w:tr>
      <w:tr>
        <w:trPr>
          <w:cantSplit w:val="true"/>
        </w:trPr>
        <w:tc>
          <w:tcPr>
            <w:tcW w:w="2313" w:type="dxa"/>
            <w:tcBorders/>
            <w:vAlign w:val="center"/>
          </w:tcPr>
          <w:p>
            <w:pPr>
              <w:pStyle w:val="p1a"/>
              <w:jc w:val="start"/>
              <w:rPr>
                <w:sz w:val="16"/>
              </w:rPr>
            </w:pPr>
            <w:r>
              <w:rPr>
                <w:sz w:val="16"/>
              </w:rPr>
              <w:t>Music On the Web (MusOW)</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18</w:t>
            </w:r>
          </w:p>
        </w:tc>
        <w:tc>
          <w:tcPr>
            <w:tcW w:w="1562" w:type="dxa"/>
            <w:tcBorders/>
            <w:vAlign w:val="center"/>
          </w:tcPr>
          <w:p>
            <w:pPr>
              <w:pStyle w:val="p1a"/>
              <w:jc w:val="start"/>
              <w:rPr/>
            </w:pPr>
            <w:r>
              <w:rPr>
                <w:sz w:val="16"/>
              </w:rPr>
              <w:t>2</w:t>
            </w:r>
          </w:p>
        </w:tc>
      </w:tr>
      <w:tr>
        <w:trPr>
          <w:cantSplit w:val="true"/>
        </w:trPr>
        <w:tc>
          <w:tcPr>
            <w:tcW w:w="2313" w:type="dxa"/>
            <w:tcBorders/>
            <w:vAlign w:val="center"/>
          </w:tcPr>
          <w:p>
            <w:pPr>
              <w:pStyle w:val="p1a"/>
              <w:jc w:val="start"/>
              <w:rPr/>
            </w:pPr>
            <w:r>
              <w:rPr>
                <w:sz w:val="16"/>
              </w:rPr>
              <w:t>LinkedMusic</w:t>
            </w:r>
          </w:p>
        </w:tc>
        <w:tc>
          <w:tcPr>
            <w:tcW w:w="1425" w:type="dxa"/>
            <w:tcBorders/>
            <w:vAlign w:val="center"/>
          </w:tcPr>
          <w:p>
            <w:pPr>
              <w:pStyle w:val="p1a"/>
              <w:jc w:val="start"/>
              <w:rPr/>
            </w:pPr>
            <w:r>
              <w:rPr>
                <w:sz w:val="16"/>
              </w:rPr>
              <w:t>21</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w:t>
            </w:r>
          </w:p>
        </w:tc>
      </w:tr>
      <w:tr>
        <w:trPr>
          <w:cantSplit w:val="true"/>
        </w:trPr>
        <w:tc>
          <w:tcPr>
            <w:tcW w:w="2313" w:type="dxa"/>
            <w:tcBorders>
              <w:bottom w:val="single" w:sz="12" w:space="0" w:color="000000"/>
            </w:tcBorders>
            <w:vAlign w:val="center"/>
          </w:tcPr>
          <w:p>
            <w:pPr>
              <w:pStyle w:val="p1a"/>
              <w:jc w:val="start"/>
              <w:rPr/>
            </w:pPr>
            <w:r>
              <w:rPr>
                <w:sz w:val="16"/>
              </w:rPr>
              <w:t>Total</w:t>
            </w:r>
          </w:p>
        </w:tc>
        <w:tc>
          <w:tcPr>
            <w:tcW w:w="1425" w:type="dxa"/>
            <w:tcBorders>
              <w:bottom w:val="single" w:sz="12" w:space="0" w:color="000000"/>
            </w:tcBorders>
            <w:vAlign w:val="center"/>
          </w:tcPr>
          <w:p>
            <w:pPr>
              <w:pStyle w:val="p1a"/>
              <w:jc w:val="start"/>
              <w:rPr/>
            </w:pPr>
            <w:r>
              <w:rPr>
                <w:sz w:val="16"/>
              </w:rPr>
              <w:t>100</w:t>
            </w:r>
          </w:p>
        </w:tc>
        <w:tc>
          <w:tcPr>
            <w:tcW w:w="1650" w:type="dxa"/>
            <w:tcBorders>
              <w:bottom w:val="single" w:sz="12" w:space="0" w:color="000000"/>
            </w:tcBorders>
            <w:vAlign w:val="center"/>
          </w:tcPr>
          <w:p>
            <w:pPr>
              <w:pStyle w:val="p1a"/>
              <w:jc w:val="start"/>
              <w:rPr/>
            </w:pPr>
            <w:r>
              <w:rPr>
                <w:sz w:val="16"/>
              </w:rPr>
              <w:t>71</w:t>
            </w:r>
          </w:p>
        </w:tc>
        <w:tc>
          <w:tcPr>
            <w:tcW w:w="1562" w:type="dxa"/>
            <w:tcBorders>
              <w:bottom w:val="single" w:sz="12" w:space="0" w:color="000000"/>
            </w:tcBorders>
            <w:vAlign w:val="center"/>
          </w:tcPr>
          <w:p>
            <w:pPr>
              <w:pStyle w:val="p1a"/>
              <w:jc w:val="star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[19].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t>The claims are bounded by one domain and one principal reviewer. The reviewer had relevant domain and knowledge-graph modelling expertise, but the review was not independent, and equivalent source-creator expertise was not available for every graph. The pipeline has generated candidate pairs in other domains outside music,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drew Dubber" w:date="2026-09-08T20:08:00Z" w:initials="AD">
    <w:p>
      <w:pPr>
        <w:overflowPunct w:val="false"/>
        <w:spacing w:lineRule="auto" w:line="240"/>
        <w:jc w:val="start"/>
        <w:rPr/>
      </w:pPr>
      <w:r>
        <w:annotationRef/>
      </w:r>
      <w:r>
        <w:rPr>
          <w:rFonts w:eastAsia="Songti SC"/>
        </w:rPr>
        <w:t>MTSR reviews double-blind (CFP: "following a double-blind peer review process"). Name, ORCID, email and affiliation come out of the review copy and go back in for the camera-ready (18 Oct). For the camera-ready, LNCS wants institution, city and country: "Industry Commons Foundation, Stockholm, Sweden". And a question: would you use your ICF address as the contact? It's an ICF paper, and the affiliation and the address should agree.</w:t>
      </w:r>
    </w:p>
  </w:comment>
  <w:comment w:id="1" w:author="Andrew Dubber" w:date="2026-09-08T20:08:00Z" w:initials="AD">
    <w:p>
      <w:pPr>
        <w:overflowPunct w:val="false"/>
        <w:spacing w:lineRule="auto" w:line="240"/>
        <w:jc w:val="start"/>
        <w:rPr/>
      </w:pPr>
      <w:r>
        <w:annotationRef/>
      </w:r>
      <w:r>
        <w:rPr>
          <w:rFonts w:eastAsia="Songti SC"/>
        </w:rPr>
        <w:t>Two things. (1) Both links identify you (the ppquadrat handle), so they come out of the anonymised copy: use an anonymised mirror (anonymous.4open.science) or "repository link withheld for review". (2) Footnote 3 is a dead link: the v10 zip returns 404. The only GitHub release is benchmark-v9 (5 Aug); benchmark/v10 is in the tree and the README calls it current. Cut the v10 release or point at the directory before the camera-ready.</w:t>
      </w:r>
    </w:p>
  </w:comment>
  <w:comment w:id="2" w:author="Andrew Dubber" w:date="2026-09-08T20:08:00Z" w:initials="AD">
    <w:p>
      <w:pPr>
        <w:overflowPunct w:val="false"/>
        <w:spacing w:lineRule="auto" w:line="240"/>
        <w:jc w:val="start"/>
        <w:rPr/>
      </w:pPr>
      <w:r>
        <w:annotationRef/>
      </w:r>
      <w:r>
        <w:rPr>
          <w:rFonts w:eastAsia="Songti SC"/>
        </w:rPr>
        <w:t>PROV-O is cited in Section 2 and then not used. Say how Table 1 relates to it: is the record serialised as PROV-O, or as your own JSONL schema with a PROV-O mapping (Entity, Activity, Agent) as future work? And state the concrete form of the published artefact (benchmark.jsonl, alternatives.jsonl, manifest.json per the README) and the licence (CC BY 4.0 benchmark, MIT software). Metadata reviewers ask for format and licence first.</w:t>
      </w:r>
    </w:p>
  </w:comment>
  <w:comment w:id="3" w:author="Andrew Dubber" w:date="2026-09-08T20:08:00Z" w:initials="AD">
    <w:p>
      <w:pPr>
        <w:overflowPunct w:val="false"/>
        <w:spacing w:lineRule="auto" w:line="240"/>
        <w:jc w:val="start"/>
        <w:rPr/>
      </w:pPr>
      <w:r>
        <w:annotationRef/>
      </w:r>
      <w:r>
        <w:rPr>
          <w:rFonts w:eastAsia="Songti SC"/>
        </w:rPr>
        <w:t>Out for the review copy (ICF, Matteo and Harsh by name, the grant number all identify you); back in for the camera-ready. Separately, and for us rather than the paper: we deferred the Zenodo deposit at your request because the repository carries the benchmark pairs, and the paper invites readers to download the same pairs from GitHub. I know that GitHub doesn’t automatically seed LLMs in the same way as Zenodo does (according to Harsh and Matteo) but still worth a conscious decision or Matteo's confirmation.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tab/>
        <w:t>An LLM-assisted source-discovery and acquisition process has since been developed and tested. It is not described in the paper because it was not used in v10 benchmark construction. Repository access details are withheld for double-blind review.</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4022</Words>
  <Characters>25928</Characters>
  <CharactersWithSpaces>29702</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2026-09-13T18:32:24Z</dcterms:modified>
  <cp:revision>13</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