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14:paraId="00000001">
      <w:pPr>
        <w:spacing w:after="640" w:before="0" w:line="240" w:lineRule="auto"/>
        <w:rPr/>
      </w:pPr>
      <w:r>
        <w:rPr>
          <w:rtl w:val="0"/>
        </w:rPr>
      </w:r>
    </w:p>
    <w:tbl>
      <w:tblPr>
        <w:tblStyle w:val="Table1"/>
        <w:tblW w:w="10080.0" w:type="dxa"/>
        <w:jc w:val="left"/>
        <w:tblInd w:w="-1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160"/>
        <w:gridCol w:w="900"/>
        <w:gridCol w:w="7020"/>
        <w:tblGridChange w:id="0">
          <w:tblGrid>
            <w:gridCol w:w="2160"/>
            <w:gridCol w:w="900"/>
            <w:gridCol w:w="7020"/>
          </w:tblGrid>
        </w:tblGridChange>
      </w:tblGrid>
      <w:tr>
        <w:trPr>
          <w:cantSplit w:val="0"/>
          <w:tblHeader w:val="0"/>
        </w:trPr>
        <w:tc>
          <w:tcPr>
            <w:gridSpan w:val="3"/>
            <w:tcMar>
              <w:top w:w="110.0" w:type="dxa"/>
              <w:bottom w:w="0.0" w:type="dxa"/>
            </w:tcMar>
            <w:vAlign w:val="top"/>
          </w:tcPr>
          <w:p w14:paraId="00000002">
            <w:pPr>
              <w:keepNext w:val="0"/>
              <w:widowControl/>
              <w:spacing w:after="440" w:before="0" w:line="240" w:lineRule="auto"/>
              <w:rPr>
                <w:sz w:val="18"/>
                <w:szCs w:val="18"/>
              </w:rPr>
            </w:pPr>
            <w:r>
              <w:rPr>
                <w:rFonts w:ascii="Arial" w:hAnsi="Arial" w:eastAsia="Arial"/>
                <w:b/>
                <w:color w:val="E05C34"/>
                <w:sz w:val="34"/>
              </w:rPr>
              <w:t>musparql</w:t>
            </w:r>
          </w:p>
          <w:p>
            <w:pPr>
              <w:pStyle w:val="Title"/>
              <w:keepNext w:val="0"/>
              <w:widowControl/>
              <w:spacing w:before="0" w:after="100" w:line="245" w:lineRule="auto"/>
            </w:pPr>
            <w:r>
              <w:rPr>
                <w:rFonts w:ascii="Arial" w:hAnsi="Arial" w:eastAsia="Arial"/>
                <w:b/>
                <w:color w:val="000000"/>
                <w:sz w:val="56"/>
              </w:rPr>
              <w:t>Participant Information and Privacy Notice</w:t>
            </w:r>
          </w:p>
          <w:p>
            <w:pPr>
              <w:keepNext w:val="0"/>
              <w:widowControl/>
              <w:spacing w:before="0" w:after="100" w:line="252" w:lineRule="auto"/>
            </w:pPr>
            <w:r>
              <w:rPr>
                <w:rFonts w:ascii="Arial" w:hAnsi="Arial" w:eastAsia="Arial"/>
                <w:i/>
                <w:color w:val="555555"/>
                <w:sz w:val="26"/>
              </w:rPr>
              <w:t>A working draft for ICF review</w:t>
            </w:r>
          </w:p>
          <w:p>
            <w:pPr>
              <w:keepNext w:val="0"/>
              <w:widowControl/>
              <w:spacing w:before="0" w:after="440" w:line="240" w:lineRule="auto"/>
            </w:pPr>
            <w:r>
              <w:rPr>
                <w:rFonts w:ascii="Arial" w:hAnsi="Arial" w:eastAsia="Arial"/>
                <w:color w:val="696969"/>
                <w:sz w:val="19"/>
              </w:rPr>
              <w:t>10 September 2026  |  proposed notice version musparql-participant-notice-2026-09-v1</w:t>
            </w:r>
          </w:p>
          <w:p>
            <w:pPr>
              <w:keepNext w:val="0"/>
              <w:widowControl/>
              <w:spacing w:before="0" w:after="180" w:line="276" w:lineRule="auto"/>
            </w:pPr>
            <w:r>
              <w:rPr>
                <w:rFonts w:ascii="Arial" w:hAnsi="Arial" w:eastAsia="Arial"/>
                <w:b w:val="0"/>
                <w:i w:val="0"/>
                <w:color w:val="000000"/>
                <w:sz w:val="23"/>
              </w:rPr>
              <w:t>Hi Michela and Andrew,</w:t>
            </w:r>
          </w:p>
          <w:p>
            <w:pPr>
              <w:keepNext w:val="0"/>
              <w:widowControl/>
              <w:spacing w:before="0" w:after="300" w:line="283" w:lineRule="auto"/>
            </w:pPr>
            <w:r>
              <w:rPr>
                <w:rFonts w:ascii="Arial" w:hAnsi="Arial" w:eastAsia="Arial"/>
                <w:b w:val="0"/>
                <w:i w:val="0"/>
                <w:color w:val="000000"/>
                <w:sz w:val="23"/>
              </w:rPr>
              <w:t>This copy brings together the short consent screen and the full notice we would show Musparql reviewers. Before it goes live, could we agree the points below? The text in square brackets marks the parts that still need an ICF decision.</w:t>
            </w:r>
          </w:p>
          <w:p>
            <w:pPr>
              <w:pStyle w:val="Heading1"/>
              <w:keepNext/>
              <w:widowControl/>
              <w:spacing w:before="60" w:after="160" w:line="252" w:lineRule="auto"/>
            </w:pPr>
            <w:r>
              <w:rPr>
                <w:rFonts w:ascii="Arial" w:hAnsi="Arial" w:eastAsia="Arial"/>
                <w:b/>
                <w:color w:val="000000"/>
                <w:sz w:val="34"/>
              </w:rPr>
              <w:t>Things to decide together</w:t>
            </w:r>
          </w:p>
          <w:p>
            <w:pPr>
              <w:widowControl/>
              <w:spacing w:after="120" w:line="274" w:lineRule="auto"/>
              <w:ind w:left="389" w:hanging="259"/>
            </w:pPr>
            <w:r>
              <w:rPr>
                <w:rFonts w:ascii="Arial" w:hAnsi="Arial" w:eastAsia="Arial"/>
                <w:color w:val="E05C34"/>
                <w:sz w:val="22"/>
              </w:rPr>
              <w:t xml:space="preserve">• </w:t>
            </w:r>
            <w:r>
              <w:rPr>
                <w:rFonts w:ascii="Arial" w:hAnsi="Arial" w:eastAsia="Arial"/>
                <w:color w:val="000000"/>
                <w:sz w:val="22"/>
              </w:rPr>
              <w:t>ICF's legal name and address, whether the Musparql contact address is monitored, and whether a DPO or another privacy contact should be named.</w:t>
            </w:r>
          </w:p>
          <w:p>
            <w:pPr>
              <w:widowControl/>
              <w:spacing w:after="120" w:line="274" w:lineRule="auto"/>
              <w:ind w:left="389" w:hanging="259"/>
            </w:pPr>
            <w:r>
              <w:rPr>
                <w:rFonts w:ascii="Arial" w:hAnsi="Arial" w:eastAsia="Arial"/>
                <w:color w:val="E05C34"/>
                <w:sz w:val="22"/>
              </w:rPr>
              <w:t xml:space="preserve">• </w:t>
            </w:r>
            <w:r>
              <w:rPr>
                <w:rFonts w:ascii="Arial" w:hAnsi="Arial" w:eastAsia="Arial"/>
                <w:color w:val="000000"/>
                <w:sz w:val="22"/>
              </w:rPr>
              <w:t>The lawful basis for keeping existing pseudonymous annotations together with language, expertise and KG-familiarity data after someone withdraws.</w:t>
            </w:r>
          </w:p>
          <w:p>
            <w:pPr>
              <w:widowControl/>
              <w:spacing w:after="120" w:line="274" w:lineRule="auto"/>
              <w:ind w:left="389" w:hanging="259"/>
            </w:pPr>
            <w:r>
              <w:rPr>
                <w:rFonts w:ascii="Arial" w:hAnsi="Arial" w:eastAsia="Arial"/>
                <w:color w:val="E05C34"/>
                <w:sz w:val="22"/>
              </w:rPr>
              <w:t xml:space="preserve">• </w:t>
            </w:r>
            <w:r>
              <w:rPr>
                <w:rFonts w:ascii="Arial" w:hAnsi="Arial" w:eastAsia="Arial"/>
                <w:color w:val="000000"/>
                <w:sz w:val="22"/>
              </w:rPr>
              <w:t>The lawful basis for any minimal security, rights-request, incident or accountability records kept separately from participation consent.</w:t>
            </w:r>
          </w:p>
          <w:p>
            <w:pPr>
              <w:widowControl/>
              <w:spacing w:after="120" w:line="274" w:lineRule="auto"/>
              <w:ind w:left="389" w:hanging="259"/>
            </w:pPr>
            <w:r>
              <w:rPr>
                <w:rFonts w:ascii="Arial" w:hAnsi="Arial" w:eastAsia="Arial"/>
                <w:color w:val="E05C34"/>
                <w:sz w:val="22"/>
              </w:rPr>
              <w:t xml:space="preserve">• </w:t>
            </w:r>
            <w:r>
              <w:rPr>
                <w:rFonts w:ascii="Arial" w:hAnsi="Arial" w:eastAsia="Arial"/>
                <w:color w:val="000000"/>
                <w:sz w:val="22"/>
              </w:rPr>
              <w:t>The transactional email provider, where it processes data, its subprocessors, and any transfer wording we need.</w:t>
            </w:r>
          </w:p>
          <w:p>
            <w:pPr>
              <w:widowControl/>
              <w:spacing w:after="120" w:line="274" w:lineRule="auto"/>
              <w:ind w:left="389" w:hanging="259"/>
            </w:pPr>
            <w:r>
              <w:rPr>
                <w:rFonts w:ascii="Arial" w:hAnsi="Arial" w:eastAsia="Arial"/>
                <w:color w:val="E05C34"/>
                <w:sz w:val="22"/>
              </w:rPr>
              <w:t xml:space="preserve">• </w:t>
            </w:r>
            <w:r>
              <w:rPr>
                <w:rFonts w:ascii="Arial" w:hAnsi="Arial" w:eastAsia="Arial"/>
                <w:color w:val="000000"/>
                <w:sz w:val="22"/>
              </w:rPr>
              <w:t>The proposed project-closure rule and what happens to access if the researcher leaves ICF.</w:t>
            </w:r>
          </w:p>
          <w:p>
            <w:pPr>
              <w:widowControl/>
              <w:spacing w:after="120" w:line="274" w:lineRule="auto"/>
              <w:ind w:left="389" w:hanging="259"/>
            </w:pPr>
            <w:r>
              <w:rPr>
                <w:rFonts w:ascii="Arial" w:hAnsi="Arial" w:eastAsia="Arial"/>
                <w:color w:val="E05C34"/>
                <w:sz w:val="22"/>
              </w:rPr>
              <w:t xml:space="preserve">• </w:t>
            </w:r>
            <w:r>
              <w:rPr>
                <w:rFonts w:ascii="Arial" w:hAnsi="Arial" w:eastAsia="Arial"/>
                <w:color w:val="000000"/>
                <w:sz w:val="22"/>
              </w:rPr>
              <w:t>Whether IMY should be named as the supervisory authority, and completion of ICF's OPERAS or data-management-plan check.</w:t>
            </w:r>
          </w:p>
          <w:p>
            <w:pPr>
              <w:keepNext w:val="0"/>
              <w:widowControl/>
              <w:spacing w:before="140" w:after="0" w:line="269" w:lineRule="auto"/>
            </w:pPr>
            <w:r>
              <w:rPr>
                <w:rFonts w:ascii="Arial" w:hAnsi="Arial" w:eastAsia="Arial"/>
                <w:b w:val="0"/>
                <w:i/>
                <w:color w:val="000000"/>
                <w:sz w:val="21"/>
              </w:rPr>
              <w:t>Once these are settled, the bracketed passages can be finalised and the notice can be approved for use.</w:t>
            </w:r>
          </w:p>
        </w:tc>
      </w:tr>
    </w:tbl>
    <w:p w14:paraId="00000012">
      <w:pPr>
        <w:spacing w:after="0" w:before="0" w:line="240" w:lineRule="auto"/>
        <w:rPr/>
      </w:pPr>
      <w:r>
        <w:rPr>
          <w:rtl w:val="0"/>
        </w:rPr>
      </w:r>
    </w:p>
    <w:p>
      <w:r>
        <w:br w:type="page"/>
      </w:r>
    </w:p>
    <w:p>
      <w:pPr>
        <w:pStyle w:val="Title"/>
        <w:keepNext w:val="0"/>
        <w:widowControl/>
        <w:spacing w:before="0" w:after="140" w:line="250" w:lineRule="auto"/>
      </w:pPr>
      <w:r>
        <w:rPr>
          <w:rFonts w:ascii="Arial" w:hAnsi="Arial" w:eastAsia="Arial"/>
          <w:b/>
          <w:color w:val="000000"/>
          <w:sz w:val="44"/>
        </w:rPr>
        <w:t>What reviewers will see first</w:t>
      </w:r>
    </w:p>
    <w:p>
      <w:pPr>
        <w:keepNext w:val="0"/>
        <w:widowControl/>
        <w:spacing w:before="0" w:after="300" w:line="252" w:lineRule="auto"/>
      </w:pPr>
      <w:r>
        <w:rPr>
          <w:rFonts w:ascii="Arial" w:hAnsi="Arial" w:eastAsia="Arial"/>
          <w:i/>
          <w:color w:val="5F5F5F"/>
          <w:sz w:val="21"/>
        </w:rPr>
        <w:t>Draft screen copy for us to review together</w:t>
      </w:r>
    </w:p>
    <w:p>
      <w:pPr>
        <w:pStyle w:val="Heading1"/>
        <w:keepNext/>
        <w:widowControl/>
        <w:spacing w:before="200" w:after="120" w:line="252" w:lineRule="auto"/>
      </w:pPr>
      <w:r>
        <w:rPr>
          <w:rFonts w:ascii="Arial" w:hAnsi="Arial" w:eastAsia="Arial"/>
          <w:b/>
          <w:color w:val="000000"/>
          <w:sz w:val="34"/>
        </w:rPr>
        <w:t>Before you take part</w:t>
      </w:r>
    </w:p>
    <w:p>
      <w:pPr>
        <w:widowControl/>
        <w:spacing w:before="0" w:after="140" w:line="276" w:lineRule="auto"/>
      </w:pPr>
      <w:r>
        <w:rPr>
          <w:rFonts w:ascii="Arial" w:hAnsi="Arial" w:eastAsia="Arial"/>
          <w:b w:val="0"/>
          <w:color w:val="000000"/>
          <w:sz w:val="22"/>
        </w:rPr>
        <w:t>Musparql is an ICF research study about reviewing natural-language questions and SPARQL queries. Taking part is voluntary. We collect your profile, expertise, language and review data to run the study and analyse the benchmark.</w:t>
      </w:r>
    </w:p>
    <w:p>
      <w:pPr>
        <w:widowControl/>
        <w:spacing w:before="0" w:after="140" w:line="276" w:lineRule="auto"/>
      </w:pPr>
      <w:r>
        <w:rPr>
          <w:rFonts w:ascii="Arial" w:hAnsi="Arial" w:eastAsia="Arial"/>
          <w:b w:val="0"/>
          <w:color w:val="000000"/>
          <w:sz w:val="22"/>
        </w:rPr>
        <w:t>We publish benchmark questions and ambiguity or alternative data, but not your name, contact details, reviewer profile, or reviewer-linked annotations.</w:t>
      </w:r>
    </w:p>
    <w:p>
      <w:pPr>
        <w:widowControl/>
        <w:spacing w:before="0" w:after="140" w:line="276" w:lineRule="auto"/>
      </w:pPr>
      <w:r>
        <w:rPr>
          <w:rFonts w:ascii="Arial" w:hAnsi="Arial" w:eastAsia="Arial"/>
          <w:b w:val="0"/>
          <w:color w:val="000000"/>
          <w:sz w:val="22"/>
        </w:rPr>
        <w:t>You may stop or withdraw at any time. If you withdraw, we delete your contact details and the link between your identity and reviewer ID. Existing annotations and their linked language, expertise and KG-familiarity data may remain in ICF's private pseudonymous research dataset under the lawful basis stated in the complete notice.</w:t>
      </w:r>
    </w:p>
    <w:p>
      <w:pPr>
        <w:widowControl/>
        <w:spacing w:before="0" w:after="140" w:line="276" w:lineRule="auto"/>
      </w:pPr>
      <w:r>
        <w:rPr>
          <w:rFonts w:ascii="Arial" w:hAnsi="Arial" w:eastAsia="Arial"/>
          <w:b w:val="0"/>
          <w:color w:val="000000"/>
          <w:sz w:val="22"/>
        </w:rPr>
        <w:t>Contact musparql@industrycommons.net about the study or your data rights.</w:t>
      </w:r>
    </w:p>
    <w:p>
      <w:pPr>
        <w:widowControl/>
        <w:spacing w:before="80" w:after="280" w:line="276" w:lineRule="auto"/>
      </w:pPr>
      <w:r>
        <w:rPr>
          <w:rFonts w:ascii="Arial" w:hAnsi="Arial" w:eastAsia="Arial"/>
          <w:b/>
          <w:color w:val="000000"/>
          <w:sz w:val="22"/>
        </w:rPr>
        <w:t>Read the complete participant information and privacy notice</w:t>
      </w:r>
    </w:p>
    <w:p>
      <w:pPr>
        <w:pStyle w:val="Heading1"/>
        <w:keepNext/>
        <w:widowControl/>
        <w:spacing w:before="280" w:after="120"/>
      </w:pPr>
      <w:r>
        <w:rPr>
          <w:rFonts w:ascii="Arial" w:hAnsi="Arial" w:eastAsia="Arial"/>
          <w:b/>
          <w:color w:val="000000"/>
          <w:sz w:val="32"/>
        </w:rPr>
        <w:t>Consent</w:t>
      </w:r>
    </w:p>
    <w:p>
      <w:pPr>
        <w:spacing w:after="240" w:line="288" w:lineRule="auto"/>
        <w:ind w:left="144" w:hanging="144"/>
      </w:pPr>
      <w:r>
        <w:rPr>
          <w:rFonts w:ascii="Arial" w:hAnsi="Arial" w:eastAsia="Arial"/>
          <w:color w:val="000000"/>
          <w:sz w:val="30"/>
        </w:rPr>
        <w:t xml:space="preserve">☐  </w:t>
      </w:r>
      <w:r>
        <w:rPr>
          <w:rFonts w:ascii="Arial" w:hAnsi="Arial" w:eastAsia="Arial"/>
          <w:b w:val="0"/>
          <w:color w:val="000000"/>
          <w:sz w:val="22"/>
        </w:rPr>
        <w:t>I confirm that I am aged 18 or over, that I have read the Musparql participant information and privacy notice, and that I voluntarily agree to take part and to Industry Commons Foundation using my personal data as described.</w:t>
      </w:r>
    </w:p>
    <w:p>
      <w:pPr>
        <w:widowControl/>
        <w:spacing w:before="120" w:after="0" w:line="269" w:lineRule="auto"/>
      </w:pPr>
      <w:r>
        <w:rPr>
          <w:rFonts w:ascii="Arial" w:hAnsi="Arial" w:eastAsia="Arial"/>
          <w:i/>
          <w:color w:val="505050"/>
          <w:sz w:val="19"/>
        </w:rPr>
        <w:t>Implementation note for ICF: the checkbox will be unticked and required. It appears after code verification and before the profile form. Requesting a code or logging in is not treated as consent. The system records the notice version, consent-statement version and timestamp.</w:t>
      </w:r>
    </w:p>
    <w:p>
      <w:r>
        <w:br w:type="page"/>
      </w:r>
    </w:p>
    <w:p>
      <w:pPr>
        <w:pStyle w:val="Title"/>
        <w:widowControl/>
        <w:spacing w:before="0" w:after="100" w:line="252" w:lineRule="auto"/>
      </w:pPr>
      <w:r>
        <w:rPr>
          <w:rFonts w:ascii="Arial" w:hAnsi="Arial" w:eastAsia="Arial"/>
          <w:b/>
          <w:color w:val="000000"/>
          <w:sz w:val="44"/>
        </w:rPr>
        <w:t>Musparql Participant Information and Privacy Notice</w:t>
      </w:r>
    </w:p>
    <w:p>
      <w:pPr>
        <w:widowControl/>
        <w:spacing w:before="0" w:after="260" w:line="252" w:lineRule="auto"/>
      </w:pPr>
      <w:r>
        <w:rPr>
          <w:rFonts w:ascii="Arial" w:hAnsi="Arial" w:eastAsia="Arial"/>
          <w:b/>
          <w:color w:val="5F5F5F"/>
          <w:sz w:val="19"/>
        </w:rPr>
        <w:t>Draft for ICF review  |  10 September 2026  |  Proposed version musparql-participant-notice-2026-09-v1</w:t>
      </w:r>
    </w:p>
    <w:p>
      <w:pPr>
        <w:pStyle w:val="Heading2"/>
        <w:keepNext/>
        <w:widowControl/>
        <w:spacing w:before="200" w:after="120"/>
      </w:pPr>
      <w:r>
        <w:rPr>
          <w:rFonts w:ascii="Arial" w:hAnsi="Arial" w:eastAsia="Arial"/>
          <w:b/>
          <w:color w:val="000000"/>
          <w:sz w:val="25"/>
        </w:rPr>
        <w:t>Invitation and purpose</w:t>
      </w:r>
    </w:p>
    <w:p>
      <w:pPr>
        <w:widowControl/>
        <w:spacing w:before="0" w:after="140" w:line="276" w:lineRule="auto"/>
      </w:pPr>
      <w:r>
        <w:rPr>
          <w:rFonts w:ascii="Arial" w:hAnsi="Arial" w:eastAsia="Arial"/>
          <w:b w:val="0"/>
          <w:color w:val="000000"/>
          <w:sz w:val="22"/>
        </w:rPr>
        <w:t>You are invited to take part in Musparql, a small expert-review study conducted within the GRAPHIA research project. Please read this notice before deciding whether to participate.</w:t>
      </w:r>
    </w:p>
    <w:p>
      <w:pPr>
        <w:widowControl/>
        <w:spacing w:before="0" w:after="140" w:line="276" w:lineRule="auto"/>
      </w:pPr>
      <w:r>
        <w:rPr>
          <w:rFonts w:ascii="Arial" w:hAnsi="Arial" w:eastAsia="Arial"/>
          <w:b w:val="0"/>
          <w:color w:val="000000"/>
          <w:sz w:val="22"/>
        </w:rPr>
        <w:t>Musparql develops evaluation data for systems that translate natural-language questions into SPARQL queries over knowledge graphs. It starts from queries and supporting material published by knowledge-graph projects. Human reviewers assess what the queries mean and whether proposed natural-language questions represent them accurately.</w:t>
      </w:r>
    </w:p>
    <w:p>
      <w:pPr>
        <w:widowControl/>
        <w:spacing w:before="0" w:after="140" w:line="276" w:lineRule="auto"/>
      </w:pPr>
      <w:r>
        <w:rPr>
          <w:rFonts w:ascii="Arial" w:hAnsi="Arial" w:eastAsia="Arial"/>
          <w:b w:val="0"/>
          <w:color w:val="000000"/>
          <w:sz w:val="22"/>
        </w:rPr>
        <w:t>The study will help us:</w:t>
      </w:r>
    </w:p>
    <w:p>
      <w:pPr>
        <w:widowControl/>
        <w:spacing w:after="100" w:line="271" w:lineRule="auto"/>
        <w:ind w:left="389" w:hanging="288"/>
      </w:pPr>
      <w:r>
        <w:rPr>
          <w:rFonts w:ascii="Arial" w:hAnsi="Arial" w:eastAsia="Arial"/>
          <w:b w:val="0"/>
          <w:color w:val="000000"/>
          <w:sz w:val="22"/>
        </w:rPr>
        <w:t xml:space="preserve">• </w:t>
      </w:r>
      <w:r>
        <w:rPr>
          <w:rFonts w:ascii="Arial" w:hAnsi="Arial" w:eastAsia="Arial"/>
          <w:b w:val="0"/>
          <w:color w:val="000000"/>
          <w:sz w:val="22"/>
        </w:rPr>
        <w:t>build a larger and more diverse collection of reviewed question–query pairs;</w:t>
      </w:r>
    </w:p>
    <w:p>
      <w:pPr>
        <w:widowControl/>
        <w:spacing w:after="100" w:line="271" w:lineRule="auto"/>
        <w:ind w:left="389" w:hanging="288"/>
      </w:pPr>
      <w:r>
        <w:rPr>
          <w:rFonts w:ascii="Arial" w:hAnsi="Arial" w:eastAsia="Arial"/>
          <w:b w:val="0"/>
          <w:color w:val="000000"/>
          <w:sz w:val="22"/>
        </w:rPr>
        <w:t xml:space="preserve">• </w:t>
      </w:r>
      <w:r>
        <w:rPr>
          <w:rFonts w:ascii="Arial" w:hAnsi="Arial" w:eastAsia="Arial"/>
          <w:b w:val="0"/>
          <w:color w:val="000000"/>
          <w:sz w:val="22"/>
        </w:rPr>
        <w:t>test whether the review method works across reviewers and subject areas;</w:t>
      </w:r>
    </w:p>
    <w:p>
      <w:pPr>
        <w:widowControl/>
        <w:spacing w:after="100" w:line="271" w:lineRule="auto"/>
        <w:ind w:left="389" w:hanging="288"/>
      </w:pPr>
      <w:r>
        <w:rPr>
          <w:rFonts w:ascii="Arial" w:hAnsi="Arial" w:eastAsia="Arial"/>
          <w:b w:val="0"/>
          <w:color w:val="000000"/>
          <w:sz w:val="22"/>
        </w:rPr>
        <w:t xml:space="preserve">• </w:t>
      </w:r>
      <w:r>
        <w:rPr>
          <w:rFonts w:ascii="Arial" w:hAnsi="Arial" w:eastAsia="Arial"/>
          <w:b w:val="0"/>
          <w:color w:val="000000"/>
          <w:sz w:val="22"/>
        </w:rPr>
        <w:t>understand where reviewers agree or disagree;</w:t>
      </w:r>
    </w:p>
    <w:p>
      <w:pPr>
        <w:widowControl/>
        <w:spacing w:after="100" w:line="271" w:lineRule="auto"/>
        <w:ind w:left="389" w:hanging="288"/>
      </w:pPr>
      <w:r>
        <w:rPr>
          <w:rFonts w:ascii="Arial" w:hAnsi="Arial" w:eastAsia="Arial"/>
          <w:b w:val="0"/>
          <w:color w:val="000000"/>
          <w:sz w:val="22"/>
        </w:rPr>
        <w:t xml:space="preserve">• </w:t>
      </w:r>
      <w:r>
        <w:rPr>
          <w:rFonts w:ascii="Arial" w:hAnsi="Arial" w:eastAsia="Arial"/>
          <w:b w:val="0"/>
          <w:color w:val="000000"/>
          <w:sz w:val="22"/>
        </w:rPr>
        <w:t>study how relevant subject expertise and familiarity with a knowledge graph relate to review judgements; and</w:t>
      </w:r>
    </w:p>
    <w:p>
      <w:pPr>
        <w:widowControl/>
        <w:spacing w:after="100" w:line="271" w:lineRule="auto"/>
        <w:ind w:left="389" w:hanging="288"/>
      </w:pPr>
      <w:r>
        <w:rPr>
          <w:rFonts w:ascii="Arial" w:hAnsi="Arial" w:eastAsia="Arial"/>
          <w:b w:val="0"/>
          <w:color w:val="000000"/>
          <w:sz w:val="22"/>
        </w:rPr>
        <w:t xml:space="preserve">• </w:t>
      </w:r>
      <w:r>
        <w:rPr>
          <w:rFonts w:ascii="Arial" w:hAnsi="Arial" w:eastAsia="Arial"/>
          <w:b w:val="0"/>
          <w:color w:val="000000"/>
          <w:sz w:val="22"/>
        </w:rPr>
        <w:t>evaluate linguistic qualities such as naturalness, communicative focus, and room for interpretation.</w:t>
      </w:r>
    </w:p>
    <w:p>
      <w:pPr>
        <w:widowControl/>
        <w:spacing w:before="0" w:after="140" w:line="276" w:lineRule="auto"/>
      </w:pPr>
      <w:r>
        <w:rPr>
          <w:rFonts w:ascii="Arial" w:hAnsi="Arial" w:eastAsia="Arial"/>
          <w:b w:val="0"/>
          <w:color w:val="000000"/>
          <w:sz w:val="22"/>
        </w:rPr>
        <w:t>The purpose is to study the review method and the resulting benchmark data. It is not to rank, evaluate, or make decisions about individual reviewers. The public benchmark is separate from the private reviewer research dataset used to study expertise, familiarity, learning, and reviewer agreement.</w:t>
      </w:r>
    </w:p>
    <w:p>
      <w:pPr>
        <w:pStyle w:val="Heading2"/>
        <w:keepNext/>
        <w:widowControl/>
        <w:spacing w:before="200" w:after="120"/>
      </w:pPr>
      <w:r>
        <w:rPr>
          <w:rFonts w:ascii="Arial" w:hAnsi="Arial" w:eastAsia="Arial"/>
          <w:b/>
          <w:color w:val="000000"/>
          <w:sz w:val="25"/>
        </w:rPr>
        <w:t>Who is responsible for your data</w:t>
      </w:r>
    </w:p>
    <w:p>
      <w:pPr>
        <w:widowControl/>
        <w:spacing w:before="0" w:after="140" w:line="276" w:lineRule="auto"/>
      </w:pPr>
      <w:r>
        <w:rPr>
          <w:rFonts w:ascii="Arial" w:hAnsi="Arial" w:eastAsia="Arial"/>
          <w:b w:val="0"/>
          <w:color w:val="000000"/>
          <w:sz w:val="22"/>
        </w:rPr>
        <w:t>The data controller is:</w:t>
      </w:r>
    </w:p>
    <w:p>
      <w:pPr>
        <w:widowControl/>
        <w:spacing w:before="0" w:after="140" w:line="276" w:lineRule="auto"/>
      </w:pPr>
      <w:r>
        <w:rPr>
          <w:rFonts w:ascii="Arial" w:hAnsi="Arial" w:eastAsia="Arial"/>
          <w:b/>
          <w:color w:val="000000"/>
          <w:sz w:val="22"/>
        </w:rPr>
        <w:t>Industry Commons Foundation (insamlingsstiftelse)</w:t>
      </w:r>
    </w:p>
    <w:p>
      <w:pPr>
        <w:widowControl/>
        <w:spacing w:before="0" w:after="140" w:line="276" w:lineRule="auto"/>
      </w:pPr>
      <w:r>
        <w:rPr>
          <w:rFonts w:ascii="Arial" w:hAnsi="Arial" w:eastAsia="Arial"/>
          <w:b w:val="0"/>
          <w:color w:val="000000"/>
          <w:sz w:val="22"/>
        </w:rPr>
        <w:t>Organisation number: 802481-2599</w:t>
      </w:r>
    </w:p>
    <w:p>
      <w:pPr>
        <w:widowControl/>
        <w:spacing w:before="0" w:after="140" w:line="276" w:lineRule="auto"/>
      </w:pPr>
      <w:r>
        <w:rPr>
          <w:rFonts w:ascii="Arial" w:hAnsi="Arial" w:eastAsia="Arial"/>
          <w:b w:val="0"/>
          <w:color w:val="000000"/>
          <w:sz w:val="22"/>
        </w:rPr>
        <w:t>7A Centralen, Vasagatan 7</w:t>
      </w:r>
    </w:p>
    <w:p>
      <w:pPr>
        <w:widowControl/>
        <w:spacing w:before="0" w:after="140" w:line="276" w:lineRule="auto"/>
      </w:pPr>
      <w:r>
        <w:rPr>
          <w:rFonts w:ascii="Arial" w:hAnsi="Arial" w:eastAsia="Arial"/>
          <w:b w:val="0"/>
          <w:color w:val="000000"/>
          <w:sz w:val="22"/>
        </w:rPr>
        <w:t>111 20 Stockholm, Sweden</w:t>
      </w:r>
    </w:p>
    <w:p>
      <w:pPr>
        <w:widowControl/>
        <w:spacing w:before="0" w:after="140" w:line="276" w:lineRule="auto"/>
      </w:pPr>
      <w:r>
        <w:rPr>
          <w:rFonts w:ascii="Arial" w:hAnsi="Arial" w:eastAsia="Arial"/>
          <w:b w:val="0"/>
          <w:color w:val="000000"/>
          <w:sz w:val="22"/>
        </w:rPr>
        <w:t xml:space="preserve">The Musparql researcher operates the service on ICF's behalf. For questions, withdrawal, or requests concerning your personal data, contact: </w:t>
      </w:r>
      <w:r>
        <w:rPr>
          <w:rFonts w:ascii="Arial" w:hAnsi="Arial" w:eastAsia="Arial"/>
          <w:b w:val="0"/>
          <w:color w:val="000000"/>
          <w:sz w:val="22"/>
        </w:rPr>
        <w:t>musparql@industrycommons.net</w:t>
      </w:r>
      <w:r>
        <w:rPr>
          <w:rFonts w:ascii="Arial" w:hAnsi="Arial" w:eastAsia="Arial"/>
          <w:b w:val="0"/>
          <w:color w:val="000000"/>
          <w:sz w:val="22"/>
        </w:rPr>
        <w:t>.</w:t>
      </w:r>
    </w:p>
    <w:p>
      <w:pPr>
        <w:pStyle w:val="Heading2"/>
        <w:keepNext/>
        <w:widowControl/>
        <w:spacing w:before="200" w:after="120"/>
      </w:pPr>
      <w:r>
        <w:rPr>
          <w:rFonts w:ascii="Arial" w:hAnsi="Arial" w:eastAsia="Arial"/>
          <w:b/>
          <w:color w:val="000000"/>
          <w:sz w:val="25"/>
        </w:rPr>
        <w:t>Taking part is voluntary</w:t>
      </w:r>
    </w:p>
    <w:p>
      <w:pPr>
        <w:widowControl/>
        <w:spacing w:before="0" w:after="140" w:line="276" w:lineRule="auto"/>
      </w:pPr>
      <w:r>
        <w:rPr>
          <w:rFonts w:ascii="Arial" w:hAnsi="Arial" w:eastAsia="Arial"/>
          <w:b w:val="0"/>
          <w:color w:val="000000"/>
          <w:sz w:val="22"/>
        </w:rPr>
        <w:t xml:space="preserve">Participation is voluntary. You may decline the invitation without giving a reason and without disadvantage. If you participate, you may stop an assignment at any time and may withdraw your consent by emailing </w:t>
      </w:r>
      <w:r>
        <w:rPr>
          <w:rFonts w:ascii="Arial" w:hAnsi="Arial" w:eastAsia="Arial"/>
          <w:b w:val="0"/>
          <w:color w:val="000000"/>
          <w:sz w:val="22"/>
        </w:rPr>
        <w:t>musparql@industrycommons.net</w:t>
      </w:r>
      <w:r>
        <w:rPr>
          <w:rFonts w:ascii="Arial" w:hAnsi="Arial" w:eastAsia="Arial"/>
          <w:b w:val="0"/>
          <w:color w:val="000000"/>
          <w:sz w:val="22"/>
        </w:rPr>
        <w:t>.</w:t>
      </w:r>
    </w:p>
    <w:p>
      <w:pPr>
        <w:widowControl/>
        <w:spacing w:before="0" w:after="140" w:line="276" w:lineRule="auto"/>
      </w:pPr>
      <w:r>
        <w:rPr>
          <w:rFonts w:ascii="Arial" w:hAnsi="Arial" w:eastAsia="Arial"/>
          <w:b w:val="0"/>
          <w:color w:val="000000"/>
          <w:sz w:val="22"/>
        </w:rPr>
        <w:t xml:space="preserve">Withdrawing consent does not affect the lawfulness of processing carried out before your withdrawal. What happens to information already supplied is explained under </w:t>
      </w:r>
      <w:r>
        <w:rPr>
          <w:rFonts w:ascii="Arial" w:hAnsi="Arial" w:eastAsia="Arial"/>
          <w:b/>
          <w:color w:val="000000"/>
          <w:sz w:val="22"/>
        </w:rPr>
        <w:t>Withdrawal and retention</w:t>
      </w:r>
      <w:r>
        <w:rPr>
          <w:rFonts w:ascii="Arial" w:hAnsi="Arial" w:eastAsia="Arial"/>
          <w:b w:val="0"/>
          <w:color w:val="000000"/>
          <w:sz w:val="22"/>
        </w:rPr>
        <w:t xml:space="preserve"> below.</w:t>
      </w:r>
    </w:p>
    <w:p>
      <w:pPr>
        <w:widowControl/>
        <w:spacing w:before="0" w:after="140" w:line="276" w:lineRule="auto"/>
      </w:pPr>
      <w:r>
        <w:rPr>
          <w:rFonts w:ascii="Arial" w:hAnsi="Arial" w:eastAsia="Arial"/>
          <w:b w:val="0"/>
          <w:color w:val="000000"/>
          <w:sz w:val="22"/>
        </w:rPr>
        <w:t>Musparql's first release is intended only for invited adults aged 18 or over.</w:t>
      </w:r>
    </w:p>
    <w:p>
      <w:pPr>
        <w:pStyle w:val="Heading2"/>
        <w:keepNext/>
        <w:widowControl/>
        <w:spacing w:before="200" w:after="120"/>
      </w:pPr>
      <w:r>
        <w:rPr>
          <w:rFonts w:ascii="Arial" w:hAnsi="Arial" w:eastAsia="Arial"/>
          <w:b/>
          <w:color w:val="000000"/>
          <w:sz w:val="25"/>
        </w:rPr>
        <w:t>What you will be asked to do</w:t>
      </w:r>
    </w:p>
    <w:p>
      <w:pPr>
        <w:widowControl/>
        <w:spacing w:before="0" w:after="140" w:line="276" w:lineRule="auto"/>
      </w:pPr>
      <w:r>
        <w:rPr>
          <w:rFonts w:ascii="Arial" w:hAnsi="Arial" w:eastAsia="Arial"/>
          <w:b w:val="0"/>
          <w:color w:val="000000"/>
          <w:sz w:val="22"/>
        </w:rPr>
        <w:t>You will sign in using a short code sent to your invited email address. You will complete a short profile and, before each assignment, confirm your relevant subject expertise and familiarity with the assigned knowledge graph.</w:t>
      </w:r>
    </w:p>
    <w:p>
      <w:pPr>
        <w:widowControl/>
        <w:spacing w:before="0" w:after="140" w:line="276" w:lineRule="auto"/>
      </w:pPr>
      <w:r>
        <w:rPr>
          <w:rFonts w:ascii="Arial" w:hAnsi="Arial" w:eastAsia="Arial"/>
          <w:b w:val="0"/>
          <w:color w:val="000000"/>
          <w:sz w:val="22"/>
        </w:rPr>
        <w:t>Depending on the assignment, you may be asked to:</w:t>
      </w:r>
    </w:p>
    <w:p>
      <w:pPr>
        <w:widowControl/>
        <w:spacing w:after="100" w:line="271" w:lineRule="auto"/>
        <w:ind w:left="389" w:hanging="288"/>
      </w:pPr>
      <w:r>
        <w:rPr>
          <w:rFonts w:ascii="Arial" w:hAnsi="Arial" w:eastAsia="Arial"/>
          <w:b w:val="0"/>
          <w:color w:val="000000"/>
          <w:sz w:val="22"/>
        </w:rPr>
        <w:t xml:space="preserve">• </w:t>
      </w:r>
      <w:r>
        <w:rPr>
          <w:rFonts w:ascii="Arial" w:hAnsi="Arial" w:eastAsia="Arial"/>
          <w:b w:val="0"/>
          <w:color w:val="000000"/>
          <w:sz w:val="22"/>
        </w:rPr>
        <w:t>assess whether a SPARQL query expresses a meaningful information need;</w:t>
      </w:r>
    </w:p>
    <w:p>
      <w:pPr>
        <w:widowControl/>
        <w:spacing w:after="100" w:line="271" w:lineRule="auto"/>
        <w:ind w:left="389" w:hanging="288"/>
      </w:pPr>
      <w:r>
        <w:rPr>
          <w:rFonts w:ascii="Arial" w:hAnsi="Arial" w:eastAsia="Arial"/>
          <w:b w:val="0"/>
          <w:color w:val="000000"/>
          <w:sz w:val="22"/>
        </w:rPr>
        <w:t xml:space="preserve">• </w:t>
      </w:r>
      <w:r>
        <w:rPr>
          <w:rFonts w:ascii="Arial" w:hAnsi="Arial" w:eastAsia="Arial"/>
          <w:b w:val="0"/>
          <w:color w:val="000000"/>
          <w:sz w:val="22"/>
        </w:rPr>
        <w:t>accept, rewrite, or reject a proposed natural-language question;</w:t>
      </w:r>
    </w:p>
    <w:p>
      <w:pPr>
        <w:widowControl/>
        <w:spacing w:after="100" w:line="271" w:lineRule="auto"/>
        <w:ind w:left="389" w:hanging="288"/>
      </w:pPr>
      <w:r>
        <w:rPr>
          <w:rFonts w:ascii="Arial" w:hAnsi="Arial" w:eastAsia="Arial"/>
          <w:b w:val="0"/>
          <w:color w:val="000000"/>
          <w:sz w:val="22"/>
        </w:rPr>
        <w:t xml:space="preserve">• </w:t>
      </w:r>
      <w:r>
        <w:rPr>
          <w:rFonts w:ascii="Arial" w:hAnsi="Arial" w:eastAsia="Arial"/>
          <w:b w:val="0"/>
          <w:color w:val="000000"/>
          <w:sz w:val="22"/>
        </w:rPr>
        <w:t>record alternative wording or a comment;</w:t>
      </w:r>
    </w:p>
    <w:p>
      <w:pPr>
        <w:widowControl/>
        <w:spacing w:after="100" w:line="271" w:lineRule="auto"/>
        <w:ind w:left="389" w:hanging="288"/>
      </w:pPr>
      <w:r>
        <w:rPr>
          <w:rFonts w:ascii="Arial" w:hAnsi="Arial" w:eastAsia="Arial"/>
          <w:b w:val="0"/>
          <w:color w:val="000000"/>
          <w:sz w:val="22"/>
        </w:rPr>
        <w:t xml:space="preserve">• </w:t>
      </w:r>
      <w:r>
        <w:rPr>
          <w:rFonts w:ascii="Arial" w:hAnsi="Arial" w:eastAsia="Arial"/>
          <w:b w:val="0"/>
          <w:color w:val="000000"/>
          <w:sz w:val="22"/>
        </w:rPr>
        <w:t>identify a problem in a query, its source material, or a proposed question; or</w:t>
      </w:r>
    </w:p>
    <w:p>
      <w:pPr>
        <w:widowControl/>
        <w:spacing w:after="100" w:line="271" w:lineRule="auto"/>
        <w:ind w:left="389" w:hanging="288"/>
      </w:pPr>
      <w:r>
        <w:rPr>
          <w:rFonts w:ascii="Arial" w:hAnsi="Arial" w:eastAsia="Arial"/>
          <w:b w:val="0"/>
          <w:color w:val="000000"/>
          <w:sz w:val="22"/>
        </w:rPr>
        <w:t xml:space="preserve">• </w:t>
      </w:r>
      <w:r>
        <w:rPr>
          <w:rFonts w:ascii="Arial" w:hAnsi="Arial" w:eastAsia="Arial"/>
          <w:b w:val="0"/>
          <w:color w:val="000000"/>
          <w:sz w:val="22"/>
        </w:rPr>
        <w:t>compare and rate alternative formulations against a fixed reference.</w:t>
      </w:r>
    </w:p>
    <w:p>
      <w:pPr>
        <w:widowControl/>
        <w:spacing w:before="0" w:after="140" w:line="276" w:lineRule="auto"/>
      </w:pPr>
      <w:r>
        <w:rPr>
          <w:rFonts w:ascii="Arial" w:hAnsi="Arial" w:eastAsia="Arial"/>
          <w:b w:val="0"/>
          <w:color w:val="000000"/>
          <w:sz w:val="22"/>
        </w:rPr>
        <w:t>Your invitation will describe the expected size and timing of the particular assignment. You may pause and return later while the assignment remains open.</w:t>
      </w:r>
    </w:p>
    <w:p>
      <w:pPr>
        <w:pStyle w:val="Heading2"/>
        <w:keepNext/>
        <w:widowControl/>
        <w:spacing w:before="200" w:after="120"/>
      </w:pPr>
      <w:r>
        <w:rPr>
          <w:rFonts w:ascii="Arial" w:hAnsi="Arial" w:eastAsia="Arial"/>
          <w:b/>
          <w:color w:val="000000"/>
          <w:sz w:val="25"/>
        </w:rPr>
        <w:t>What personal data we collect</w:t>
      </w:r>
    </w:p>
    <w:p>
      <w:pPr>
        <w:widowControl/>
        <w:spacing w:before="0" w:after="140" w:line="276" w:lineRule="auto"/>
      </w:pPr>
      <w:r>
        <w:rPr>
          <w:rFonts w:ascii="Arial" w:hAnsi="Arial" w:eastAsia="Arial"/>
          <w:b w:val="0"/>
          <w:color w:val="000000"/>
          <w:sz w:val="22"/>
        </w:rPr>
        <w:t>We collect only the information needed to operate the invited review service and conduct the study:</w:t>
      </w:r>
    </w:p>
    <w:p>
      <w:pPr>
        <w:widowControl/>
        <w:spacing w:after="100" w:line="271" w:lineRule="auto"/>
        <w:ind w:left="389" w:hanging="288"/>
      </w:pPr>
      <w:r>
        <w:rPr>
          <w:rFonts w:ascii="Arial" w:hAnsi="Arial" w:eastAsia="Arial"/>
          <w:b w:val="0"/>
          <w:color w:val="000000"/>
          <w:sz w:val="22"/>
        </w:rPr>
        <w:t xml:space="preserve">• </w:t>
      </w:r>
      <w:r>
        <w:rPr>
          <w:rFonts w:ascii="Arial" w:hAnsi="Arial" w:eastAsia="Arial"/>
          <w:b/>
          <w:color w:val="000000"/>
          <w:sz w:val="22"/>
        </w:rPr>
        <w:t>Operational identity and contact:</w:t>
      </w:r>
      <w:r>
        <w:rPr>
          <w:rFonts w:ascii="Arial" w:hAnsi="Arial" w:eastAsia="Arial"/>
          <w:b w:val="0"/>
          <w:color w:val="000000"/>
          <w:sz w:val="22"/>
        </w:rPr>
        <w:t xml:space="preserve"> your name, email address, optional affiliation, account status, and the confidential link to your pseudonymous reviewer identifier. These details are used for invitations, login, follow-up questions about your annotations, and future annotation invitations; they are not research variables.</w:t>
      </w:r>
    </w:p>
    <w:p>
      <w:pPr>
        <w:widowControl/>
        <w:spacing w:after="100" w:line="271" w:lineRule="auto"/>
        <w:ind w:left="389" w:hanging="288"/>
      </w:pPr>
      <w:r>
        <w:rPr>
          <w:rFonts w:ascii="Arial" w:hAnsi="Arial" w:eastAsia="Arial"/>
          <w:b w:val="0"/>
          <w:color w:val="000000"/>
          <w:sz w:val="22"/>
        </w:rPr>
        <w:t xml:space="preserve">• </w:t>
      </w:r>
      <w:r>
        <w:rPr>
          <w:rFonts w:ascii="Arial" w:hAnsi="Arial" w:eastAsia="Arial"/>
          <w:b/>
          <w:color w:val="000000"/>
          <w:sz w:val="22"/>
        </w:rPr>
        <w:t>Languages:</w:t>
      </w:r>
      <w:r>
        <w:rPr>
          <w:rFonts w:ascii="Arial" w:hAnsi="Arial" w:eastAsia="Arial"/>
          <w:b w:val="0"/>
          <w:color w:val="000000"/>
          <w:sz w:val="22"/>
        </w:rPr>
        <w:t xml:space="preserve"> the languages you select and your self-described proficiency.</w:t>
      </w:r>
    </w:p>
    <w:p>
      <w:pPr>
        <w:widowControl/>
        <w:spacing w:after="100" w:line="271" w:lineRule="auto"/>
        <w:ind w:left="389" w:hanging="288"/>
      </w:pPr>
      <w:r>
        <w:rPr>
          <w:rFonts w:ascii="Arial" w:hAnsi="Arial" w:eastAsia="Arial"/>
          <w:b w:val="0"/>
          <w:color w:val="000000"/>
          <w:sz w:val="22"/>
        </w:rPr>
        <w:t xml:space="preserve">• </w:t>
      </w:r>
      <w:r>
        <w:rPr>
          <w:rFonts w:ascii="Arial" w:hAnsi="Arial" w:eastAsia="Arial"/>
          <w:b/>
          <w:color w:val="000000"/>
          <w:sz w:val="22"/>
        </w:rPr>
        <w:t>General expertise:</w:t>
      </w:r>
      <w:r>
        <w:rPr>
          <w:rFonts w:ascii="Arial" w:hAnsi="Arial" w:eastAsia="Arial"/>
          <w:b w:val="0"/>
          <w:color w:val="000000"/>
          <w:sz w:val="22"/>
        </w:rPr>
        <w:t xml:space="preserve"> research domains you enter and your selected expertise level in each domain.</w:t>
      </w:r>
    </w:p>
    <w:p>
      <w:pPr>
        <w:widowControl/>
        <w:spacing w:after="100" w:line="271" w:lineRule="auto"/>
        <w:ind w:left="389" w:hanging="288"/>
      </w:pPr>
      <w:r>
        <w:rPr>
          <w:rFonts w:ascii="Arial" w:hAnsi="Arial" w:eastAsia="Arial"/>
          <w:b w:val="0"/>
          <w:color w:val="000000"/>
          <w:sz w:val="22"/>
        </w:rPr>
        <w:t xml:space="preserve">• </w:t>
      </w:r>
      <w:r>
        <w:rPr>
          <w:rFonts w:ascii="Arial" w:hAnsi="Arial" w:eastAsia="Arial"/>
          <w:b/>
          <w:color w:val="000000"/>
          <w:sz w:val="22"/>
        </w:rPr>
        <w:t>Technical experience:</w:t>
      </w:r>
      <w:r>
        <w:rPr>
          <w:rFonts w:ascii="Arial" w:hAnsi="Arial" w:eastAsia="Arial"/>
          <w:b w:val="0"/>
          <w:color w:val="000000"/>
          <w:sz w:val="22"/>
        </w:rPr>
        <w:t xml:space="preserve"> your self-described experience with knowledge graphs and ontologies, SPARQL, and natural-language processing or language models.</w:t>
      </w:r>
    </w:p>
    <w:p>
      <w:pPr>
        <w:widowControl/>
        <w:spacing w:after="100" w:line="271" w:lineRule="auto"/>
        <w:ind w:left="389" w:hanging="288"/>
      </w:pPr>
      <w:r>
        <w:rPr>
          <w:rFonts w:ascii="Arial" w:hAnsi="Arial" w:eastAsia="Arial"/>
          <w:b w:val="0"/>
          <w:color w:val="000000"/>
          <w:sz w:val="22"/>
        </w:rPr>
        <w:t xml:space="preserve">• </w:t>
      </w:r>
      <w:r>
        <w:rPr>
          <w:rFonts w:ascii="Arial" w:hAnsi="Arial" w:eastAsia="Arial"/>
          <w:b/>
          <w:color w:val="000000"/>
          <w:sz w:val="22"/>
        </w:rPr>
        <w:t>Assignment-specific assessments:</w:t>
      </w:r>
      <w:r>
        <w:rPr>
          <w:rFonts w:ascii="Arial" w:hAnsi="Arial" w:eastAsia="Arial"/>
          <w:b w:val="0"/>
          <w:color w:val="000000"/>
          <w:sz w:val="22"/>
        </w:rPr>
        <w:t xml:space="preserve"> your subject expertise relevant to an assigned knowledge graph and your familiarity with its resource, data, data model, or graph representation.</w:t>
      </w:r>
    </w:p>
    <w:p>
      <w:pPr>
        <w:widowControl/>
        <w:spacing w:after="100" w:line="271" w:lineRule="auto"/>
        <w:ind w:left="389" w:hanging="288"/>
      </w:pPr>
      <w:r>
        <w:rPr>
          <w:rFonts w:ascii="Arial" w:hAnsi="Arial" w:eastAsia="Arial"/>
          <w:b w:val="0"/>
          <w:color w:val="000000"/>
          <w:sz w:val="22"/>
        </w:rPr>
        <w:t xml:space="preserve">• </w:t>
      </w:r>
      <w:r>
        <w:rPr>
          <w:rFonts w:ascii="Arial" w:hAnsi="Arial" w:eastAsia="Arial"/>
          <w:b/>
          <w:color w:val="000000"/>
          <w:sz w:val="22"/>
        </w:rPr>
        <w:t>Review contributions:</w:t>
      </w:r>
      <w:r>
        <w:rPr>
          <w:rFonts w:ascii="Arial" w:hAnsi="Arial" w:eastAsia="Arial"/>
          <w:b w:val="0"/>
          <w:color w:val="000000"/>
          <w:sz w:val="22"/>
        </w:rPr>
        <w:t xml:space="preserve"> decisions, rewrites, alternative formulations, ratings, comments, problem reports, and submission timestamps.</w:t>
      </w:r>
    </w:p>
    <w:p>
      <w:pPr>
        <w:widowControl/>
        <w:spacing w:after="100" w:line="271" w:lineRule="auto"/>
        <w:ind w:left="389" w:hanging="288"/>
      </w:pPr>
      <w:r>
        <w:rPr>
          <w:rFonts w:ascii="Arial" w:hAnsi="Arial" w:eastAsia="Arial"/>
          <w:b w:val="0"/>
          <w:color w:val="000000"/>
          <w:sz w:val="22"/>
        </w:rPr>
        <w:t xml:space="preserve">• </w:t>
      </w:r>
      <w:r>
        <w:rPr>
          <w:rFonts w:ascii="Arial" w:hAnsi="Arial" w:eastAsia="Arial"/>
          <w:b/>
          <w:color w:val="000000"/>
          <w:sz w:val="22"/>
        </w:rPr>
        <w:t>Service and security records:</w:t>
      </w:r>
      <w:r>
        <w:rPr>
          <w:rFonts w:ascii="Arial" w:hAnsi="Arial" w:eastAsia="Arial"/>
          <w:b w:val="0"/>
          <w:color w:val="000000"/>
          <w:sz w:val="22"/>
        </w:rPr>
        <w:t xml:space="preserve"> login-code and session records, assignment status, submission receipts, processing status, email-delivery status, and limited security/audit records needed to protect and operate the service.</w:t>
      </w:r>
    </w:p>
    <w:p>
      <w:pPr>
        <w:widowControl/>
        <w:spacing w:before="0" w:after="140" w:line="276" w:lineRule="auto"/>
      </w:pPr>
      <w:r>
        <w:rPr>
          <w:rFonts w:ascii="Arial" w:hAnsi="Arial" w:eastAsia="Arial"/>
          <w:b w:val="0"/>
          <w:color w:val="000000"/>
          <w:sz w:val="22"/>
        </w:rPr>
        <w:t>Please do not enter sensitive personal information—such as health information, political opinions, religious beliefs, sexual orientation, trade-union membership, biometric/genetic information, or information about criminal offences—in any free-text field.</w:t>
      </w:r>
    </w:p>
    <w:p>
      <w:pPr>
        <w:pStyle w:val="Heading2"/>
        <w:keepNext/>
        <w:widowControl/>
        <w:spacing w:before="200" w:after="120"/>
      </w:pPr>
      <w:r>
        <w:rPr>
          <w:rFonts w:ascii="Arial" w:hAnsi="Arial" w:eastAsia="Arial"/>
          <w:b/>
          <w:color w:val="000000"/>
          <w:sz w:val="25"/>
        </w:rPr>
        <w:t>How and why we use the data</w:t>
      </w:r>
    </w:p>
    <w:p>
      <w:pPr>
        <w:widowControl/>
        <w:spacing w:before="0" w:after="140" w:line="276" w:lineRule="auto"/>
      </w:pPr>
      <w:r>
        <w:rPr>
          <w:rFonts w:ascii="Arial" w:hAnsi="Arial" w:eastAsia="Arial"/>
          <w:b w:val="0"/>
          <w:color w:val="000000"/>
          <w:sz w:val="22"/>
        </w:rPr>
        <w:t>ICF uses the data to:</w:t>
      </w:r>
    </w:p>
    <w:p>
      <w:pPr>
        <w:widowControl/>
        <w:spacing w:after="100" w:line="271" w:lineRule="auto"/>
        <w:ind w:left="389" w:hanging="288"/>
      </w:pPr>
      <w:r>
        <w:rPr>
          <w:rFonts w:ascii="Arial" w:hAnsi="Arial" w:eastAsia="Arial"/>
          <w:b w:val="0"/>
          <w:color w:val="000000"/>
          <w:sz w:val="22"/>
        </w:rPr>
        <w:t xml:space="preserve">• </w:t>
      </w:r>
      <w:r>
        <w:rPr>
          <w:rFonts w:ascii="Arial" w:hAnsi="Arial" w:eastAsia="Arial"/>
          <w:b w:val="0"/>
          <w:color w:val="000000"/>
          <w:sz w:val="22"/>
        </w:rPr>
        <w:t>invite and authenticate reviewers and administer their accounts;</w:t>
      </w:r>
    </w:p>
    <w:p>
      <w:pPr>
        <w:widowControl/>
        <w:spacing w:after="100" w:line="271" w:lineRule="auto"/>
        <w:ind w:left="389" w:hanging="288"/>
      </w:pPr>
      <w:r>
        <w:rPr>
          <w:rFonts w:ascii="Arial" w:hAnsi="Arial" w:eastAsia="Arial"/>
          <w:b w:val="0"/>
          <w:color w:val="000000"/>
          <w:sz w:val="22"/>
        </w:rPr>
        <w:t xml:space="preserve">• </w:t>
      </w:r>
      <w:r>
        <w:rPr>
          <w:rFonts w:ascii="Arial" w:hAnsi="Arial" w:eastAsia="Arial"/>
          <w:b w:val="0"/>
          <w:color w:val="000000"/>
          <w:sz w:val="22"/>
        </w:rPr>
        <w:t>provide assignments and preserve submitted review work;</w:t>
      </w:r>
    </w:p>
    <w:p>
      <w:pPr>
        <w:widowControl/>
        <w:spacing w:after="100" w:line="271" w:lineRule="auto"/>
        <w:ind w:left="389" w:hanging="288"/>
      </w:pPr>
      <w:r>
        <w:rPr>
          <w:rFonts w:ascii="Arial" w:hAnsi="Arial" w:eastAsia="Arial"/>
          <w:b w:val="0"/>
          <w:color w:val="000000"/>
          <w:sz w:val="22"/>
        </w:rPr>
        <w:t xml:space="preserve">• </w:t>
      </w:r>
      <w:r>
        <w:rPr>
          <w:rFonts w:ascii="Arial" w:hAnsi="Arial" w:eastAsia="Arial"/>
          <w:b w:val="0"/>
          <w:color w:val="000000"/>
          <w:sz w:val="22"/>
        </w:rPr>
        <w:t>understand which forms of expertise and knowledge-graph familiarity are represented in the reviewer group;</w:t>
      </w:r>
    </w:p>
    <w:p>
      <w:pPr>
        <w:widowControl/>
        <w:spacing w:after="100" w:line="271" w:lineRule="auto"/>
        <w:ind w:left="389" w:hanging="288"/>
      </w:pPr>
      <w:r>
        <w:rPr>
          <w:rFonts w:ascii="Arial" w:hAnsi="Arial" w:eastAsia="Arial"/>
          <w:b w:val="0"/>
          <w:color w:val="000000"/>
          <w:sz w:val="22"/>
        </w:rPr>
        <w:t xml:space="preserve">• </w:t>
      </w:r>
      <w:r>
        <w:rPr>
          <w:rFonts w:ascii="Arial" w:hAnsi="Arial" w:eastAsia="Arial"/>
          <w:b w:val="0"/>
          <w:color w:val="000000"/>
          <w:sz w:val="22"/>
        </w:rPr>
        <w:t>compare review judgements across reviewers and, where relevant, across time;</w:t>
      </w:r>
    </w:p>
    <w:p>
      <w:pPr>
        <w:widowControl/>
        <w:spacing w:after="100" w:line="271" w:lineRule="auto"/>
        <w:ind w:left="389" w:hanging="288"/>
      </w:pPr>
      <w:r>
        <w:rPr>
          <w:rFonts w:ascii="Arial" w:hAnsi="Arial" w:eastAsia="Arial"/>
          <w:b w:val="0"/>
          <w:color w:val="000000"/>
          <w:sz w:val="22"/>
        </w:rPr>
        <w:t xml:space="preserve">• </w:t>
      </w:r>
      <w:r>
        <w:rPr>
          <w:rFonts w:ascii="Arial" w:hAnsi="Arial" w:eastAsia="Arial"/>
          <w:b w:val="0"/>
          <w:color w:val="000000"/>
          <w:sz w:val="22"/>
        </w:rPr>
        <w:t>construct, verify, document, and publish the Musparql benchmark and public alternatives/provenance file;</w:t>
      </w:r>
    </w:p>
    <w:p>
      <w:pPr>
        <w:widowControl/>
        <w:spacing w:after="100" w:line="271" w:lineRule="auto"/>
        <w:ind w:left="389" w:hanging="288"/>
      </w:pPr>
      <w:r>
        <w:rPr>
          <w:rFonts w:ascii="Arial" w:hAnsi="Arial" w:eastAsia="Arial"/>
          <w:b w:val="0"/>
          <w:color w:val="000000"/>
          <w:sz w:val="22"/>
        </w:rPr>
        <w:t xml:space="preserve">• </w:t>
      </w:r>
      <w:r>
        <w:rPr>
          <w:rFonts w:ascii="Arial" w:hAnsi="Arial" w:eastAsia="Arial"/>
          <w:b w:val="0"/>
          <w:color w:val="000000"/>
          <w:sz w:val="22"/>
        </w:rPr>
        <w:t>conduct private reviewer-level analyses of expertise, familiarity, learning, and agreement, and publish only appropriate aggregate findings unless ICF separately approves another disclosure;</w:t>
      </w:r>
    </w:p>
    <w:p>
      <w:pPr>
        <w:widowControl/>
        <w:spacing w:after="100" w:line="271" w:lineRule="auto"/>
        <w:ind w:left="389" w:hanging="288"/>
      </w:pPr>
      <w:r>
        <w:rPr>
          <w:rFonts w:ascii="Arial" w:hAnsi="Arial" w:eastAsia="Arial"/>
          <w:b w:val="0"/>
          <w:color w:val="000000"/>
          <w:sz w:val="22"/>
        </w:rPr>
        <w:t xml:space="preserve">• </w:t>
      </w:r>
      <w:r>
        <w:rPr>
          <w:rFonts w:ascii="Arial" w:hAnsi="Arial" w:eastAsia="Arial"/>
          <w:b w:val="0"/>
          <w:color w:val="000000"/>
          <w:sz w:val="22"/>
        </w:rPr>
        <w:t>secure, back up, restore, maintain, and audit the service; and</w:t>
      </w:r>
    </w:p>
    <w:p>
      <w:pPr>
        <w:widowControl/>
        <w:spacing w:after="100" w:line="271" w:lineRule="auto"/>
        <w:ind w:left="389" w:hanging="288"/>
      </w:pPr>
      <w:r>
        <w:rPr>
          <w:rFonts w:ascii="Arial" w:hAnsi="Arial" w:eastAsia="Arial"/>
          <w:b w:val="0"/>
          <w:color w:val="000000"/>
          <w:sz w:val="22"/>
        </w:rPr>
        <w:t xml:space="preserve">• </w:t>
      </w:r>
      <w:r>
        <w:rPr>
          <w:rFonts w:ascii="Arial" w:hAnsi="Arial" w:eastAsia="Arial"/>
          <w:b w:val="0"/>
          <w:color w:val="000000"/>
          <w:sz w:val="22"/>
        </w:rPr>
        <w:t>answer participant questions and data-protection requests.</w:t>
      </w:r>
    </w:p>
    <w:p>
      <w:pPr>
        <w:widowControl/>
        <w:spacing w:before="0" w:after="140" w:line="276" w:lineRule="auto"/>
      </w:pPr>
      <w:r>
        <w:rPr>
          <w:rFonts w:ascii="Arial" w:hAnsi="Arial" w:eastAsia="Arial"/>
          <w:b w:val="0"/>
          <w:color w:val="000000"/>
          <w:sz w:val="22"/>
        </w:rPr>
        <w:t>We do not use your data for marketing or unrelated profiling. Musparql does not make automated decisions about you. Language models cannot approve a benchmark decision or make a consequential decision about a reviewer.</w:t>
      </w:r>
    </w:p>
    <w:p>
      <w:pPr>
        <w:pStyle w:val="Heading2"/>
        <w:keepNext/>
        <w:widowControl/>
        <w:spacing w:before="200" w:after="120"/>
      </w:pPr>
      <w:r>
        <w:rPr>
          <w:rFonts w:ascii="Arial" w:hAnsi="Arial" w:eastAsia="Arial"/>
          <w:b/>
          <w:color w:val="000000"/>
          <w:sz w:val="25"/>
        </w:rPr>
        <w:t>Lawful basis and consent</w:t>
      </w:r>
    </w:p>
    <w:p>
      <w:pPr>
        <w:widowControl/>
        <w:spacing w:before="0" w:after="140" w:line="276" w:lineRule="auto"/>
      </w:pPr>
      <w:r>
        <w:rPr>
          <w:rFonts w:ascii="Arial" w:hAnsi="Arial" w:eastAsia="Arial"/>
          <w:b w:val="0"/>
          <w:color w:val="000000"/>
          <w:sz w:val="22"/>
        </w:rPr>
        <w:t>ICF relies on your consent to participate and to collect and use your personal data for the Musparql activities described in this notice while you take part. Consent must be freely given, informed, specific, and expressed through a clear affirmative action. You can refuse or later withdraw without disadvantage.</w:t>
      </w:r>
    </w:p>
    <w:p>
      <w:pPr>
        <w:keepLines/>
        <w:widowControl/>
        <w:spacing w:before="0" w:after="140" w:line="276" w:lineRule="auto"/>
      </w:pPr>
      <w:r>
        <w:rPr>
          <w:rFonts w:ascii="Arial" w:hAnsi="Arial" w:eastAsia="Arial"/>
          <w:b/>
          <w:color w:val="000000"/>
          <w:sz w:val="22"/>
        </w:rPr>
        <w:t>[ICF to insert and explain the lawful basis for retaining existing pseudonymous annotations and their associated language, expertise, and KG-familiarity research variables after withdrawal. ICF must also confirm whether a different lawful basis applies to minimal security, rights-request, incident, or legal-accountability records.]</w:t>
      </w:r>
    </w:p>
    <w:p>
      <w:pPr>
        <w:pStyle w:val="Heading2"/>
        <w:keepNext/>
        <w:widowControl/>
        <w:spacing w:before="200" w:after="120"/>
      </w:pPr>
      <w:r>
        <w:rPr>
          <w:rFonts w:ascii="Arial" w:hAnsi="Arial" w:eastAsia="Arial"/>
          <w:b/>
          <w:color w:val="000000"/>
          <w:sz w:val="25"/>
        </w:rPr>
        <w:t>Pseudonymisation and research outputs</w:t>
      </w:r>
    </w:p>
    <w:p>
      <w:pPr>
        <w:widowControl/>
        <w:spacing w:before="0" w:after="140" w:line="276" w:lineRule="auto"/>
      </w:pPr>
      <w:r>
        <w:rPr>
          <w:rFonts w:ascii="Arial" w:hAnsi="Arial" w:eastAsia="Arial"/>
          <w:b w:val="0"/>
          <w:color w:val="000000"/>
          <w:sz w:val="22"/>
        </w:rPr>
        <w:t xml:space="preserve">The system assigns you a random identifier such as </w:t>
      </w:r>
      <w:r>
        <w:rPr>
          <w:rFonts w:ascii="Arial" w:hAnsi="Arial" w:eastAsia="Arial"/>
          <w:b w:val="0"/>
          <w:color w:val="000000"/>
          <w:sz w:val="22"/>
        </w:rPr>
        <w:t>reviewer-0001</w:t>
      </w:r>
      <w:r>
        <w:rPr>
          <w:rFonts w:ascii="Arial" w:hAnsi="Arial" w:eastAsia="Arial"/>
          <w:b w:val="0"/>
          <w:color w:val="000000"/>
          <w:sz w:val="22"/>
        </w:rPr>
        <w:t>. Musparql keeps two separate private records:</w:t>
      </w:r>
    </w:p>
    <w:p>
      <w:pPr>
        <w:widowControl/>
        <w:spacing w:after="100" w:line="271" w:lineRule="auto"/>
        <w:ind w:left="389" w:hanging="288"/>
      </w:pPr>
      <w:r>
        <w:rPr>
          <w:rFonts w:ascii="Arial" w:hAnsi="Arial" w:eastAsia="Arial"/>
          <w:b w:val="0"/>
          <w:color w:val="000000"/>
          <w:sz w:val="22"/>
        </w:rPr>
        <w:t xml:space="preserve">• </w:t>
      </w:r>
      <w:r>
        <w:rPr>
          <w:rFonts w:ascii="Arial" w:hAnsi="Arial" w:eastAsia="Arial"/>
          <w:b w:val="0"/>
          <w:color w:val="000000"/>
          <w:sz w:val="22"/>
        </w:rPr>
        <w:t>an operational contact registry containing your name, email address, optional affiliation, account information, and the identity-to-reviewer link; and</w:t>
      </w:r>
    </w:p>
    <w:p>
      <w:pPr>
        <w:widowControl/>
        <w:spacing w:after="100" w:line="271" w:lineRule="auto"/>
        <w:ind w:left="389" w:hanging="288"/>
      </w:pPr>
      <w:r>
        <w:rPr>
          <w:rFonts w:ascii="Arial" w:hAnsi="Arial" w:eastAsia="Arial"/>
          <w:b w:val="0"/>
          <w:color w:val="000000"/>
          <w:sz w:val="22"/>
        </w:rPr>
        <w:t xml:space="preserve">• </w:t>
      </w:r>
      <w:r>
        <w:rPr>
          <w:rFonts w:ascii="Arial" w:hAnsi="Arial" w:eastAsia="Arial"/>
          <w:b w:val="0"/>
          <w:color w:val="000000"/>
          <w:sz w:val="22"/>
        </w:rPr>
        <w:t>a pseudonymous research dataset containing your annotations and the language, expertise, and KG-familiarity information needed to interpret them.</w:t>
      </w:r>
    </w:p>
    <w:p>
      <w:pPr>
        <w:widowControl/>
        <w:spacing w:before="0" w:after="140" w:line="276" w:lineRule="auto"/>
      </w:pPr>
      <w:r>
        <w:rPr>
          <w:rFonts w:ascii="Arial" w:hAnsi="Arial" w:eastAsia="Arial"/>
          <w:b w:val="0"/>
          <w:color w:val="000000"/>
          <w:sz w:val="22"/>
        </w:rPr>
        <w:t>The public Musparql release has two data components: a concise benchmark file containing canonical question–SPARQL pairs and an alternatives/provenance file containing accepted formulations and methodological provenance. New releases using external reviewers will not publish their stable reviewer IDs, reviewer-level language, expertise or familiarity, or linked individual annotation histories.</w:t>
      </w:r>
    </w:p>
    <w:p>
      <w:pPr>
        <w:widowControl/>
        <w:spacing w:before="0" w:after="140" w:line="276" w:lineRule="auto"/>
      </w:pPr>
      <w:r>
        <w:rPr>
          <w:rFonts w:ascii="Arial" w:hAnsi="Arial" w:eastAsia="Arial"/>
          <w:b w:val="0"/>
          <w:color w:val="000000"/>
          <w:sz w:val="22"/>
        </w:rPr>
        <w:t>Public reporting about reviewer characteristics will use appropriate aggregate results and avoid singling out an identifiable reviewer. The private research dataset remains personal data even after the direct identity link is removed if a reviewer could still reasonably be identified from their contribution or combination of characteristics.</w:t>
      </w:r>
    </w:p>
    <w:p>
      <w:pPr>
        <w:pStyle w:val="Heading2"/>
        <w:keepNext/>
        <w:widowControl/>
        <w:spacing w:before="200" w:after="120"/>
      </w:pPr>
      <w:r>
        <w:rPr>
          <w:rFonts w:ascii="Arial" w:hAnsi="Arial" w:eastAsia="Arial"/>
          <w:b/>
          <w:color w:val="000000"/>
          <w:sz w:val="25"/>
        </w:rPr>
        <w:t>Who can access the data and where it is stored</w:t>
      </w:r>
    </w:p>
    <w:p>
      <w:pPr>
        <w:widowControl/>
        <w:spacing w:before="0" w:after="140" w:line="276" w:lineRule="auto"/>
      </w:pPr>
      <w:r>
        <w:rPr>
          <w:rFonts w:ascii="Arial" w:hAnsi="Arial" w:eastAsia="Arial"/>
          <w:b w:val="0"/>
          <w:color w:val="000000"/>
          <w:sz w:val="22"/>
        </w:rPr>
        <w:t>Access to identifiable and confidential information is limited to the authorised Musparql researcher and authorised ICF administrators when access is necessary for the research, continuity, security, recovery, or incident response.</w:t>
      </w:r>
    </w:p>
    <w:p>
      <w:pPr>
        <w:widowControl/>
        <w:spacing w:before="0" w:after="140" w:line="276" w:lineRule="auto"/>
      </w:pPr>
      <w:r>
        <w:rPr>
          <w:rFonts w:ascii="Arial" w:hAnsi="Arial" w:eastAsia="Arial"/>
          <w:b w:val="0"/>
          <w:color w:val="000000"/>
          <w:sz w:val="22"/>
        </w:rPr>
        <w:t>The application is hosted for ICF by Hetzner on a dedicated server in Germany. Encrypted backups are stored in ICF-controlled off-server storage and retained for up to 90 days. The authorised researcher may securely access the system from the United Kingdom; the European Commission currently recognises the UK as providing adequate protection for GDPR transfers.</w:t>
      </w:r>
    </w:p>
    <w:p>
      <w:pPr>
        <w:widowControl/>
        <w:spacing w:before="0" w:after="140" w:line="276" w:lineRule="auto"/>
      </w:pPr>
      <w:r>
        <w:rPr>
          <w:rFonts w:ascii="Arial" w:hAnsi="Arial" w:eastAsia="Arial"/>
          <w:b/>
          <w:color w:val="000000"/>
          <w:sz w:val="22"/>
        </w:rPr>
        <w:t>[Insert the selected transactional email provider.]</w:t>
      </w:r>
      <w:r>
        <w:rPr>
          <w:rFonts w:ascii="Arial" w:hAnsi="Arial" w:eastAsia="Arial"/>
          <w:b w:val="0"/>
          <w:color w:val="000000"/>
          <w:sz w:val="22"/>
        </w:rPr>
        <w:t xml:space="preserve"> The email provider receives your email address and the limited message content needed to deliver invitations and login codes. Provider credentials do not give Musparql access to your personal mailbox.</w:t>
      </w:r>
    </w:p>
    <w:p>
      <w:pPr>
        <w:widowControl/>
        <w:spacing w:before="0" w:after="140" w:line="276" w:lineRule="auto"/>
      </w:pPr>
      <w:r>
        <w:rPr>
          <w:rFonts w:ascii="Arial" w:hAnsi="Arial" w:eastAsia="Arial"/>
          <w:b w:val="0"/>
          <w:color w:val="000000"/>
          <w:sz w:val="22"/>
        </w:rPr>
        <w:t>ODOMA does not receive Musparql reviewer personal data. Any future shared authentication, joint analysis, or sharing that changes this position would require a documented decision and an updated notice before it begins.</w:t>
      </w:r>
    </w:p>
    <w:p>
      <w:pPr>
        <w:widowControl/>
        <w:spacing w:before="0" w:after="140" w:line="276" w:lineRule="auto"/>
      </w:pPr>
      <w:r>
        <w:rPr>
          <w:rFonts w:ascii="Arial" w:hAnsi="Arial" w:eastAsia="Arial"/>
          <w:b w:val="0"/>
          <w:color w:val="000000"/>
          <w:sz w:val="22"/>
        </w:rPr>
        <w:t>Individual-level reviewer research data is not published or routinely shared. If another researcher asks for access in future, ICF will consider that request separately. No access will be provided merely because it was requested. Any approved access must have a defined purpose, appropriate safeguards and agreements, and any further notice or consent required at that time.</w:t>
      </w:r>
    </w:p>
    <w:p>
      <w:pPr>
        <w:widowControl/>
        <w:spacing w:before="0" w:after="140" w:line="276" w:lineRule="auto"/>
      </w:pPr>
      <w:r>
        <w:rPr>
          <w:rFonts w:ascii="Arial" w:hAnsi="Arial" w:eastAsia="Arial"/>
          <w:b w:val="0"/>
          <w:color w:val="000000"/>
          <w:sz w:val="22"/>
        </w:rPr>
        <w:t>If the Musparql researcher's relationship with ICF changes, the private data do not automatically transfer to the researcher or a new institution. ICF remains responsible for the data unless it formally approves and documents a lawful successor or continued-access arrangement.</w:t>
      </w:r>
    </w:p>
    <w:p>
      <w:pPr>
        <w:keepLines/>
        <w:widowControl/>
        <w:spacing w:before="0" w:after="140" w:line="276" w:lineRule="auto"/>
      </w:pPr>
      <w:r>
        <w:rPr>
          <w:rFonts w:ascii="Arial" w:hAnsi="Arial" w:eastAsia="Arial"/>
          <w:b/>
          <w:color w:val="000000"/>
          <w:sz w:val="22"/>
        </w:rPr>
        <w:t>[ICF to confirm the selected email provider's processing countries, subprocessors, and whether any additional international-transfer safeguards must be described.]</w:t>
      </w:r>
    </w:p>
    <w:p>
      <w:pPr>
        <w:pStyle w:val="Heading2"/>
        <w:keepNext/>
        <w:widowControl/>
        <w:spacing w:before="200" w:after="120"/>
      </w:pPr>
      <w:r>
        <w:rPr>
          <w:rFonts w:ascii="Arial" w:hAnsi="Arial" w:eastAsia="Arial"/>
          <w:b/>
          <w:color w:val="000000"/>
          <w:sz w:val="25"/>
        </w:rPr>
        <w:t>Security</w:t>
      </w:r>
    </w:p>
    <w:p>
      <w:pPr>
        <w:widowControl/>
        <w:spacing w:before="0" w:after="140" w:line="276" w:lineRule="auto"/>
      </w:pPr>
      <w:r>
        <w:rPr>
          <w:rFonts w:ascii="Arial" w:hAnsi="Arial" w:eastAsia="Arial"/>
          <w:b w:val="0"/>
          <w:color w:val="000000"/>
          <w:sz w:val="22"/>
        </w:rPr>
        <w:t>Musparql uses invitation-only access, short-lived single-use login codes, revocable sessions, HTTPS, access controls, restricted service accounts, redacted operational logs, encrypted off-server backups, security updates, and tested recovery procedures. No online service can eliminate every risk, but ICF and the researcher take measures proportionate to the limited scale and nature of the study.</w:t>
      </w:r>
    </w:p>
    <w:p>
      <w:pPr>
        <w:widowControl/>
        <w:spacing w:before="0" w:after="140" w:line="276" w:lineRule="auto"/>
      </w:pPr>
      <w:r>
        <w:rPr>
          <w:rFonts w:ascii="Arial" w:hAnsi="Arial" w:eastAsia="Arial"/>
          <w:b w:val="0"/>
          <w:color w:val="000000"/>
          <w:sz w:val="22"/>
        </w:rPr>
        <w:t>If a personal-data incident occurs, ICF leads the response and will inform affected participants when required.</w:t>
      </w:r>
    </w:p>
    <w:p>
      <w:pPr>
        <w:pStyle w:val="Heading2"/>
        <w:keepNext/>
        <w:widowControl/>
        <w:spacing w:before="200" w:after="120"/>
      </w:pPr>
      <w:r>
        <w:rPr>
          <w:rFonts w:ascii="Arial" w:hAnsi="Arial" w:eastAsia="Arial"/>
          <w:b/>
          <w:color w:val="000000"/>
          <w:sz w:val="25"/>
        </w:rPr>
        <w:t>Withdrawal and retention</w:t>
      </w:r>
    </w:p>
    <w:p>
      <w:pPr>
        <w:widowControl/>
        <w:spacing w:before="0" w:after="140" w:line="276" w:lineRule="auto"/>
      </w:pPr>
      <w:r>
        <w:rPr>
          <w:rFonts w:ascii="Arial" w:hAnsi="Arial" w:eastAsia="Arial"/>
          <w:b w:val="0"/>
          <w:color w:val="000000"/>
          <w:sz w:val="22"/>
        </w:rPr>
        <w:t xml:space="preserve">You may stop participating or withdraw your consent at any time by emailing </w:t>
      </w:r>
      <w:r>
        <w:rPr>
          <w:rFonts w:ascii="Arial" w:hAnsi="Arial" w:eastAsia="Arial"/>
          <w:b w:val="0"/>
          <w:color w:val="000000"/>
          <w:sz w:val="22"/>
        </w:rPr>
        <w:t>musparql@industrycommons.net</w:t>
      </w:r>
      <w:r>
        <w:rPr>
          <w:rFonts w:ascii="Arial" w:hAnsi="Arial" w:eastAsia="Arial"/>
          <w:b w:val="0"/>
          <w:color w:val="000000"/>
          <w:sz w:val="22"/>
        </w:rPr>
        <w:t>. We will stop assigning new work, disable your login, revoke active sessions, and stop contacting you about further annotations.</w:t>
      </w:r>
    </w:p>
    <w:p>
      <w:pPr>
        <w:widowControl/>
        <w:spacing w:before="0" w:after="140" w:line="276" w:lineRule="auto"/>
      </w:pPr>
      <w:r>
        <w:rPr>
          <w:rFonts w:ascii="Arial" w:hAnsi="Arial" w:eastAsia="Arial"/>
          <w:b w:val="0"/>
          <w:color w:val="000000"/>
          <w:sz w:val="22"/>
        </w:rPr>
        <w:t>On withdrawal, the live operational contact registry containing your name, email address, optional affiliation, account data, and identity-to-reviewer link will be deleted within 30 days. Encrypted backup copies expire through the normal backup cycle within 90 days, and recorded deletions are reapplied if an older backup is restored.</w:t>
      </w:r>
    </w:p>
    <w:p>
      <w:pPr>
        <w:widowControl/>
        <w:spacing w:before="0" w:after="140" w:line="276" w:lineRule="auto"/>
      </w:pPr>
      <w:r>
        <w:rPr>
          <w:rFonts w:ascii="Arial" w:hAnsi="Arial" w:eastAsia="Arial"/>
          <w:b w:val="0"/>
          <w:color w:val="000000"/>
          <w:sz w:val="22"/>
        </w:rPr>
        <w:t xml:space="preserve">Existing annotations and the language proficiency, expertise, and KG-familiarity information needed to analyse them will remain in the private pseudonymous research dataset. They will not be added to the two public benchmark files as reviewer-level data. </w:t>
      </w:r>
      <w:r>
        <w:rPr>
          <w:rFonts w:ascii="Arial" w:hAnsi="Arial" w:eastAsia="Arial"/>
          <w:b/>
          <w:color w:val="000000"/>
          <w:sz w:val="22"/>
        </w:rPr>
        <w:t>[ICF must insert the confirmed lawful basis or research provision for this retention and explain any applicable right to object or request erasure.]</w:t>
      </w:r>
    </w:p>
    <w:p>
      <w:pPr>
        <w:widowControl/>
        <w:spacing w:before="0" w:after="140" w:line="276" w:lineRule="auto"/>
      </w:pPr>
      <w:r>
        <w:rPr>
          <w:rFonts w:ascii="Arial" w:hAnsi="Arial" w:eastAsia="Arial"/>
          <w:b w:val="0"/>
          <w:color w:val="000000"/>
          <w:sz w:val="22"/>
        </w:rPr>
        <w:t>If you do not withdraw, operational identity/contact information is retained until no later than two years after formal project closure. The project lead recommends closure and ICF records the closure date when no reviewer recruitment, annotation rounds, or planned analyses requiring the private pseudonymous dataset remain active and no approved successor arrangement has been established. Project status will be reviewed periodically rather than left open indefinitely.</w:t>
      </w:r>
    </w:p>
    <w:p>
      <w:pPr>
        <w:widowControl/>
        <w:spacing w:before="0" w:after="140" w:line="276" w:lineRule="auto"/>
      </w:pPr>
      <w:r>
        <w:rPr>
          <w:rFonts w:ascii="Arial" w:hAnsi="Arial" w:eastAsia="Arial"/>
          <w:b w:val="0"/>
          <w:color w:val="000000"/>
          <w:sz w:val="22"/>
        </w:rPr>
        <w:t>Pseudonymous annotations and the minimum research variables needed to interpret them are retained for the documented lifetime of the Musparql research dataset, subject to ICF's confirmed lawful basis and storage-limitation review. Expired login codes, sessions, delivery records, logs, temporary processing records, and administrative audit records have shorter operational retention periods.</w:t>
      </w:r>
    </w:p>
    <w:p>
      <w:pPr>
        <w:pStyle w:val="Heading2"/>
        <w:keepNext/>
        <w:widowControl/>
        <w:spacing w:before="200" w:after="120"/>
      </w:pPr>
      <w:r>
        <w:rPr>
          <w:rFonts w:ascii="Arial" w:hAnsi="Arial" w:eastAsia="Arial"/>
          <w:b/>
          <w:color w:val="000000"/>
          <w:sz w:val="25"/>
        </w:rPr>
        <w:t>Your data-protection rights</w:t>
      </w:r>
    </w:p>
    <w:p>
      <w:pPr>
        <w:widowControl/>
        <w:spacing w:before="0" w:after="140" w:line="276" w:lineRule="auto"/>
      </w:pPr>
      <w:r>
        <w:rPr>
          <w:rFonts w:ascii="Arial" w:hAnsi="Arial" w:eastAsia="Arial"/>
          <w:b w:val="0"/>
          <w:color w:val="000000"/>
          <w:sz w:val="22"/>
        </w:rPr>
        <w:t>Depending on the circumstances, you may ask ICF to:</w:t>
      </w:r>
    </w:p>
    <w:p>
      <w:pPr>
        <w:widowControl/>
        <w:spacing w:after="100" w:line="271" w:lineRule="auto"/>
        <w:ind w:left="389" w:hanging="288"/>
      </w:pPr>
      <w:r>
        <w:rPr>
          <w:rFonts w:ascii="Arial" w:hAnsi="Arial" w:eastAsia="Arial"/>
          <w:b w:val="0"/>
          <w:color w:val="000000"/>
          <w:sz w:val="22"/>
        </w:rPr>
        <w:t xml:space="preserve">• </w:t>
      </w:r>
      <w:r>
        <w:rPr>
          <w:rFonts w:ascii="Arial" w:hAnsi="Arial" w:eastAsia="Arial"/>
          <w:b w:val="0"/>
          <w:color w:val="000000"/>
          <w:sz w:val="22"/>
        </w:rPr>
        <w:t>give you information about and access to your personal data;</w:t>
      </w:r>
    </w:p>
    <w:p>
      <w:pPr>
        <w:widowControl/>
        <w:spacing w:after="100" w:line="271" w:lineRule="auto"/>
        <w:ind w:left="389" w:hanging="288"/>
      </w:pPr>
      <w:r>
        <w:rPr>
          <w:rFonts w:ascii="Arial" w:hAnsi="Arial" w:eastAsia="Arial"/>
          <w:b w:val="0"/>
          <w:color w:val="000000"/>
          <w:sz w:val="22"/>
        </w:rPr>
        <w:t xml:space="preserve">• </w:t>
      </w:r>
      <w:r>
        <w:rPr>
          <w:rFonts w:ascii="Arial" w:hAnsi="Arial" w:eastAsia="Arial"/>
          <w:b w:val="0"/>
          <w:color w:val="000000"/>
          <w:sz w:val="22"/>
        </w:rPr>
        <w:t>correct inaccurate or incomplete information;</w:t>
      </w:r>
    </w:p>
    <w:p>
      <w:pPr>
        <w:widowControl/>
        <w:spacing w:after="100" w:line="271" w:lineRule="auto"/>
        <w:ind w:left="389" w:hanging="288"/>
      </w:pPr>
      <w:r>
        <w:rPr>
          <w:rFonts w:ascii="Arial" w:hAnsi="Arial" w:eastAsia="Arial"/>
          <w:b w:val="0"/>
          <w:color w:val="000000"/>
          <w:sz w:val="22"/>
        </w:rPr>
        <w:t xml:space="preserve">• </w:t>
      </w:r>
      <w:r>
        <w:rPr>
          <w:rFonts w:ascii="Arial" w:hAnsi="Arial" w:eastAsia="Arial"/>
          <w:b w:val="0"/>
          <w:color w:val="000000"/>
          <w:sz w:val="22"/>
        </w:rPr>
        <w:t>erase your personal data;</w:t>
      </w:r>
    </w:p>
    <w:p>
      <w:pPr>
        <w:widowControl/>
        <w:spacing w:after="100" w:line="271" w:lineRule="auto"/>
        <w:ind w:left="389" w:hanging="288"/>
      </w:pPr>
      <w:r>
        <w:rPr>
          <w:rFonts w:ascii="Arial" w:hAnsi="Arial" w:eastAsia="Arial"/>
          <w:b w:val="0"/>
          <w:color w:val="000000"/>
          <w:sz w:val="22"/>
        </w:rPr>
        <w:t xml:space="preserve">• </w:t>
      </w:r>
      <w:r>
        <w:rPr>
          <w:rFonts w:ascii="Arial" w:hAnsi="Arial" w:eastAsia="Arial"/>
          <w:b w:val="0"/>
          <w:color w:val="000000"/>
          <w:sz w:val="22"/>
        </w:rPr>
        <w:t>restrict how your data is used; or</w:t>
      </w:r>
    </w:p>
    <w:p>
      <w:pPr>
        <w:widowControl/>
        <w:spacing w:after="100" w:line="271" w:lineRule="auto"/>
        <w:ind w:left="389" w:hanging="288"/>
      </w:pPr>
      <w:r>
        <w:rPr>
          <w:rFonts w:ascii="Arial" w:hAnsi="Arial" w:eastAsia="Arial"/>
          <w:b w:val="0"/>
          <w:color w:val="000000"/>
          <w:sz w:val="22"/>
        </w:rPr>
        <w:t xml:space="preserve">• </w:t>
      </w:r>
      <w:r>
        <w:rPr>
          <w:rFonts w:ascii="Arial" w:hAnsi="Arial" w:eastAsia="Arial"/>
          <w:b w:val="0"/>
          <w:color w:val="000000"/>
          <w:sz w:val="22"/>
        </w:rPr>
        <w:t>provide personal data you supplied in a portable format where that right applies.</w:t>
      </w:r>
    </w:p>
    <w:p>
      <w:pPr>
        <w:widowControl/>
        <w:spacing w:before="0" w:after="140" w:line="276" w:lineRule="auto"/>
      </w:pPr>
      <w:r>
        <w:rPr>
          <w:rFonts w:ascii="Arial" w:hAnsi="Arial" w:eastAsia="Arial"/>
          <w:b w:val="0"/>
          <w:color w:val="000000"/>
          <w:sz w:val="22"/>
        </w:rPr>
        <w:t xml:space="preserve">You may withdraw consent at any time. Some rights can be limited in particular circumstances, but ICF will explain any decision not to fulfil a request. Contact </w:t>
      </w:r>
      <w:r>
        <w:rPr>
          <w:rFonts w:ascii="Arial" w:hAnsi="Arial" w:eastAsia="Arial"/>
          <w:b w:val="0"/>
          <w:color w:val="000000"/>
          <w:sz w:val="22"/>
        </w:rPr>
        <w:t>musparql@industrycommons.net</w:t>
      </w:r>
      <w:r>
        <w:rPr>
          <w:rFonts w:ascii="Arial" w:hAnsi="Arial" w:eastAsia="Arial"/>
          <w:b w:val="0"/>
          <w:color w:val="000000"/>
          <w:sz w:val="22"/>
        </w:rPr>
        <w:t xml:space="preserve"> to exercise a right. ICF may ask for proportionate information to verify your identity, normally through your verified email address.</w:t>
      </w:r>
    </w:p>
    <w:p>
      <w:pPr>
        <w:widowControl/>
        <w:spacing w:before="0" w:after="140" w:line="276" w:lineRule="auto"/>
      </w:pPr>
      <w:r>
        <w:rPr>
          <w:rFonts w:ascii="Arial" w:hAnsi="Arial" w:eastAsia="Arial"/>
          <w:b w:val="0"/>
          <w:color w:val="000000"/>
          <w:sz w:val="22"/>
        </w:rPr>
        <w:t>You also have the right to lodge a complaint with the Swedish Authority for Privacy Protection (Integritetsskyddsmyndigheten, IMY): https://www.imy.se/en/individuals/data-protection/your-rights-as-a-data-subject/.</w:t>
      </w:r>
    </w:p>
    <w:p>
      <w:pPr>
        <w:pStyle w:val="Heading2"/>
        <w:keepNext/>
        <w:widowControl/>
        <w:spacing w:before="200" w:after="120"/>
      </w:pPr>
      <w:r>
        <w:rPr>
          <w:rFonts w:ascii="Arial" w:hAnsi="Arial" w:eastAsia="Arial"/>
          <w:b/>
          <w:color w:val="000000"/>
          <w:sz w:val="25"/>
        </w:rPr>
        <w:t>Changes to this notice</w:t>
      </w:r>
    </w:p>
    <w:p>
      <w:pPr>
        <w:widowControl/>
        <w:spacing w:before="0" w:after="140" w:line="276" w:lineRule="auto"/>
      </w:pPr>
      <w:r>
        <w:rPr>
          <w:rFonts w:ascii="Arial" w:hAnsi="Arial" w:eastAsia="Arial"/>
          <w:b w:val="0"/>
          <w:color w:val="000000"/>
          <w:sz w:val="22"/>
        </w:rPr>
        <w:t>The system records which version of this notice you accepted. If a material change affects the purposes of the study or how your personal data is used, we will provide the revised notice and, where required, ask for fresh consent before the new processing begins.</w:t>
      </w:r>
    </w:p>
    <w:sectPr>
      <w:headerReference r:id="rId7" w:type="default"/>
      <w:footerReference r:id="rId8" w:type="default"/>
      <w:headerReference w:type="even" r:id="rId6"/>
      <w:footerReference w:type="even" r:id="rId9"/>
      <w:pgSz w:h="15840" w:w="12240" w:orient="portrait"/>
      <w:pgMar w:bottom="1037" w:top="1037" w:left="1238" w:right="1238" w:header="288"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Pr>
        <w:rtl w:val="0"/>
      </w:rPr>
    </w:r>
  </w:p>
  <w:tbl>
    <w:tblPr>
      <w:tblStyle w:val="Table3"/>
      <w:tblW w:w="10080.0" w:type="dxa"/>
      <w:jc w:val="left"/>
      <w:tblInd w:w="-1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640"/>
      <w:gridCol w:w="1440"/>
      <w:tblGridChange w:id="0">
        <w:tblGrid>
          <w:gridCol w:w="8640"/>
          <w:gridCol w:w="1440"/>
        </w:tblGrid>
      </w:tblGridChange>
    </w:tblGrid>
    <w:tr>
      <w:trPr>
        <w:cantSplit w:val="0"/>
        <w:tblHeader w:val="0"/>
      </w:trPr>
      <w:tc>
        <w:tcPr>
          <w:tcMar>
            <w:top w:w="0.0" w:type="dxa"/>
            <w:bottom w:w="0.0" w:type="dxa"/>
          </w:tcMar>
          <w:vAlign w:val="center"/>
        </w:tcPr>
        <w:p w14:paraId="00000019">
          <w:pPr>
            <w:keepNext w:val="0"/>
            <w:widowControl/>
            <w:spacing w:after="0" w:before="0" w:line="240" w:lineRule="auto"/>
            <w:rPr>
              <w:sz w:val="18"/>
              <w:szCs w:val="18"/>
            </w:rPr>
          </w:pPr>
          <w:r>
            <w:rPr>
              <w:rFonts w:ascii="Arial" w:hAnsi="Arial" w:eastAsia="Arial"/>
              <w:color w:val="696969"/>
              <w:sz w:val="17"/>
            </w:rPr>
            <w:t>Musparql  |  participant notice draft</w:t>
          </w:r>
        </w:p>
      </w:tc>
      <w:tc>
        <w:tcPr>
          <w:tcMar>
            <w:top w:w="0.0" w:type="dxa"/>
            <w:bottom w:w="0.0" w:type="dxa"/>
          </w:tcMar>
          <w:vAlign w:val="center"/>
        </w:tcPr>
        <w:p w14:paraId="0000001A">
          <w:pPr>
            <w:spacing w:after="0" w:before="0" w:line="240" w:lineRule="auto"/>
            <w:jc w:val="right"/>
            <w:rPr/>
          </w:pPr>
          <w:r>
            <w:rPr>
              <w:rFonts w:ascii="Arial" w:cs="Arial" w:eastAsia="Arial" w:hAnsi="Arial"/>
              <w:b w:val="0"/>
              <w:bCs w:val="0"/>
              <w:i w:val="0"/>
              <w:iCs w:val="0"/>
              <w:color w:val="5a5a5a"/>
              <w:sz w:val="16"/>
              <w:szCs w:val="16"/>
            </w:rPr>
            <w:fldChar w:fldCharType="begin"/>
            <w:instrText xml:space="preserve">PAGE</w:instrText>
            <w:fldChar w:fldCharType="separate"/>
            <w:fldChar w:fldCharType="end"/>
          </w:r>
          <w:r>
            <w:rPr>
              <w:rtl w:val="0"/>
            </w:rPr>
          </w:r>
        </w:p>
      </w:tc>
    </w:tr>
  </w:tbl>
  <w:p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Pr>
        <w:rtl w:val="0"/>
      </w:r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Pr>
        <w:rtl w:val="0"/>
      </w:rPr>
    </w:r>
  </w:p>
  <w:tbl>
    <w:tblPr>
      <w:tblStyle w:val="Table3"/>
      <w:tblW w:w="10080.0" w:type="dxa"/>
      <w:jc w:val="left"/>
      <w:tblInd w:w="-1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640"/>
      <w:gridCol w:w="1440"/>
      <w:tblGridChange w:id="0">
        <w:tblGrid>
          <w:gridCol w:w="8640"/>
          <w:gridCol w:w="1440"/>
        </w:tblGrid>
      </w:tblGridChange>
    </w:tblGrid>
    <w:tr>
      <w:trPr>
        <w:cantSplit w:val="0"/>
        <w:tblHeader w:val="0"/>
      </w:trPr>
      <w:tc>
        <w:tcPr>
          <w:tcMar>
            <w:top w:w="0.0" w:type="dxa"/>
            <w:bottom w:w="0.0" w:type="dxa"/>
          </w:tcMar>
          <w:vAlign w:val="center"/>
        </w:tcPr>
        <w:p w14:paraId="00000019">
          <w:pPr>
            <w:keepNext w:val="0"/>
            <w:widowControl/>
            <w:spacing w:after="0" w:before="0" w:line="240" w:lineRule="auto"/>
            <w:rPr>
              <w:sz w:val="18"/>
              <w:szCs w:val="18"/>
            </w:rPr>
          </w:pPr>
          <w:r>
            <w:rPr>
              <w:rFonts w:ascii="Arial" w:hAnsi="Arial" w:eastAsia="Arial"/>
              <w:color w:val="696969"/>
              <w:sz w:val="17"/>
            </w:rPr>
            <w:t>Musparql  |  participant notice draft</w:t>
          </w:r>
        </w:p>
      </w:tc>
      <w:tc>
        <w:tcPr>
          <w:tcMar>
            <w:top w:w="0.0" w:type="dxa"/>
            <w:bottom w:w="0.0" w:type="dxa"/>
          </w:tcMar>
          <w:vAlign w:val="center"/>
        </w:tcPr>
        <w:p w14:paraId="0000001A">
          <w:pPr>
            <w:spacing w:after="0" w:before="0" w:line="240" w:lineRule="auto"/>
            <w:jc w:val="right"/>
            <w:rPr/>
          </w:pPr>
          <w:r>
            <w:rPr>
              <w:rFonts w:ascii="Arial" w:cs="Arial" w:eastAsia="Arial" w:hAnsi="Arial"/>
              <w:b w:val="0"/>
              <w:bCs w:val="0"/>
              <w:i w:val="0"/>
              <w:iCs w:val="0"/>
              <w:color w:val="5a5a5a"/>
              <w:sz w:val="16"/>
              <w:szCs w:val="16"/>
            </w:rPr>
            <w:fldChar w:fldCharType="begin"/>
            <w:instrText xml:space="preserve">PAGE</w:instrText>
            <w:fldChar w:fldCharType="separate"/>
            <w:fldChar w:fldCharType="end"/>
          </w:r>
          <w:r>
            <w:rPr>
              <w:rtl w:val="0"/>
            </w:rPr>
          </w:r>
        </w:p>
      </w:tc>
    </w:tr>
  </w:tbl>
  <w:p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evenAndOddHeaders/>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rPr>
      <w:rFonts w:ascii="Arial" w:hAnsi="Arial" w:eastAsia="Arial"/>
      <w:color w:val="191919"/>
      <w:sz w:val="22"/>
    </w:rPr>
  </w:style>
  <w:style w:type="paragraph" w:styleId="Heading1">
    <w:name w:val="heading 1"/>
    <w:basedOn w:val="Normal"/>
    <w:next w:val="Normal"/>
    <w:pPr>
      <w:keepNext w:val="1"/>
      <w:keepLines w:val="1"/>
      <w:spacing w:after="0" w:before="480" w:lineRule="auto"/>
    </w:pPr>
    <w:rPr>
      <w:rFonts w:ascii="Arial" w:cs="Calibri" w:eastAsia="Arial" w:hAnsi="Arial"/>
      <w:b/>
      <w:bCs w:val="1"/>
      <w:color w:val="000000"/>
      <w:sz w:val="34"/>
      <w:szCs w:val="28"/>
    </w:rPr>
  </w:style>
  <w:style w:type="paragraph" w:styleId="Heading2">
    <w:name w:val="heading 2"/>
    <w:basedOn w:val="Normal"/>
    <w:next w:val="Normal"/>
    <w:pPr>
      <w:keepNext w:val="1"/>
      <w:keepLines w:val="1"/>
      <w:spacing w:after="0" w:before="200" w:lineRule="auto"/>
    </w:pPr>
    <w:rPr>
      <w:rFonts w:ascii="Arial" w:cs="Calibri" w:eastAsia="Arial" w:hAnsi="Arial"/>
      <w:b/>
      <w:bCs w:val="1"/>
      <w:color w:val="000000"/>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spacing w:after="300" w:line="240" w:lineRule="auto"/>
    </w:pPr>
    <w:rPr>
      <w:rFonts w:ascii="Arial" w:cs="Calibri" w:eastAsia="Arial" w:hAnsi="Arial"/>
      <w:b/>
      <w:color w:val="000000"/>
      <w:sz w:val="50"/>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7" Type="http://schemas.openxmlformats.org/officeDocument/2006/relationships/header" Target="header1.xml"/><Relationship Id="rId8" Type="http://schemas.openxmlformats.org/officeDocument/2006/relationships/footer" Target="footer1.xml"/><Relationship Id="rId6" Type="http://schemas.openxmlformats.org/officeDocument/2006/relationships/header" Target="header2.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ore.xml><?xml version="1.0" encoding="utf-8"?>
<cp:coreProperties xmlns:cp="http://schemas.openxmlformats.org/package/2006/metadata/core-properties" xmlns:dc="http://purl.org/dc/elements/1.1/" xmlns:dcterms="http://purl.org/dc/terms/" xmlns:xsi="http://www.w3.org/2001/XMLSchema-instance">
  <dc:title>Musparql Participant Information and Privacy Notice</dc:title>
  <cp:lastModifiedBy>python-docx</cp:lastModifiedBy>
  <cp:revision>1</cp:revision>
  <dcterms:modified xsi:type="dcterms:W3CDTF">2026-09-10T01:37:31Z</dcterms:modified>
  <dc:subject>Working draft for review by Industry Commons Foundation</dc:subject>
  <dc:creator>Musparql project</dc:creator>
  <cp:keywords>Musparql, participant notice, privacy, consent, ICF</cp:keywords>
</cp:coreProperties>
</file>