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uthor"/>
        <w:rPr/>
      </w:pPr>
      <w:r>
        <w:rPr/>
        <w:t>Polina Proutskova</w:t>
      </w:r>
      <w:r>
        <w:rPr>
          <w:vertAlign w:val="superscript"/>
        </w:rPr>
        <w:t>*</w:t>
      </w:r>
      <w:r>
        <w:rPr>
          <w:rStyle w:val="ORCID"/>
        </w:rPr>
        <w:t>[0000-0002-7514-2711]</w:t>
      </w:r>
    </w:p>
    <w:p>
      <w:pPr>
        <w:pStyle w:val="address"/>
        <w:rPr/>
      </w:pPr>
      <w:r>
        <w:rPr/>
        <w:t>Industry Commons Foundation</w:t>
      </w:r>
    </w:p>
    <w:p>
      <w:pPr>
        <w:pStyle w:val="address"/>
        <w:spacing w:before="0" w:after="200"/>
        <w:contextualSpacing/>
        <w:rPr/>
      </w:pPr>
      <w:r>
        <w:rPr>
          <w:rStyle w:val="e-mail"/>
        </w:rPr>
        <w:t>proutskova@googlemail.com</w:t>
      </w:r>
    </w:p>
    <w:p>
      <w:pPr>
        <w:pStyle w:val="abstract"/>
        <w:rPr/>
      </w:pPr>
      <w:r>
        <w:rPr>
          <w:b/>
        </w:rPr>
        <w:t>Abstract.</w:t>
      </w:r>
      <w:r>
        <w:rP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offers a practical alternative to both end-to-end manual authorship and uncritical automation. Musparql surrounds human-authored queries with source evidence, execution observations, and provenance, then presents traceable candidate formulations for focused expert review. Evidence from a benchmark of 100 reviewed natural-language/SPARQL pairs drawn from five music-domain knowledge graphs demonstrates that human intervention remains essential where formal graph operations meet domain meaning and communicative intent. Musparql concentrates reviewer attention on these consequential decisions, makes each intervention visible, and preserves the path from source material to the published benchmark. By taking on repetitive evidence assembly, alignment, comparison, and versioning, it streamlines curation while keeping correctness under expert control. The result is a more efficient route to evaluation data that are easier to inspect and more trustworthy to reuse, together with a metadata model that can support comparable workflows beyond the music-domain testbed.</w:t>
      </w:r>
    </w:p>
    <w:p>
      <w:pPr>
        <w:pStyle w:val="keywords"/>
        <w:rPr/>
      </w:pPr>
      <w:r>
        <w:rPr>
          <w:b/>
        </w:rPr>
        <w:t>Keywords:</w:t>
      </w:r>
      <w:r>
        <w:rPr/>
        <w:t xml:space="preserve"> metadata curation; NL-SPARQL; knowledge graph question answering; provenance; human-in-the-loop evaluation; domain knowledge graphs</w:t>
      </w:r>
    </w:p>
    <w:p>
      <w:pPr>
        <w:pStyle w:val="heading11"/>
        <w:numPr>
          <w:ilvl w:val="0"/>
          <w:numId w:val="4"/>
        </w:numPr>
        <w:ind w:hanging="567" w:start="567"/>
        <w:rPr/>
      </w:pPr>
      <w:r>
        <w:rPr/>
        <w:t>Introduction</w:t>
      </w:r>
    </w:p>
    <w:p>
      <w:pPr>
        <w:pStyle w:val="p1a"/>
        <w:rPr/>
      </w:pPr>
      <w:r>
        <w:rPr/>
        <w:t>SPARQL gives precise access to structured knowledge, yet it remains difficult to use for researchers who are specialists in a subject rather than in Semantic Web technologies [1].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[3-5].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sparql and natural language phrases sources were seeded manually</w:t>
      </w:r>
      <w:r>
        <w:rPr>
          <w:rStyle w:val="FootnoteReference"/>
        </w:rPr>
        <w:footnoteReference w:id="2"/>
      </w:r>
      <w:r>
        <w:rPr/>
        <w:t>. From the seeds, the system aligns and packages traceable candidate pairs; the expert determines benchmark membership and canonical wording.</w:t>
      </w:r>
    </w:p>
    <w:p>
      <w:pPr>
        <w:pStyle w:val="Normal"/>
        <w:rPr/>
      </w:pPr>
      <w:r>
        <w:rPr/>
        <w:t xml:space="preserve">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and runbooks are available in the </w:t>
      </w:r>
      <w:hyperlink r:id="rId2">
        <w:r>
          <w:rPr>
            <w:rStyle w:val="Hyperlink"/>
          </w:rPr>
          <w:t>GitHub repository</w:t>
        </w:r>
        <w:r>
          <w:rPr>
            <w:rStyle w:val="Hyperlink"/>
            <w:rStyle w:val="FootnoteReference"/>
          </w:rPr>
          <w:footnoteReference w:id="3"/>
        </w:r>
      </w:hyperlink>
      <w:r>
        <w:rPr/>
        <w:t xml:space="preserve">, and the reviewed v10 benchmark can be downloaded from the </w:t>
      </w:r>
      <w:hyperlink r:id="rId3">
        <w:r>
          <w:rPr>
            <w:rStyle w:val="Hyperlink"/>
          </w:rPr>
          <w:t>benchmark archive</w:t>
        </w:r>
        <w:r>
          <w:rPr>
            <w:rStyle w:val="Hyperlink"/>
            <w:rStyle w:val="FootnoteReference"/>
          </w:rPr>
          <w:footnoteReference w:id="4"/>
        </w:r>
      </w:hyperlink>
      <w:r>
        <w:rPr/>
        <w:t>.</w:t>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ind w:hanging="567" w:start="567"/>
        <w:rPr/>
      </w:pPr>
      <w:r>
        <w:rPr/>
        <w:t>Related Work and Curation Perspective</w:t>
      </w:r>
    </w:p>
    <w:p>
      <w:pPr>
        <w:pStyle w:val="p1a"/>
        <w:rPr/>
      </w:pPr>
      <w:r>
        <w:rPr/>
        <w:t>QALD, LC-QuAD 2.0, and later shared tasks established evaluation collections for natural-language access to linked data [3-5, 7-9]. Surveys and dataset analyses show persistent limitations in coverage, transferability, and generalisability [5, 6].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[10-12]. Competency-question research likewise connects domain requirements to formal queries [13, 14, 18]. Human mediation is especially important in scientific and cultural-heritage graphs, where ontology terms and modelling conventions embody disciplinary choices [15-17, 19-21].</w:t>
      </w:r>
    </w:p>
    <w:p>
      <w:pPr>
        <w:pStyle w:val="Normal"/>
        <w:rPr/>
      </w:pPr>
      <w:r>
        <w:rPr/>
        <w:t>Musparql connects these strands with research-data curation. FAIR, PROV-O, and datasheets for datasets emphasise reusable objects, explicit provenance, and documented creation decisions [22-24].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ind w:hanging="567" w:start="567"/>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ind w:hanging="567" w:start="567"/>
        <w:rPr/>
      </w:pPr>
      <w:r>
        <w:rPr/>
        <w:t>Source and Query Acquisition</w:t>
      </w:r>
    </w:p>
    <w:p>
      <w:pPr>
        <w:pStyle w:val="p1a"/>
        <w:rPr/>
      </w:pPr>
      <w:r>
        <w:rPr/>
        <w:t>The v10 benchmark was seeded with five music knowledge graphs, selected to vary in schema, documentation, access mode, and intended use, from specialised organs building projects, through a large jazz recordings metadata collection to a federation of heterogenous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ind w:hanging="567" w:start="567"/>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LLM model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ind w:hanging="567" w:start="567"/>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b/>
        </w:rPr>
        <w:t>Fig. 2.</w:t>
      </w:r>
      <w:r>
        <w:rPr/>
        <w:t xml:space="preserve"> Comparative-review workbench for jazzontology-0016. The earlier formulation omits the performing band; the current formulation surfaces all salient answer dimensions.</w:t>
      </w:r>
    </w:p>
    <w:p>
      <w:pPr>
        <w:pStyle w:val="heading21"/>
        <w:numPr>
          <w:ilvl w:val="1"/>
          <w:numId w:val="4"/>
        </w:numPr>
        <w:ind w:hanging="567" w:start="567"/>
        <w:rPr/>
      </w:pPr>
      <w:r>
        <w:rPr/>
        <w:t>Stage 4: Publication and Artifact Views</w:t>
      </w:r>
    </w:p>
    <w:p>
      <w:pPr>
        <w:pStyle w:val="p1a"/>
        <w:numPr>
          <w:ilvl w:val="0"/>
          <w:numId w:val="0"/>
        </w:numPr>
        <w:ind w:hanging="0" w:start="0"/>
        <w:rPr/>
      </w:pPr>
      <w:r>
        <w:rP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pPr>
        <w:pStyle w:val="heading21"/>
        <w:numPr>
          <w:ilvl w:val="1"/>
          <w:numId w:val="4"/>
        </w:numPr>
        <w:ind w:hanging="567" w:start="567"/>
        <w:rPr/>
      </w:pPr>
      <w:r>
        <w:rPr/>
        <w:t>Artifact Model and Publication Views</w:t>
      </w:r>
    </w:p>
    <w:p>
      <w:pPr>
        <w:pStyle w:val="p1a"/>
        <w:rPr/>
      </w:pPr>
      <w:r>
        <w:rPr/>
        <w:t>A benchmark item is represented as a chain of related records (Table 1). The model distinguishes what existed before Musparql processing, what the system inferred or observed, and what a reviewer approved.</w:t>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spacing w:before="0" w:after="0"/>
              <w:jc w:val="start"/>
              <w:rPr/>
            </w:pPr>
            <w:r>
              <w:rPr>
                <w:b/>
                <w:sz w:val="16"/>
              </w:rPr>
              <w:t>Layer</w:t>
            </w:r>
          </w:p>
        </w:tc>
        <w:tc>
          <w:tcPr>
            <w:tcW w:w="2306" w:type="dxa"/>
            <w:tcBorders>
              <w:top w:val="single" w:sz="12" w:space="0" w:color="000000"/>
              <w:bottom w:val="single" w:sz="6" w:space="0" w:color="000000"/>
            </w:tcBorders>
            <w:vAlign w:val="center"/>
          </w:tcPr>
          <w:p>
            <w:pPr>
              <w:pStyle w:val="p1a"/>
              <w:spacing w:before="0" w:after="0"/>
              <w:jc w:val="start"/>
              <w:rPr/>
            </w:pPr>
            <w:r>
              <w:rPr>
                <w:b/>
                <w:sz w:val="16"/>
              </w:rPr>
              <w:t>Primary content</w:t>
            </w:r>
          </w:p>
        </w:tc>
        <w:tc>
          <w:tcPr>
            <w:tcW w:w="2306" w:type="dxa"/>
            <w:tcBorders>
              <w:top w:val="single" w:sz="12" w:space="0" w:color="000000"/>
              <w:bottom w:val="single" w:sz="6" w:space="0" w:color="000000"/>
            </w:tcBorders>
            <w:vAlign w:val="center"/>
          </w:tcPr>
          <w:p>
            <w:pPr>
              <w:pStyle w:val="p1a"/>
              <w:spacing w:before="0" w:after="0"/>
              <w:jc w:val="start"/>
              <w:rPr/>
            </w:pPr>
            <w:r>
              <w:rPr>
                <w:b/>
                <w:sz w:val="16"/>
              </w:rPr>
              <w:t>Curation function</w:t>
            </w:r>
          </w:p>
        </w:tc>
      </w:tr>
      <w:tr>
        <w:trPr>
          <w:cantSplit w:val="true"/>
        </w:trPr>
        <w:tc>
          <w:tcPr>
            <w:tcW w:w="2306" w:type="dxa"/>
            <w:tcBorders/>
            <w:vAlign w:val="center"/>
          </w:tcPr>
          <w:p>
            <w:pPr>
              <w:pStyle w:val="p1a"/>
              <w:spacing w:before="0" w:after="0"/>
              <w:jc w:val="start"/>
              <w:rPr/>
            </w:pPr>
            <w:r>
              <w:rPr>
                <w:sz w:val="16"/>
              </w:rPr>
              <w:t>Source and query history</w:t>
            </w:r>
          </w:p>
        </w:tc>
        <w:tc>
          <w:tcPr>
            <w:tcW w:w="2306" w:type="dxa"/>
            <w:tcBorders/>
            <w:vAlign w:val="center"/>
          </w:tcPr>
          <w:p>
            <w:pPr>
              <w:pStyle w:val="p1a"/>
              <w:spacing w:before="0" w:after="0"/>
              <w:jc w:val="start"/>
              <w:rPr/>
            </w:pPr>
            <w:r>
              <w:rPr>
                <w:sz w:val="16"/>
              </w:rPr>
              <w:t>Location, revision, immutable SPARQL v0, append-only corrections</w:t>
            </w:r>
          </w:p>
        </w:tc>
        <w:tc>
          <w:tcPr>
            <w:tcW w:w="2306" w:type="dxa"/>
            <w:tcBorders/>
            <w:vAlign w:val="center"/>
          </w:tcPr>
          <w:p>
            <w:pPr>
              <w:pStyle w:val="p1a"/>
              <w:spacing w:before="0" w:after="0"/>
              <w:jc w:val="start"/>
              <w:rPr/>
            </w:pPr>
            <w:r>
              <w:rPr>
                <w:sz w:val="16"/>
              </w:rPr>
              <w:t>Separates source authorship from operational repair</w:t>
            </w:r>
          </w:p>
        </w:tc>
      </w:tr>
      <w:tr>
        <w:trPr>
          <w:cantSplit w:val="true"/>
        </w:trPr>
        <w:tc>
          <w:tcPr>
            <w:tcW w:w="2306" w:type="dxa"/>
            <w:tcBorders/>
            <w:vAlign w:val="center"/>
          </w:tcPr>
          <w:p>
            <w:pPr>
              <w:pStyle w:val="p1a"/>
              <w:spacing w:before="0" w:after="0"/>
              <w:jc w:val="start"/>
              <w:rPr/>
            </w:pPr>
            <w:r>
              <w:rPr>
                <w:sz w:val="16"/>
              </w:rPr>
              <w:t>Evidence alignment</w:t>
            </w:r>
          </w:p>
        </w:tc>
        <w:tc>
          <w:tcPr>
            <w:tcW w:w="2306" w:type="dxa"/>
            <w:tcBorders/>
            <w:vAlign w:val="center"/>
          </w:tcPr>
          <w:p>
            <w:pPr>
              <w:pStyle w:val="p1a"/>
              <w:spacing w:before="0" w:after="0"/>
              <w:jc w:val="start"/>
              <w:rPr/>
            </w:pPr>
            <w:r>
              <w:rPr>
                <w:sz w:val="16"/>
              </w:rPr>
              <w:t>Ranked phrases, retained text, citations, alignment decision</w:t>
            </w:r>
          </w:p>
        </w:tc>
        <w:tc>
          <w:tcPr>
            <w:tcW w:w="2306" w:type="dxa"/>
            <w:tcBorders/>
            <w:vAlign w:val="center"/>
          </w:tcPr>
          <w:p>
            <w:pPr>
              <w:pStyle w:val="p1a"/>
              <w:spacing w:before="0" w:after="0"/>
              <w:jc w:val="start"/>
              <w:rPr/>
            </w:pPr>
            <w:r>
              <w:rPr>
                <w:sz w:val="16"/>
              </w:rPr>
              <w:t>Makes query-specific grounding inspectable</w:t>
            </w:r>
          </w:p>
        </w:tc>
      </w:tr>
      <w:tr>
        <w:trPr>
          <w:cantSplit w:val="true"/>
        </w:trPr>
        <w:tc>
          <w:tcPr>
            <w:tcW w:w="2306" w:type="dxa"/>
            <w:tcBorders/>
            <w:vAlign w:val="center"/>
          </w:tcPr>
          <w:p>
            <w:pPr>
              <w:pStyle w:val="p1a"/>
              <w:spacing w:before="0" w:after="0"/>
              <w:jc w:val="start"/>
              <w:rPr/>
            </w:pPr>
            <w:r>
              <w:rPr>
                <w:sz w:val="16"/>
              </w:rPr>
              <w:t>Candidate and generation</w:t>
            </w:r>
          </w:p>
        </w:tc>
        <w:tc>
          <w:tcPr>
            <w:tcW w:w="2306" w:type="dxa"/>
            <w:tcBorders/>
            <w:vAlign w:val="center"/>
          </w:tcPr>
          <w:p>
            <w:pPr>
              <w:pStyle w:val="p1a"/>
              <w:spacing w:before="0" w:after="0"/>
              <w:jc w:val="start"/>
              <w:rPr/>
            </w:pPr>
            <w:r>
              <w:rPr>
                <w:sz w:val="16"/>
              </w:rPr>
              <w:t>Selected query, proposed wording, prompt, model, rationale</w:t>
            </w:r>
          </w:p>
        </w:tc>
        <w:tc>
          <w:tcPr>
            <w:tcW w:w="2306" w:type="dxa"/>
            <w:tcBorders/>
            <w:vAlign w:val="center"/>
          </w:tcPr>
          <w:p>
            <w:pPr>
              <w:pStyle w:val="p1a"/>
              <w:spacing w:before="0" w:after="0"/>
              <w:jc w:val="start"/>
              <w:rPr/>
            </w:pPr>
            <w:r>
              <w:rPr>
                <w:sz w:val="16"/>
              </w:rPr>
              <w:t>Keeps machine proposals provisional</w:t>
            </w:r>
          </w:p>
        </w:tc>
      </w:tr>
      <w:tr>
        <w:trPr>
          <w:cantSplit w:val="true"/>
        </w:trPr>
        <w:tc>
          <w:tcPr>
            <w:tcW w:w="2306" w:type="dxa"/>
            <w:tcBorders/>
            <w:vAlign w:val="center"/>
          </w:tcPr>
          <w:p>
            <w:pPr>
              <w:pStyle w:val="p1a"/>
              <w:spacing w:before="0" w:after="0"/>
              <w:jc w:val="start"/>
              <w:rPr/>
            </w:pPr>
            <w:r>
              <w:rPr>
                <w:sz w:val="16"/>
              </w:rPr>
              <w:t>Execution</w:t>
            </w:r>
          </w:p>
        </w:tc>
        <w:tc>
          <w:tcPr>
            <w:tcW w:w="2306" w:type="dxa"/>
            <w:tcBorders/>
            <w:vAlign w:val="center"/>
          </w:tcPr>
          <w:p>
            <w:pPr>
              <w:pStyle w:val="p1a"/>
              <w:spacing w:before="0" w:after="0"/>
              <w:jc w:val="start"/>
              <w:rPr/>
            </w:pPr>
            <w:r>
              <w:rPr>
                <w:sz w:val="16"/>
              </w:rPr>
              <w:t>Dated status, count, error, query hash</w:t>
            </w:r>
          </w:p>
        </w:tc>
        <w:tc>
          <w:tcPr>
            <w:tcW w:w="2306" w:type="dxa"/>
            <w:tcBorders/>
            <w:vAlign w:val="center"/>
          </w:tcPr>
          <w:p>
            <w:pPr>
              <w:pStyle w:val="p1a"/>
              <w:spacing w:before="0" w:after="0"/>
              <w:jc w:val="start"/>
              <w:rPr/>
            </w:pPr>
            <w:r>
              <w:rPr>
                <w:sz w:val="16"/>
              </w:rPr>
              <w:t>Records infrastructure behaviour as observation</w:t>
            </w:r>
          </w:p>
        </w:tc>
      </w:tr>
      <w:tr>
        <w:trPr>
          <w:cantSplit w:val="true"/>
        </w:trPr>
        <w:tc>
          <w:tcPr>
            <w:tcW w:w="2306" w:type="dxa"/>
            <w:tcBorders/>
            <w:vAlign w:val="center"/>
          </w:tcPr>
          <w:p>
            <w:pPr>
              <w:pStyle w:val="p1a"/>
              <w:spacing w:before="0" w:after="0"/>
              <w:jc w:val="start"/>
              <w:rPr/>
            </w:pPr>
            <w:r>
              <w:rPr>
                <w:sz w:val="16"/>
              </w:rPr>
              <w:t>Review</w:t>
            </w:r>
          </w:p>
        </w:tc>
        <w:tc>
          <w:tcPr>
            <w:tcW w:w="2306" w:type="dxa"/>
            <w:tcBorders/>
            <w:vAlign w:val="center"/>
          </w:tcPr>
          <w:p>
            <w:pPr>
              <w:pStyle w:val="p1a"/>
              <w:spacing w:before="0" w:after="0"/>
              <w:jc w:val="start"/>
              <w:rPr/>
            </w:pPr>
            <w:r>
              <w:rPr>
                <w:sz w:val="16"/>
              </w:rPr>
              <w:t>Retain/rewrite/dismiss, notes, alternatives</w:t>
            </w:r>
          </w:p>
        </w:tc>
        <w:tc>
          <w:tcPr>
            <w:tcW w:w="2306" w:type="dxa"/>
            <w:tcBorders/>
            <w:vAlign w:val="center"/>
          </w:tcPr>
          <w:p>
            <w:pPr>
              <w:pStyle w:val="p1a"/>
              <w:spacing w:before="0" w:after="0"/>
              <w:jc w:val="star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spacing w:before="0" w:after="0"/>
              <w:jc w:val="start"/>
              <w:rPr/>
            </w:pPr>
            <w:r>
              <w:rPr>
                <w:sz w:val="16"/>
              </w:rPr>
              <w:t>Publication</w:t>
            </w:r>
          </w:p>
        </w:tc>
        <w:tc>
          <w:tcPr>
            <w:tcW w:w="2306" w:type="dxa"/>
            <w:tcBorders>
              <w:bottom w:val="single" w:sz="12" w:space="0" w:color="000000"/>
            </w:tcBorders>
            <w:vAlign w:val="center"/>
          </w:tcPr>
          <w:p>
            <w:pPr>
              <w:pStyle w:val="p1a"/>
              <w:spacing w:before="0" w:after="0"/>
              <w:jc w:val="start"/>
              <w:rPr/>
            </w:pPr>
            <w:r>
              <w:rPr>
                <w:sz w:val="16"/>
              </w:rPr>
              <w:t>Canonical question, selected SPARQL, release metadata</w:t>
            </w:r>
          </w:p>
        </w:tc>
        <w:tc>
          <w:tcPr>
            <w:tcW w:w="2306" w:type="dxa"/>
            <w:tcBorders>
              <w:bottom w:val="single" w:sz="12" w:space="0" w:color="000000"/>
            </w:tcBorders>
            <w:vAlign w:val="center"/>
          </w:tcPr>
          <w:p>
            <w:pPr>
              <w:pStyle w:val="p1a"/>
              <w:spacing w:before="0" w:after="0"/>
              <w:jc w:val="start"/>
              <w:rPr/>
            </w:pPr>
            <w:r>
              <w:rPr>
                <w:sz w:val="16"/>
              </w:rPr>
              <w:t>Provides a stable scoring view</w:t>
            </w:r>
          </w:p>
        </w:tc>
      </w:tr>
    </w:tbl>
    <w:p>
      <w:pPr>
        <w:pStyle w:val="p1a"/>
        <w:rPr/>
      </w:pPr>
      <w:r>
        <w:rPr/>
      </w:r>
    </w:p>
    <w:p>
      <w:pPr>
        <w:pStyle w:val="p1a"/>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ind w:hanging="567" w:start="567"/>
        <w:rPr/>
      </w:pPr>
      <w:r>
        <w:rPr/>
        <w:t>Curation Audit of the v10 Snapshot</w:t>
      </w:r>
    </w:p>
    <w:p>
      <w:pPr>
        <w:pStyle w:val="heading21"/>
        <w:numPr>
          <w:ilvl w:val="1"/>
          <w:numId w:val="4"/>
        </w:numPr>
        <w:ind w:hanging="567" w:start="567"/>
        <w:rPr/>
      </w:pPr>
      <w:r>
        <w:rPr/>
        <w:t>Corpus and Formulation Origins</w:t>
      </w:r>
    </w:p>
    <w:p>
      <w:pPr>
        <w:pStyle w:val="p1a"/>
        <w:rPr/>
      </w:pPr>
      <w:r>
        <w:rPr/>
        <w:t>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[19]; Organs represents instruments, components, locations, and builders [16]; DTL1000 draws on the Jazz Ontology [20]; MusOW surveys music resources on the Web [21]; and LinkedMusic integrates heterogeneous music repositories [15] (Table 2).</w:t>
      </w:r>
    </w:p>
    <w:p>
      <w:pPr>
        <w:pStyle w:val="tablecaption"/>
        <w:rPr/>
      </w:pPr>
      <w:r>
        <w:rPr>
          <w:b/>
        </w:rPr>
        <w:t>Table 2.</w:t>
      </w:r>
      <w:r>
        <w:rPr/>
        <w:t xml:space="preserve"> Benchmark coverage and origin of the initial natural-language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Knowledge graph</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Pairs</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Source-grounded</w:t>
            </w:r>
          </w:p>
        </w:tc>
        <w:tc>
          <w:tcPr>
            <w:tcW w:w="1730" w:type="dxa"/>
            <w:tcBorders>
              <w:top w:val="single" w:sz="12" w:space="0" w:color="000000"/>
              <w:bottom w:val="single" w:sz="6" w:space="0" w:color="000000"/>
            </w:tcBorders>
            <w:vAlign w:val="center"/>
          </w:tcPr>
          <w:p>
            <w:pPr>
              <w:pStyle w:val="p1a"/>
              <w:spacing w:before="0" w:after="0"/>
              <w:jc w:val="start"/>
              <w:rPr/>
            </w:pPr>
            <w:r>
              <w:rPr>
                <w:b/>
                <w:sz w:val="16"/>
              </w:rPr>
              <w:t>Generated</w:t>
            </w:r>
          </w:p>
        </w:tc>
      </w:tr>
      <w:tr>
        <w:trPr>
          <w:cantSplit w:val="true"/>
        </w:trPr>
        <w:tc>
          <w:tcPr>
            <w:tcW w:w="1729" w:type="dxa"/>
            <w:tcBorders/>
            <w:vAlign w:val="center"/>
          </w:tcPr>
          <w:p>
            <w:pPr>
              <w:pStyle w:val="p1a"/>
              <w:spacing w:before="0" w:after="0"/>
              <w:jc w:val="start"/>
              <w:rPr/>
            </w:pPr>
            <w:r>
              <w:rPr>
                <w:sz w:val="16"/>
              </w:rPr>
              <w:t>Musical Meetups</w:t>
            </w:r>
          </w:p>
        </w:tc>
        <w:tc>
          <w:tcPr>
            <w:tcW w:w="1729" w:type="dxa"/>
            <w:tcBorders/>
            <w:vAlign w:val="center"/>
          </w:tcPr>
          <w:p>
            <w:pPr>
              <w:pStyle w:val="p1a"/>
              <w:spacing w:before="0" w:after="0"/>
              <w:jc w:val="start"/>
              <w:rPr/>
            </w:pPr>
            <w:r>
              <w:rPr>
                <w:sz w:val="16"/>
              </w:rPr>
              <w:t>30</w:t>
            </w:r>
          </w:p>
        </w:tc>
        <w:tc>
          <w:tcPr>
            <w:tcW w:w="1729" w:type="dxa"/>
            <w:tcBorders/>
            <w:vAlign w:val="center"/>
          </w:tcPr>
          <w:p>
            <w:pPr>
              <w:pStyle w:val="p1a"/>
              <w:spacing w:before="0" w:after="0"/>
              <w:jc w:val="start"/>
              <w:rPr/>
            </w:pPr>
            <w:r>
              <w:rPr>
                <w:sz w:val="16"/>
              </w:rPr>
              <w:t>20</w:t>
            </w:r>
          </w:p>
        </w:tc>
        <w:tc>
          <w:tcPr>
            <w:tcW w:w="1730" w:type="dxa"/>
            <w:tcBorders/>
            <w:vAlign w:val="center"/>
          </w:tcPr>
          <w:p>
            <w:pPr>
              <w:pStyle w:val="p1a"/>
              <w:spacing w:before="0" w:after="0"/>
              <w:jc w:val="start"/>
              <w:rPr/>
            </w:pPr>
            <w:r>
              <w:rPr>
                <w:sz w:val="16"/>
              </w:rPr>
              <w:t>10</w:t>
            </w:r>
          </w:p>
        </w:tc>
      </w:tr>
      <w:tr>
        <w:trPr>
          <w:cantSplit w:val="true"/>
        </w:trPr>
        <w:tc>
          <w:tcPr>
            <w:tcW w:w="1729" w:type="dxa"/>
            <w:tcBorders/>
            <w:vAlign w:val="center"/>
          </w:tcPr>
          <w:p>
            <w:pPr>
              <w:pStyle w:val="p1a"/>
              <w:spacing w:before="0" w:after="0"/>
              <w:jc w:val="start"/>
              <w:rPr/>
            </w:pPr>
            <w:r>
              <w:rPr>
                <w:sz w:val="16"/>
              </w:rPr>
              <w:t>100 Years of Jazz (DTL1000)</w:t>
            </w:r>
          </w:p>
        </w:tc>
        <w:tc>
          <w:tcPr>
            <w:tcW w:w="1729" w:type="dxa"/>
            <w:tcBorders/>
            <w:vAlign w:val="center"/>
          </w:tcPr>
          <w:p>
            <w:pPr>
              <w:pStyle w:val="p1a"/>
              <w:spacing w:before="0" w:after="0"/>
              <w:jc w:val="start"/>
              <w:rPr/>
            </w:pPr>
            <w:r>
              <w:rPr>
                <w:sz w:val="16"/>
              </w:rPr>
              <w:t>20</w:t>
            </w:r>
          </w:p>
        </w:tc>
        <w:tc>
          <w:tcPr>
            <w:tcW w:w="1729" w:type="dxa"/>
            <w:tcBorders/>
            <w:vAlign w:val="center"/>
          </w:tcPr>
          <w:p>
            <w:pPr>
              <w:pStyle w:val="p1a"/>
              <w:spacing w:before="0" w:after="0"/>
              <w:jc w:val="start"/>
              <w:rPr/>
            </w:pPr>
            <w:r>
              <w:rPr>
                <w:sz w:val="16"/>
              </w:rPr>
              <w:t>9</w:t>
            </w:r>
          </w:p>
        </w:tc>
        <w:tc>
          <w:tcPr>
            <w:tcW w:w="1730" w:type="dxa"/>
            <w:tcBorders/>
            <w:vAlign w:val="center"/>
          </w:tcPr>
          <w:p>
            <w:pPr>
              <w:pStyle w:val="p1a"/>
              <w:spacing w:before="0" w:after="0"/>
              <w:jc w:val="start"/>
              <w:rPr/>
            </w:pPr>
            <w:r>
              <w:rPr>
                <w:sz w:val="16"/>
              </w:rPr>
              <w:t>11</w:t>
            </w:r>
          </w:p>
        </w:tc>
      </w:tr>
      <w:tr>
        <w:trPr>
          <w:cantSplit w:val="true"/>
        </w:trPr>
        <w:tc>
          <w:tcPr>
            <w:tcW w:w="1729" w:type="dxa"/>
            <w:tcBorders/>
            <w:vAlign w:val="center"/>
          </w:tcPr>
          <w:p>
            <w:pPr>
              <w:pStyle w:val="p1a"/>
              <w:spacing w:before="0" w:after="0"/>
              <w:jc w:val="start"/>
              <w:rPr/>
            </w:pPr>
            <w:r>
              <w:rPr>
                <w:sz w:val="16"/>
              </w:rPr>
              <w:t>Music On the Web (MusOW)</w:t>
            </w:r>
          </w:p>
        </w:tc>
        <w:tc>
          <w:tcPr>
            <w:tcW w:w="1729" w:type="dxa"/>
            <w:tcBorders/>
            <w:vAlign w:val="center"/>
          </w:tcPr>
          <w:p>
            <w:pPr>
              <w:pStyle w:val="p1a"/>
              <w:spacing w:before="0" w:after="0"/>
              <w:jc w:val="start"/>
              <w:rPr/>
            </w:pPr>
            <w:r>
              <w:rPr>
                <w:sz w:val="16"/>
              </w:rPr>
              <w:t>20</w:t>
            </w:r>
          </w:p>
        </w:tc>
        <w:tc>
          <w:tcPr>
            <w:tcW w:w="1729" w:type="dxa"/>
            <w:tcBorders/>
            <w:vAlign w:val="center"/>
          </w:tcPr>
          <w:p>
            <w:pPr>
              <w:pStyle w:val="p1a"/>
              <w:spacing w:before="0" w:after="0"/>
              <w:jc w:val="start"/>
              <w:rPr/>
            </w:pPr>
            <w:r>
              <w:rPr>
                <w:sz w:val="16"/>
              </w:rPr>
              <w:t>18</w:t>
            </w:r>
          </w:p>
        </w:tc>
        <w:tc>
          <w:tcPr>
            <w:tcW w:w="1730" w:type="dxa"/>
            <w:tcBorders/>
            <w:vAlign w:val="center"/>
          </w:tcPr>
          <w:p>
            <w:pPr>
              <w:pStyle w:val="p1a"/>
              <w:spacing w:before="0" w:after="0"/>
              <w:jc w:val="start"/>
              <w:rPr/>
            </w:pPr>
            <w:r>
              <w:rPr>
                <w:sz w:val="16"/>
              </w:rPr>
              <w:t>2</w:t>
            </w:r>
          </w:p>
        </w:tc>
      </w:tr>
      <w:tr>
        <w:trPr>
          <w:cantSplit w:val="true"/>
        </w:trPr>
        <w:tc>
          <w:tcPr>
            <w:tcW w:w="1729" w:type="dxa"/>
            <w:tcBorders/>
            <w:vAlign w:val="center"/>
          </w:tcPr>
          <w:p>
            <w:pPr>
              <w:pStyle w:val="p1a"/>
              <w:spacing w:before="0" w:after="0"/>
              <w:jc w:val="start"/>
              <w:rPr/>
            </w:pPr>
            <w:r>
              <w:rPr>
                <w:sz w:val="16"/>
              </w:rPr>
              <w:t>LinkedMusic</w:t>
            </w:r>
          </w:p>
        </w:tc>
        <w:tc>
          <w:tcPr>
            <w:tcW w:w="1729" w:type="dxa"/>
            <w:tcBorders/>
            <w:vAlign w:val="center"/>
          </w:tcPr>
          <w:p>
            <w:pPr>
              <w:pStyle w:val="p1a"/>
              <w:spacing w:before="0" w:after="0"/>
              <w:jc w:val="start"/>
              <w:rPr/>
            </w:pPr>
            <w:r>
              <w:rPr>
                <w:sz w:val="16"/>
              </w:rPr>
              <w:t>21</w:t>
            </w:r>
          </w:p>
        </w:tc>
        <w:tc>
          <w:tcPr>
            <w:tcW w:w="1729" w:type="dxa"/>
            <w:tcBorders/>
            <w:vAlign w:val="center"/>
          </w:tcPr>
          <w:p>
            <w:pPr>
              <w:pStyle w:val="p1a"/>
              <w:spacing w:before="0" w:after="0"/>
              <w:jc w:val="start"/>
              <w:rPr/>
            </w:pPr>
            <w:r>
              <w:rPr>
                <w:sz w:val="16"/>
              </w:rPr>
              <w:t>20</w:t>
            </w:r>
          </w:p>
        </w:tc>
        <w:tc>
          <w:tcPr>
            <w:tcW w:w="1730" w:type="dxa"/>
            <w:tcBorders/>
            <w:vAlign w:val="center"/>
          </w:tcPr>
          <w:p>
            <w:pPr>
              <w:pStyle w:val="p1a"/>
              <w:spacing w:before="0" w:after="0"/>
              <w:jc w:val="start"/>
              <w:rPr/>
            </w:pPr>
            <w:r>
              <w:rPr>
                <w:sz w:val="16"/>
              </w:rPr>
              <w:t>1</w:t>
            </w:r>
          </w:p>
        </w:tc>
      </w:tr>
      <w:tr>
        <w:trPr>
          <w:cantSplit w:val="true"/>
        </w:trPr>
        <w:tc>
          <w:tcPr>
            <w:tcW w:w="1729" w:type="dxa"/>
            <w:tcBorders/>
            <w:vAlign w:val="center"/>
          </w:tcPr>
          <w:p>
            <w:pPr>
              <w:pStyle w:val="p1a"/>
              <w:spacing w:before="0" w:after="0"/>
              <w:jc w:val="start"/>
              <w:rPr/>
            </w:pPr>
            <w:r>
              <w:rPr>
                <w:sz w:val="16"/>
              </w:rPr>
              <w:t>Organs</w:t>
            </w:r>
          </w:p>
        </w:tc>
        <w:tc>
          <w:tcPr>
            <w:tcW w:w="1729" w:type="dxa"/>
            <w:tcBorders/>
            <w:vAlign w:val="center"/>
          </w:tcPr>
          <w:p>
            <w:pPr>
              <w:pStyle w:val="p1a"/>
              <w:spacing w:before="0" w:after="0"/>
              <w:jc w:val="start"/>
              <w:rPr/>
            </w:pPr>
            <w:r>
              <w:rPr>
                <w:sz w:val="16"/>
              </w:rPr>
              <w:t>9</w:t>
            </w:r>
          </w:p>
        </w:tc>
        <w:tc>
          <w:tcPr>
            <w:tcW w:w="1729" w:type="dxa"/>
            <w:tcBorders/>
            <w:vAlign w:val="center"/>
          </w:tcPr>
          <w:p>
            <w:pPr>
              <w:pStyle w:val="p1a"/>
              <w:spacing w:before="0" w:after="0"/>
              <w:jc w:val="start"/>
              <w:rPr/>
            </w:pPr>
            <w:r>
              <w:rPr>
                <w:sz w:val="16"/>
              </w:rPr>
              <w:t>4</w:t>
            </w:r>
          </w:p>
        </w:tc>
        <w:tc>
          <w:tcPr>
            <w:tcW w:w="1730" w:type="dxa"/>
            <w:tcBorders/>
            <w:vAlign w:val="center"/>
          </w:tcPr>
          <w:p>
            <w:pPr>
              <w:pStyle w:val="p1a"/>
              <w:spacing w:before="0" w:after="0"/>
              <w:jc w:val="start"/>
              <w:rPr/>
            </w:pPr>
            <w:r>
              <w:rPr>
                <w:sz w:val="16"/>
              </w:rPr>
              <w:t>5</w:t>
            </w:r>
          </w:p>
        </w:tc>
      </w:tr>
      <w:tr>
        <w:trPr>
          <w:cantSplit w:val="true"/>
        </w:trPr>
        <w:tc>
          <w:tcPr>
            <w:tcW w:w="1729" w:type="dxa"/>
            <w:tcBorders>
              <w:bottom w:val="single" w:sz="12" w:space="0" w:color="000000"/>
            </w:tcBorders>
            <w:vAlign w:val="center"/>
          </w:tcPr>
          <w:p>
            <w:pPr>
              <w:pStyle w:val="p1a"/>
              <w:spacing w:before="0" w:after="0"/>
              <w:jc w:val="start"/>
              <w:rPr/>
            </w:pPr>
            <w:r>
              <w:rPr>
                <w:sz w:val="16"/>
              </w:rPr>
              <w:t>Total</w:t>
            </w:r>
          </w:p>
        </w:tc>
        <w:tc>
          <w:tcPr>
            <w:tcW w:w="1729" w:type="dxa"/>
            <w:tcBorders>
              <w:bottom w:val="single" w:sz="12" w:space="0" w:color="000000"/>
            </w:tcBorders>
            <w:vAlign w:val="center"/>
          </w:tcPr>
          <w:p>
            <w:pPr>
              <w:pStyle w:val="p1a"/>
              <w:spacing w:before="0" w:after="0"/>
              <w:jc w:val="start"/>
              <w:rPr/>
            </w:pPr>
            <w:r>
              <w:rPr>
                <w:sz w:val="16"/>
              </w:rPr>
              <w:t>100</w:t>
            </w:r>
          </w:p>
        </w:tc>
        <w:tc>
          <w:tcPr>
            <w:tcW w:w="1729" w:type="dxa"/>
            <w:tcBorders>
              <w:bottom w:val="single" w:sz="12" w:space="0" w:color="000000"/>
            </w:tcBorders>
            <w:vAlign w:val="center"/>
          </w:tcPr>
          <w:p>
            <w:pPr>
              <w:pStyle w:val="p1a"/>
              <w:spacing w:before="0" w:after="0"/>
              <w:jc w:val="start"/>
              <w:rPr/>
            </w:pPr>
            <w:r>
              <w:rPr>
                <w:sz w:val="16"/>
              </w:rPr>
              <w:t>71</w:t>
            </w:r>
          </w:p>
        </w:tc>
        <w:tc>
          <w:tcPr>
            <w:tcW w:w="1730" w:type="dxa"/>
            <w:tcBorders>
              <w:bottom w:val="single" w:sz="12" w:space="0" w:color="000000"/>
            </w:tcBorders>
            <w:vAlign w:val="center"/>
          </w:tcPr>
          <w:p>
            <w:pPr>
              <w:pStyle w:val="p1a"/>
              <w:spacing w:before="0" w:after="0"/>
              <w:jc w:val="start"/>
              <w:rPr/>
            </w:pPr>
            <w:r>
              <w:rPr>
                <w:sz w:val="16"/>
              </w:rPr>
              <w:t>29</w:t>
            </w:r>
          </w:p>
        </w:tc>
      </w:tr>
    </w:tbl>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heading21"/>
        <w:numPr>
          <w:ilvl w:val="1"/>
          <w:numId w:val="4"/>
        </w:numPr>
        <w:ind w:hanging="567" w:start="567"/>
        <w:rPr/>
      </w:pPr>
      <w:r>
        <w:rPr/>
        <w:t>Effect of Expert Review</w:t>
      </w:r>
    </w:p>
    <w:p>
      <w:pPr>
        <w:pStyle w:val="p1a"/>
        <w:rPr/>
      </w:pPr>
      <w:r>
        <w:rP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b/>
        </w:rPr>
        <w:t>Table 3.</w:t>
      </w:r>
      <w:r>
        <w:rPr/>
        <w:t xml:space="preserve"> Effect of expert review on the initial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Initial candidate</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Retained</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Reviewer rewrite</w:t>
            </w:r>
          </w:p>
        </w:tc>
        <w:tc>
          <w:tcPr>
            <w:tcW w:w="1730" w:type="dxa"/>
            <w:tcBorders>
              <w:top w:val="single" w:sz="12" w:space="0" w:color="000000"/>
              <w:bottom w:val="single" w:sz="6" w:space="0" w:color="000000"/>
            </w:tcBorders>
            <w:vAlign w:val="center"/>
          </w:tcPr>
          <w:p>
            <w:pPr>
              <w:pStyle w:val="p1a"/>
              <w:spacing w:before="0" w:after="0"/>
              <w:jc w:val="start"/>
              <w:rPr/>
            </w:pPr>
            <w:r>
              <w:rPr>
                <w:b/>
                <w:sz w:val="16"/>
              </w:rPr>
              <w:t>Total</w:t>
            </w:r>
          </w:p>
        </w:tc>
      </w:tr>
      <w:tr>
        <w:trPr>
          <w:cantSplit w:val="true"/>
        </w:trPr>
        <w:tc>
          <w:tcPr>
            <w:tcW w:w="1729" w:type="dxa"/>
            <w:tcBorders/>
            <w:vAlign w:val="center"/>
          </w:tcPr>
          <w:p>
            <w:pPr>
              <w:pStyle w:val="p1a"/>
              <w:spacing w:before="0" w:after="0"/>
              <w:jc w:val="start"/>
              <w:rPr/>
            </w:pPr>
            <w:r>
              <w:rPr>
                <w:sz w:val="16"/>
              </w:rPr>
              <w:t>Direct source wording</w:t>
            </w:r>
          </w:p>
        </w:tc>
        <w:tc>
          <w:tcPr>
            <w:tcW w:w="1729" w:type="dxa"/>
            <w:tcBorders/>
            <w:vAlign w:val="center"/>
          </w:tcPr>
          <w:p>
            <w:pPr>
              <w:pStyle w:val="p1a"/>
              <w:spacing w:before="0" w:after="0"/>
              <w:jc w:val="start"/>
              <w:rPr/>
            </w:pPr>
            <w:r>
              <w:rPr>
                <w:sz w:val="16"/>
              </w:rPr>
              <w:t>25</w:t>
            </w:r>
          </w:p>
        </w:tc>
        <w:tc>
          <w:tcPr>
            <w:tcW w:w="1729" w:type="dxa"/>
            <w:tcBorders/>
            <w:vAlign w:val="center"/>
          </w:tcPr>
          <w:p>
            <w:pPr>
              <w:pStyle w:val="p1a"/>
              <w:spacing w:before="0" w:after="0"/>
              <w:jc w:val="start"/>
              <w:rPr/>
            </w:pPr>
            <w:r>
              <w:rPr>
                <w:sz w:val="16"/>
              </w:rPr>
              <w:t>3</w:t>
            </w:r>
          </w:p>
        </w:tc>
        <w:tc>
          <w:tcPr>
            <w:tcW w:w="1730" w:type="dxa"/>
            <w:tcBorders/>
            <w:vAlign w:val="center"/>
          </w:tcPr>
          <w:p>
            <w:pPr>
              <w:pStyle w:val="p1a"/>
              <w:spacing w:before="0" w:after="0"/>
              <w:jc w:val="start"/>
              <w:rPr/>
            </w:pPr>
            <w:r>
              <w:rPr>
                <w:sz w:val="16"/>
              </w:rPr>
              <w:t>28</w:t>
            </w:r>
          </w:p>
        </w:tc>
      </w:tr>
      <w:tr>
        <w:trPr>
          <w:cantSplit w:val="true"/>
        </w:trPr>
        <w:tc>
          <w:tcPr>
            <w:tcW w:w="1729" w:type="dxa"/>
            <w:tcBorders/>
            <w:vAlign w:val="center"/>
          </w:tcPr>
          <w:p>
            <w:pPr>
              <w:pStyle w:val="p1a"/>
              <w:spacing w:before="0" w:after="0"/>
              <w:jc w:val="start"/>
              <w:rPr/>
            </w:pPr>
            <w:r>
              <w:rPr>
                <w:sz w:val="16"/>
              </w:rPr>
              <w:t>Source-based paraphrase</w:t>
            </w:r>
          </w:p>
        </w:tc>
        <w:tc>
          <w:tcPr>
            <w:tcW w:w="1729" w:type="dxa"/>
            <w:tcBorders/>
            <w:vAlign w:val="center"/>
          </w:tcPr>
          <w:p>
            <w:pPr>
              <w:pStyle w:val="p1a"/>
              <w:spacing w:before="0" w:after="0"/>
              <w:jc w:val="start"/>
              <w:rPr/>
            </w:pPr>
            <w:r>
              <w:rPr>
                <w:sz w:val="16"/>
              </w:rPr>
              <w:t>18</w:t>
            </w:r>
          </w:p>
        </w:tc>
        <w:tc>
          <w:tcPr>
            <w:tcW w:w="1729" w:type="dxa"/>
            <w:tcBorders/>
            <w:vAlign w:val="center"/>
          </w:tcPr>
          <w:p>
            <w:pPr>
              <w:pStyle w:val="p1a"/>
              <w:spacing w:before="0" w:after="0"/>
              <w:jc w:val="start"/>
              <w:rPr/>
            </w:pPr>
            <w:r>
              <w:rPr>
                <w:sz w:val="16"/>
              </w:rPr>
              <w:t>25</w:t>
            </w:r>
          </w:p>
        </w:tc>
        <w:tc>
          <w:tcPr>
            <w:tcW w:w="1730" w:type="dxa"/>
            <w:tcBorders/>
            <w:vAlign w:val="center"/>
          </w:tcPr>
          <w:p>
            <w:pPr>
              <w:pStyle w:val="p1a"/>
              <w:spacing w:before="0" w:after="0"/>
              <w:jc w:val="start"/>
              <w:rPr/>
            </w:pPr>
            <w:r>
              <w:rPr>
                <w:sz w:val="16"/>
              </w:rPr>
              <w:t>43</w:t>
            </w:r>
          </w:p>
        </w:tc>
      </w:tr>
      <w:tr>
        <w:trPr>
          <w:cantSplit w:val="true"/>
        </w:trPr>
        <w:tc>
          <w:tcPr>
            <w:tcW w:w="1729" w:type="dxa"/>
            <w:tcBorders/>
            <w:vAlign w:val="center"/>
          </w:tcPr>
          <w:p>
            <w:pPr>
              <w:pStyle w:val="p1a"/>
              <w:spacing w:before="0" w:after="0"/>
              <w:jc w:val="start"/>
              <w:rPr/>
            </w:pPr>
            <w:r>
              <w:rPr>
                <w:sz w:val="16"/>
              </w:rPr>
              <w:t>Generated</w:t>
            </w:r>
          </w:p>
        </w:tc>
        <w:tc>
          <w:tcPr>
            <w:tcW w:w="1729" w:type="dxa"/>
            <w:tcBorders/>
            <w:vAlign w:val="center"/>
          </w:tcPr>
          <w:p>
            <w:pPr>
              <w:pStyle w:val="p1a"/>
              <w:spacing w:before="0" w:after="0"/>
              <w:jc w:val="start"/>
              <w:rPr/>
            </w:pPr>
            <w:r>
              <w:rPr>
                <w:sz w:val="16"/>
              </w:rPr>
              <w:t>9</w:t>
            </w:r>
          </w:p>
        </w:tc>
        <w:tc>
          <w:tcPr>
            <w:tcW w:w="1729" w:type="dxa"/>
            <w:tcBorders/>
            <w:vAlign w:val="center"/>
          </w:tcPr>
          <w:p>
            <w:pPr>
              <w:pStyle w:val="p1a"/>
              <w:spacing w:before="0" w:after="0"/>
              <w:jc w:val="start"/>
              <w:rPr/>
            </w:pPr>
            <w:r>
              <w:rPr>
                <w:sz w:val="16"/>
              </w:rPr>
              <w:t>20</w:t>
            </w:r>
          </w:p>
        </w:tc>
        <w:tc>
          <w:tcPr>
            <w:tcW w:w="1730" w:type="dxa"/>
            <w:tcBorders/>
            <w:vAlign w:val="center"/>
          </w:tcPr>
          <w:p>
            <w:pPr>
              <w:pStyle w:val="p1a"/>
              <w:spacing w:before="0" w:after="0"/>
              <w:jc w:val="start"/>
              <w:rPr/>
            </w:pPr>
            <w:r>
              <w:rPr>
                <w:sz w:val="16"/>
              </w:rPr>
              <w:t>29</w:t>
            </w:r>
          </w:p>
        </w:tc>
      </w:tr>
      <w:tr>
        <w:trPr>
          <w:cantSplit w:val="true"/>
        </w:trPr>
        <w:tc>
          <w:tcPr>
            <w:tcW w:w="1729" w:type="dxa"/>
            <w:tcBorders>
              <w:bottom w:val="single" w:sz="12" w:space="0" w:color="000000"/>
            </w:tcBorders>
            <w:vAlign w:val="center"/>
          </w:tcPr>
          <w:p>
            <w:pPr>
              <w:pStyle w:val="p1a"/>
              <w:spacing w:before="0" w:after="0"/>
              <w:jc w:val="start"/>
              <w:rPr/>
            </w:pPr>
            <w:r>
              <w:rPr>
                <w:sz w:val="16"/>
              </w:rPr>
              <w:t>Total</w:t>
            </w:r>
          </w:p>
        </w:tc>
        <w:tc>
          <w:tcPr>
            <w:tcW w:w="1729" w:type="dxa"/>
            <w:tcBorders>
              <w:bottom w:val="single" w:sz="12" w:space="0" w:color="000000"/>
            </w:tcBorders>
            <w:vAlign w:val="center"/>
          </w:tcPr>
          <w:p>
            <w:pPr>
              <w:pStyle w:val="p1a"/>
              <w:spacing w:before="0" w:after="0"/>
              <w:jc w:val="start"/>
              <w:rPr/>
            </w:pPr>
            <w:r>
              <w:rPr>
                <w:sz w:val="16"/>
              </w:rPr>
              <w:t>52</w:t>
            </w:r>
          </w:p>
        </w:tc>
        <w:tc>
          <w:tcPr>
            <w:tcW w:w="1729" w:type="dxa"/>
            <w:tcBorders>
              <w:bottom w:val="single" w:sz="12" w:space="0" w:color="000000"/>
            </w:tcBorders>
            <w:vAlign w:val="center"/>
          </w:tcPr>
          <w:p>
            <w:pPr>
              <w:pStyle w:val="p1a"/>
              <w:spacing w:before="0" w:after="0"/>
              <w:jc w:val="start"/>
              <w:rPr/>
            </w:pPr>
            <w:r>
              <w:rPr>
                <w:sz w:val="16"/>
              </w:rPr>
              <w:t>48</w:t>
            </w:r>
          </w:p>
        </w:tc>
        <w:tc>
          <w:tcPr>
            <w:tcW w:w="1730" w:type="dxa"/>
            <w:tcBorders>
              <w:bottom w:val="single" w:sz="12" w:space="0" w:color="000000"/>
            </w:tcBorders>
            <w:vAlign w:val="center"/>
          </w:tcPr>
          <w:p>
            <w:pPr>
              <w:pStyle w:val="p1a"/>
              <w:spacing w:before="0" w:after="0"/>
              <w:jc w:val="star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ind w:hanging="567" w:start="567"/>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ind w:hanging="567" w:start="567"/>
        <w:rPr/>
      </w:pPr>
      <w:r>
        <w:rPr/>
        <w:t>Ontology Terminology and Answer-Variable Salience</w:t>
      </w:r>
    </w:p>
    <w:p>
      <w:pPr>
        <w:pStyle w:val="p1a"/>
        <w:rPr/>
      </w:pPr>
      <w:r>
        <w:rPr/>
        <w:t>Figure 2 provides the central example because one pair exposes two independent review problems. The SPARQL selects the mo:Release titled On Broadway, Vol. 1 and returns its tracks, performing band, recording date, and place. The earlier formulation called the release an 'album' and omitted the band, both was corrected by the reviewer.</w:t>
      </w:r>
    </w:p>
    <w:p>
      <w:pPr>
        <w:pStyle w:val="Normal"/>
        <w:rPr/>
      </w:pPr>
      <w:r>
        <w:rPr/>
        <w:t>While the missing band information was a semantic error, the album/release terminology decision was not straightforward. The Music Ontology distinguishes an album-level SignalGroup from its publication as a Release [2].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ind w:hanging="567" w:start="567"/>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ind w:hanging="567" w:start="567"/>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ind w:hanging="567" w:start="567"/>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ind w:hanging="567" w:start="567"/>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streamlining and speeding up curation: it is a shift from end-to-end manual authorship toward expert adjudication over traceable candidates. The 52 retained and 48 rewritten formulations show both sides of that division, although the study does not measure time or cost against a fully manual baseline.</w:t>
      </w:r>
    </w:p>
    <w:p>
      <w:pPr>
        <w:pStyle w:val="Normal"/>
        <w:rPr/>
      </w:pPr>
      <w:r>
        <w:rPr/>
        <w:t xml:space="preserve">The claims are bounded by one domain and one principal reviewer; the pipeline is not domain-specific, it has been applied to generate candidate pairs in other domains, but the review by domain experts is still outstanding. Holdout separation is implemented but not evaluated as a secrecy or leakage study, and the linguistic-dimensions workbench has not yet produced a multi-reviewer analysis. </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r>
        <w:rPr>
          <w:b/>
        </w:rPr>
        <w:t>Acknowledgments.</w:t>
      </w:r>
      <w:r>
        <w:rPr/>
        <w:t xml:space="preserve"> The Musparql workflow grew out of Quagga, a predecessor initiative that collected question-query pairs for knowledge graphs in the social sciences and humanities. The author thanks the Industry Commons Foundation for institutional support, and Matteo Romanello and Harshdeep Singh of Odoma for initiating Quagga, providing its infrastructure, and offering valuable insights and encouragement. This work was conducted as part of the GRAPHIA project, funded by the European Union's Horizon Europe research and innovation programme under grant agreement No. 101188018. Views and opinions expressed are those of the author only and do not necessarily reflect those of the European Union or the European Commission; neither the European Union nor the granting authority can be held responsible for them.</w:t>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b/>
        </w:rPr>
        <w:t>Declaration on Generative AI.</w:t>
      </w:r>
      <w:r>
        <w:rP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start="0"/>
        <w:rPr/>
      </w:pPr>
      <w:r>
        <w:rPr/>
        <w:t>References</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https://doi.org/10.48550/arXiv.2205.06573</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Walter, S., Bast, H.: The Wikidata Query Logs Dataset. In: Proceedings of SIGIR 2026 (2026). https://doi.org/10.48550/arXiv.2602.14594</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Gebru, T., Morgenstern, J., Vecchione, B., Vaughan, J.W., Wallach, H., Daumé III, H., et al.: Datasheets for datasets. Commun. ACM 64(12), 86–92 (2021). https://doi.org/10.1145/3458723</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start"/>
        <w:rPr/>
      </w:pPr>
      <w:r>
        <w:rPr>
          <w:rStyle w:val="FootnoteCharacters"/>
        </w:rPr>
        <w:footnoteRef/>
      </w:r>
      <w:r>
        <w:rPr/>
        <w:tab/>
      </w:r>
      <w:r>
        <w:rPr>
          <w:sz w:val="18"/>
        </w:rPr>
        <w:t>An LLM assisted source discovery and acquisition process has since been developed and tested and is available in the Musparql GitHub repository. It is not described in the paper because it was not used in v10 benchmark construction</w:t>
      </w:r>
    </w:p>
  </w:footnote>
  <w:footnote w:id="3">
    <w:p>
      <w:pPr>
        <w:pStyle w:val="FootnoteText"/>
        <w:jc w:val="start"/>
        <w:rPr/>
      </w:pPr>
      <w:r>
        <w:rPr>
          <w:rStyle w:val="FootnoteCharacters"/>
        </w:rPr>
        <w:footnoteRef/>
      </w:r>
      <w:r>
        <w:rPr/>
        <w:tab/>
      </w:r>
      <w:r>
        <w:rPr>
          <w:sz w:val="18"/>
        </w:rPr>
        <w:t xml:space="preserve">Musparql repository: </w:t>
      </w:r>
      <w:hyperlink r:id="rId1">
        <w:r>
          <w:rPr>
            <w:rStyle w:val="Hyperlink"/>
            <w:sz w:val="18"/>
          </w:rPr>
          <w:t>https://github.com/ppquadrat/musparql-aligner</w:t>
        </w:r>
      </w:hyperlink>
    </w:p>
  </w:footnote>
  <w:footnote w:id="4">
    <w:p>
      <w:pPr>
        <w:pStyle w:val="FootnoteText"/>
        <w:jc w:val="start"/>
        <w:rPr/>
      </w:pPr>
      <w:r>
        <w:rPr>
          <w:rStyle w:val="FootnoteCharacters"/>
        </w:rPr>
        <w:footnoteRef/>
      </w:r>
      <w:r>
        <w:rPr/>
        <w:tab/>
      </w:r>
      <w:r>
        <w:rPr>
          <w:sz w:val="18"/>
        </w:rPr>
        <w:t xml:space="preserve">Musparql benchmark v10 archive: </w:t>
      </w:r>
      <w:hyperlink r:id="rId2">
        <w:r>
          <w:rPr>
            <w:rStyle w:val="Hyperlink"/>
            <w:sz w:val="18"/>
          </w:rPr>
          <w:t>https://github.com/ppquadrat/musparql-aligner/releases/download/benchmark-v10/musparql-benchmark-v10.zip</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rFonts w:ascii="Times New Roman" w:hAnsi="Times New Roman"/>
        <w:b w:val="false"/>
        <w:i/>
        <w:sz w:val="20"/>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0"/>
  <w:defaultTabStop w:val="720"/>
  <w:autoHyphenation w:val="true"/>
  <w:hyphenationZone w:val="400"/>
  <w:doNotHyphenateCaps/>
  <w:evenAndOddHeader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1" w:defUnhideWhenUsed="0" w:defQFormat="0" w:count="267">
    <w:lsdException w:name="Normal" w:semiHidden="0" w:qFormat="1"/>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
    <w:name w:val="Footnote Characters"/>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name w:val="Header and Footer"/>
    <w:basedOn w:val="Normal"/>
    <w:qFormat/>
    <w:pPr/>
    <w:rPr/>
  </w:style>
  <w:style w:type="paragraph" w:styleId="Footer">
    <w:name w:val="footer"/>
    <w:basedOn w:val="Normal"/>
    <w:semiHidden/>
    <w:unhideWhenUsed/>
    <w:pPr/>
    <w:rPr>
      <w:rFonts w:ascii="Times New Roman" w:hAnsi="Times New Roman" w:eastAsia="Times New Roman"/>
      <w:sz w:val="20"/>
      <w:szCs w:val="20"/>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ind w:hanging="567" w:start="567"/>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ind w:hanging="567" w:start="567"/>
      <w:jc w:val="start"/>
      <w:outlineLvl w:val="1"/>
    </w:pPr>
    <w:rPr>
      <w:b/>
    </w:rPr>
  </w:style>
  <w:style w:type="paragraph" w:styleId="acknowlegments">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Normal Table">
    <w:name w:val="Normal Table"/>
    <w:uiPriority w:val="99"/>
    <w:semiHidden/>
    <w:unhideWhenUsed/>
    <w:tblPr>
      <w:tblCellMar>
        <w:top w:w="57" w:type="dxa"/>
        <w:left w:w="57" w:type="dxa"/>
        <w:bottom w:w="57" w:type="dxa"/>
        <w:right w:w="57"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pquadrat/musparql-aligner" TargetMode="External"/><Relationship Id="rId3" Type="http://schemas.openxmlformats.org/officeDocument/2006/relationships/hyperlink" Target="https://github.com/ppquadrat/musparql-aligner/releases/download/benchmark-v10/musparql-benchmark-v10.zip"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github.com/ppquadrat/musparql-aligner" TargetMode="External"/><Relationship Id="rId2" Type="http://schemas.openxmlformats.org/officeDocument/2006/relationships/hyperlink" Target="https://github.com/ppquadrat/musparql-aligner/releases/download/benchmark-v10/musparql-benchmark-v10.zip"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LibreOffice/26.2.2.2$MacOSX_AARCH64 LibreOffice_project/1f77d10d6938fd34972958f64b2bcfa54f8b1ba5</Application>
  <AppVersion>15.0000</AppVersion>
  <Pages>11</Pages>
  <Words>3722</Words>
  <Characters>23966</Characters>
  <CharactersWithSpaces>27476</CharactersWithSpaces>
  <Paragraphs>164</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Polina Proutskova</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2026-08-29T02:50:46Z</dcterms:modified>
  <cp:revision>15</cp:revision>
  <dc:subject>MTSR 2026 main-track submission revised after author corrections</dc:subject>
  <dc:title>Provenance-Aware Curation of NL-SPARQL Evaluation Data for Domain Knowledge Graphs</dc:title>
</cp:coreProperties>
</file>

<file path=docProps/custom.xml><?xml version="1.0" encoding="utf-8"?>
<Properties xmlns="http://schemas.openxmlformats.org/officeDocument/2006/custom-properties" xmlns:vt="http://schemas.openxmlformats.org/officeDocument/2006/docPropsVTypes"/>
</file>