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60"/>
        <w:rPr/>
      </w:pPr>
      <w:r>
        <w:rPr/>
      </w:r>
    </w:p>
    <w:p>
      <w:pPr>
        <w:pStyle w:val="Normal"/>
        <w:spacing w:before="0" w:after="360"/>
        <w:rPr/>
      </w:pPr>
      <w:r>
        <w:rPr/>
      </w:r>
    </w:p>
    <w:p>
      <w:pPr>
        <w:pStyle w:val="Normal"/>
        <w:spacing w:before="0" w:after="360"/>
        <w:rPr/>
      </w:pPr>
      <w:r>
        <w:rPr/>
      </w:r>
    </w:p>
    <w:p>
      <w:pPr>
        <w:pStyle w:val="Normal"/>
        <w:spacing w:before="0" w:after="360"/>
        <w:jc w:val="center"/>
        <w:rPr/>
      </w:pPr>
      <w:r>
        <w:rPr>
          <w:b/>
          <w:color w:val="9A701C"/>
          <w:sz w:val="21"/>
        </w:rPr>
        <w:t>ICCCM 2026 · WORKING PAPER</w:t>
      </w:r>
    </w:p>
    <w:p>
      <w:pPr>
        <w:pStyle w:val="Normal"/>
        <w:spacing w:before="0" w:after="240"/>
        <w:jc w:val="center"/>
        <w:rPr/>
      </w:pPr>
      <w:r>
        <w:rPr>
          <w:b/>
          <w:color w:val="1E2D39"/>
          <w:sz w:val="54"/>
        </w:rPr>
        <w:t>Between Graph Semantics and Musicological Intent</w:t>
      </w:r>
    </w:p>
    <w:p>
      <w:pPr>
        <w:pStyle w:val="Normal"/>
        <w:spacing w:before="0" w:after="600"/>
        <w:jc w:val="center"/>
        <w:rPr/>
      </w:pPr>
      <w:r>
        <w:rPr>
          <w:i/>
          <w:color w:val="1F4D78"/>
          <w:sz w:val="28"/>
        </w:rPr>
        <w:t>Interpretive mediation in researcher–LLM–knowledge graph interaction</w:t>
      </w:r>
    </w:p>
    <w:p>
      <w:pPr>
        <w:pStyle w:val="Normal"/>
        <w:spacing w:before="0" w:after="160"/>
        <w:jc w:val="center"/>
        <w:rPr/>
      </w:pPr>
      <w:r>
        <w:rPr>
          <w:b/>
          <w:color w:val="1E2D39"/>
          <w:sz w:val="23"/>
        </w:rPr>
        <w:t>Polina Proutskova · Olga Velichkina · Harshdeep Singh · Matteo Romanello</w:t>
      </w:r>
    </w:p>
    <w:p>
      <w:pPr>
        <w:pStyle w:val="Normal"/>
        <w:spacing w:before="0" w:after="800"/>
        <w:jc w:val="center"/>
        <w:rPr/>
      </w:pPr>
      <w:r>
        <w:rPr>
          <w:color w:val="5A626A"/>
          <w:sz w:val="20"/>
        </w:rPr>
        <w:t>Empirical draft based on the HERMES CKG challenge explorations and Musparql</w:t>
      </w:r>
    </w:p>
    <w:tbl>
      <w:tblPr>
        <w:tblW w:w="9360" w:type="dxa"/>
        <w:jc w:val="start"/>
        <w:tblInd w:w="120" w:type="dxa"/>
        <w:tblLayout w:type="fixed"/>
        <w:tblCellMar>
          <w:top w:w="80" w:type="dxa"/>
          <w:start w:w="120" w:type="dxa"/>
          <w:bottom w:w="80" w:type="dxa"/>
          <w:end w:w="120" w:type="dxa"/>
        </w:tblCellMar>
        <w:tblLook w:val="04a0" w:noVBand="1" w:noHBand="0" w:lastColumn="0" w:firstColumn="1" w:lastRow="0" w:firstRow="1"/>
      </w:tblPr>
      <w:tblGrid>
        <w:gridCol w:w="9360"/>
      </w:tblGrid>
      <w:tr>
        <w:trPr/>
        <w:tc>
          <w:tcPr>
            <w:tcW w:w="9360" w:type="dxa"/>
            <w:tcBorders/>
            <w:shd w:fill="F4F6F9" w:val="clear"/>
            <w:vAlign w:val="center"/>
          </w:tcPr>
          <w:p>
            <w:pPr>
              <w:pStyle w:val="Normal"/>
              <w:spacing w:lineRule="auto" w:line="288" w:before="0" w:after="0"/>
              <w:rPr/>
            </w:pPr>
            <w:r>
              <w:rPr>
                <w:b/>
                <w:color w:val="1F4D78"/>
                <w:sz w:val="21"/>
              </w:rPr>
              <w:t xml:space="preserve">Central claim </w:t>
            </w:r>
            <w:r>
              <w:rPr>
                <w:color w:val="1E2D39"/>
                <w:sz w:val="21"/>
              </w:rPr>
              <w:t>Natural-language access to music knowledge graphs is not a neutral translation between equivalent representations. It is an interpretive process in which questions, formal operations, evidence and claims are successively transformed.</w:t>
            </w:r>
          </w:p>
        </w:tc>
      </w:tr>
    </w:tbl>
    <w:p>
      <w:pPr>
        <w:pStyle w:val="Normal"/>
        <w:spacing w:before="0" w:after="40"/>
        <w:rPr/>
      </w:pPr>
      <w:r>
        <w:rPr/>
      </w:r>
    </w:p>
    <w:p>
      <w:pPr>
        <w:pStyle w:val="Normal"/>
        <w:rPr/>
      </w:pPr>
      <w:r>
        <w:rPr/>
      </w:r>
      <w:r>
        <w:br w:type="page"/>
      </w:r>
    </w:p>
    <w:p>
      <w:pPr>
        <w:pStyle w:val="Heading1"/>
        <w:keepNext w:val="true"/>
        <w:spacing w:before="0" w:after="200"/>
        <w:rPr/>
      </w:pPr>
      <w:r>
        <w:rPr/>
        <w:t>Abstract</w:t>
      </w:r>
    </w:p>
    <w:p>
      <w:pPr>
        <w:pStyle w:val="Normal"/>
        <w:spacing w:lineRule="auto" w:line="319" w:before="0" w:after="160"/>
        <w:jc w:val="both"/>
        <w:rPr/>
      </w:pPr>
      <w:r>
        <w:rPr>
          <w:i w:val="false"/>
          <w:color w:val="1E2D39"/>
          <w:sz w:val="22"/>
        </w:rPr>
        <w:t>Music knowledge graphs promise new forms of exploration across collections, repertoires, recordings and documentary evidence. Yet interaction between a musicologist and a graph-based system is not simply a translation from natural language into SPARQL. Researchers ask conceptual and often exploratory questions, while datasets encode knowledge through formal classes, relations, authority links, provenance and selective modelling decisions. Large language model agents mediate between these representations, but their fluent responses can conceal gaps between a research intention, a graph operation and the claim warranted by the returned evidence.</w:t>
      </w:r>
    </w:p>
    <w:p>
      <w:pPr>
        <w:pStyle w:val="Normal"/>
        <w:spacing w:lineRule="auto" w:line="319" w:before="0" w:after="160"/>
        <w:jc w:val="both"/>
        <w:rPr/>
      </w:pPr>
      <w:r>
        <w:t>This paper develops interpretive mediation as a framework for studying these transformations. It brings together two complementary empirical directions with different units of analysis. In the HERMES Culture Knowledge Graph challenge, musicologists used the Graphia Agent to investigate authentic research questions across the Culture Knowledge Graph, LinkedMusic and other music-related resources. Their conversations expose how questions evolve through schema discovery, query generation, result interpretation and human repair. Musparql begins from the opposite end: it holds existing human-authored SPARQL queries fixed while source-, model- and reviewer-provided formulations are reviewed for semantic fidelity, domain adequacy and communicative salience. Its provenance records preserve source evidence, model assistance, formulations classified by reviewers, accepted alternatives and expert decisions.</w:t>
      </w:r>
    </w:p>
    <w:p>
      <w:pPr>
        <w:pStyle w:val="Normal"/>
        <w:spacing w:lineRule="auto" w:line="319" w:before="0" w:after="160"/>
        <w:jc w:val="both"/>
        <w:rPr/>
      </w:pPr>
      <w:r>
        <w:rPr>
          <w:i w:val="false"/>
          <w:color w:val="1E2D39"/>
          <w:sz w:val="22"/>
        </w:rPr>
        <w:t>Across both settings, ambiguity and breakdown identify points where representations fail to align. Case studies include the effect of dataset bias on estimates of a cappella dance-song prevalence, an agent’s substitution of title matching for an unavailable nationality relation, the contrast between collection-level discovery in CKG and role-specific relations in LinkedMusic, and Musparql examples in which ontology terminology, aggregation, provenance fields or data-processing mechanisms do not straightforwardly determine a plausible musicological question. We distinguish representational, evidential, inferential, pragmatic, linguistic and interactional tensions and treat repair as an epistemic practice rather than a final correction step.</w:t>
      </w:r>
    </w:p>
    <w:p>
      <w:pPr>
        <w:pStyle w:val="Normal"/>
        <w:spacing w:lineRule="auto" w:line="319" w:before="0" w:after="160"/>
        <w:jc w:val="both"/>
        <w:rPr/>
      </w:pPr>
      <w:r>
        <w:t>The framework is operationalised in a completed Musparql workbench design that compares two eligible non-literal formulations against a human-validated formulation assigned the role of literal reference, along naturalness, pragmatism or communicative salience, and room for interpretation. The interface is implemented and reviewer-tested; the main user study has not yet been run. We argue that provenance-rich benchmarks can function not only as evaluation sets but also as critical apparatuses that make transformations of meaning stable, inspectable and contestable.</w:t>
      </w:r>
    </w:p>
    <w:p>
      <w:pPr>
        <w:pStyle w:val="Normal"/>
        <w:spacing w:lineRule="auto" w:line="319" w:before="0" w:after="160"/>
        <w:jc w:val="both"/>
        <w:rPr/>
      </w:pPr>
      <w:r>
        <w:rPr>
          <w:i/>
          <w:color w:val="1E2D39"/>
          <w:sz w:val="22"/>
        </w:rPr>
        <w:t>Keywords: music knowledge graphs; natural-language interfaces; SPARQL; large language models; interpretive mediation; human-in-the-loop evaluation; benchmark curation</w:t>
      </w:r>
    </w:p>
    <w:tbl>
      <w:tblPr>
        <w:tblW w:w="9360" w:type="dxa"/>
        <w:jc w:val="start"/>
        <w:tblInd w:w="120" w:type="dxa"/>
        <w:tblLayout w:type="fixed"/>
        <w:tblCellMar>
          <w:top w:w="80" w:type="dxa"/>
          <w:start w:w="120" w:type="dxa"/>
          <w:bottom w:w="80" w:type="dxa"/>
          <w:end w:w="120" w:type="dxa"/>
        </w:tblCellMar>
        <w:tblLook w:val="04a0" w:noVBand="1" w:noHBand="0" w:lastColumn="0" w:firstColumn="1" w:lastRow="0" w:firstRow="1"/>
      </w:tblPr>
      <w:tblGrid>
        <w:gridCol w:w="9360"/>
      </w:tblGrid>
      <w:tr>
        <w:trPr/>
        <w:tc>
          <w:tcPr>
            <w:tcW w:w="9360" w:type="dxa"/>
            <w:tcBorders/>
            <w:shd w:fill="F4F6F9" w:val="clear"/>
            <w:vAlign w:val="center"/>
          </w:tcPr>
          <w:p>
            <w:pPr>
              <w:pStyle w:val="Normal"/>
              <w:spacing w:lineRule="auto" w:line="288" w:before="0" w:after="0"/>
              <w:rPr/>
            </w:pPr>
            <w:r>
              <w:rPr>
                <w:b/>
                <w:color w:val="1F4D78"/>
                <w:sz w:val="21"/>
              </w:rPr>
              <w:t xml:space="preserve">Draft boundary </w:t>
            </w:r>
            <w:r>
              <w:rPr>
                <w:color w:val="1E2D39"/>
                <w:sz w:val="21"/>
              </w:rPr>
              <w:t>The empirical and methodological sections are developed from the available project records. The broader literature review in hermeneutics, science and technology studies, and philosophy of models remains intentionally provisional. The references included here are limited to publications identified precisely in the supplied Musparql sources or the cited project reports.</w:t>
            </w:r>
          </w:p>
        </w:tc>
      </w:tr>
    </w:tbl>
    <w:p>
      <w:pPr>
        <w:pStyle w:val="Normal"/>
        <w:spacing w:before="0" w:after="40"/>
        <w:rPr/>
      </w:pPr>
      <w:r>
        <w:rPr/>
      </w:r>
    </w:p>
    <w:p>
      <w:pPr>
        <w:pStyle w:val="Heading1"/>
        <w:keepNext w:val="true"/>
        <w:rPr/>
      </w:pPr>
      <w:r>
        <w:rPr/>
        <w:t>1. Introduction</w:t>
      </w:r>
    </w:p>
    <w:p>
      <w:pPr>
        <w:pStyle w:val="Normal"/>
        <w:spacing w:lineRule="auto" w:line="319" w:before="0" w:after="160"/>
        <w:jc w:val="both"/>
        <w:rPr/>
      </w:pPr>
      <w:r>
        <w:rPr>
          <w:i w:val="false"/>
          <w:color w:val="1E2D39"/>
          <w:sz w:val="22"/>
        </w:rPr>
        <w:t>A natural-language interface to a knowledge graph is often imagined as a convenient front end. A researcher states an information need in ordinary language; a system translates it into SPARQL; the graph returns results; and the interface renders those results as an answer. This description is operationally useful, but epistemologically thin. It assumes that the same meaning persists across a sequence of equivalent representations. The empirical material considered here suggests otherwise. A musicological question can change when it meets a graph schema, a result set can answer a narrower question than the one the researcher intended, and an apparently fluent explanation can move beyond the evidence returned by the query.</w:t>
      </w:r>
    </w:p>
    <w:p>
      <w:pPr>
        <w:pStyle w:val="Normal"/>
        <w:spacing w:lineRule="auto" w:line="319" w:before="0" w:after="160"/>
        <w:jc w:val="both"/>
        <w:rPr/>
      </w:pPr>
      <w:r>
        <w:rPr>
          <w:i w:val="false"/>
          <w:color w:val="1E2D39"/>
          <w:sz w:val="22"/>
        </w:rPr>
        <w:t>The problem is especially visible in music research. Concepts such as work, version, performance, influence, encounter, genre, place and authorship are historically and disciplinarily situated. They do not map automatically onto classes and properties. A question about where an encounter took place may concern a venue, a city, a textual mention or an inferred location. A question about influence may seek documented contact, a teacher–student relation, citation, shared repertoire or stylistic similarity. Formalisation is therefore not merely the encoding of a stable question. It selects an operational meaning from among possible musicological interpretations.</w:t>
      </w:r>
    </w:p>
    <w:p>
      <w:pPr>
        <w:pStyle w:val="Normal"/>
        <w:spacing w:lineRule="auto" w:line="319" w:before="0" w:after="160"/>
        <w:jc w:val="both"/>
        <w:rPr/>
      </w:pPr>
      <w:r>
        <w:rPr>
          <w:i w:val="false"/>
          <w:color w:val="1E2D39"/>
          <w:sz w:val="22"/>
        </w:rPr>
        <w:t>The reverse passage is equally consequential. A SPARQL query does not uniquely specify the question a researcher would plausibly ask. Returned variables may include helper counts, labels or provenance fields. Ontology terminology may be formally exact but alien to ordinary disciplinary language. A concise question may express the likely purpose of the query while introducing an inference absent from the graph pattern. When benchmark construction treats query verbalisation as mechanical, these decisions disappear into the supposedly gold natural-language question.</w:t>
      </w:r>
    </w:p>
    <w:p>
      <w:pPr>
        <w:pStyle w:val="Normal"/>
        <w:spacing w:lineRule="auto" w:line="319" w:before="0" w:after="160"/>
        <w:jc w:val="both"/>
        <w:rPr/>
      </w:pPr>
      <w:r>
        <w:rPr>
          <w:i w:val="false"/>
          <w:color w:val="1E2D39"/>
          <w:sz w:val="22"/>
        </w:rPr>
        <w:t>We call the processes across these passages interpretive mediation: the transformation, constraint and negotiation of musicological meaning as it moves among researcher intentions, linguistic formulations, formal graph representations, available evidence and machine-generated interpretations. The term directs attention away from isolated outputs and towards transitions. The relevant object is not only the question, query or answer, but how one becomes another, what is lost or added, and how a researcher or reviewer repairs the relation.</w:t>
      </w:r>
    </w:p>
    <w:p>
      <w:pPr>
        <w:pStyle w:val="Normal"/>
        <w:spacing w:lineRule="auto" w:line="319" w:before="0" w:after="160"/>
        <w:jc w:val="both"/>
        <w:rPr/>
      </w:pPr>
      <w:r>
        <w:t>We study this process in two empirical settings. The first comprises HERMES CKG challenge explorations conducted with the Graphia Agent. These begin with authentic and evolving research questions. The second is Musparql, a workflow that begins with published, human-authored SPARQL and develops reviewed natural-language evaluation questions. The directions are complementary but not mirror images: the HERMES explorations follow inquiry as its questions and formal targets evolve, whereas Musparql holds a query fixed and studies the formulation and review decisions made around it.</w:t>
      </w:r>
    </w:p>
    <w:p>
      <w:pPr>
        <w:pStyle w:val="Normal"/>
        <w:spacing w:lineRule="auto" w:line="319" w:before="0" w:after="160"/>
        <w:jc w:val="both"/>
        <w:rPr/>
      </w:pPr>
      <w:r>
        <w:rPr>
          <w:i w:val="false"/>
          <w:color w:val="1E2D39"/>
          <w:sz w:val="22"/>
        </w:rPr>
        <w:t>The paper asks three questions. First, where does musicological meaning change as questions move between researchers, language models and knowledge graphs? Second, what do ambiguity, breakdown and repair reveal about the representational commitments of graphs and agents? Third, how can these transformations be made observable and systematically studied without reducing them to binary correctness?</w:t>
      </w:r>
    </w:p>
    <w:p>
      <w:pPr>
        <w:pStyle w:val="Heading1"/>
        <w:keepNext w:val="true"/>
        <w:rPr/>
      </w:pPr>
      <w:r>
        <w:rPr/>
        <w:t>2. Conceptual orientation: interpretive mediation</w:t>
      </w:r>
    </w:p>
    <w:p>
      <w:pPr>
        <w:pStyle w:val="Heading2"/>
        <w:keepNext w:val="true"/>
        <w:rPr/>
      </w:pPr>
      <w:r>
        <w:rPr/>
        <w:t>2.1 Beyond translation</w:t>
      </w:r>
    </w:p>
    <w:p>
      <w:pPr>
        <w:pStyle w:val="Normal"/>
        <w:spacing w:lineRule="auto" w:line="319" w:before="0" w:after="160"/>
        <w:jc w:val="both"/>
        <w:rPr/>
      </w:pPr>
      <w:r>
        <w:rPr>
          <w:i w:val="false"/>
          <w:color w:val="1E2D39"/>
          <w:sz w:val="22"/>
        </w:rPr>
        <w:t>Translation remains a useful engineering metaphor, but it can obscure the underdetermination of both directions. A research question may permit multiple operationalisations, each selecting different entities, relations, temporal scopes or evidential standards. A formal query may likewise support multiple linguistically adequate formulations, differing in domain terminology, pragmatic focus and interpretive openness. The important question is not whether representations are identical, but whether a particular transformation is warranted for a particular research purpose.</w:t>
      </w:r>
    </w:p>
    <w:p>
      <w:pPr>
        <w:pStyle w:val="Normal"/>
        <w:spacing w:lineRule="auto" w:line="319" w:before="0" w:after="160"/>
        <w:jc w:val="both"/>
        <w:rPr>
          <w:rFonts w:ascii="Calibri" w:hAnsi="Calibri"/>
          <w:i w:val="false"/>
          <w:color w:val="1E2D39"/>
          <w:sz w:val="22"/>
        </w:rPr>
      </w:pPr>
      <w:r>
        <w:rPr>
          <w:i w:val="false"/>
          <w:color w:val="1E2D39"/>
          <w:sz w:val="22"/>
        </w:rPr>
        <w:t>Interpretive mediation therefore includes at least four distinguishable moments: musicological intention; linguistic formulation; graph model and formal operation; and evidence and resulting claim. The LLM operates across the transitions by selecting resources, reformulating questions, generating queries, interpreting results and producing explanations. The researcher also acts across the system by clarifying intentions, judging adequacy and initiating repair. The graph is not an intentional actor, but its model and coverage constrain what can be asked, returned and warranted.</w:t>
      </w:r>
    </w:p>
    <w:p>
      <w:pPr>
        <w:pStyle w:val="Heading2"/>
        <w:keepNext w:val="true"/>
        <w:rPr/>
      </w:pPr>
      <w:r>
        <w:rPr/>
        <w:t>2.2 A recursive rather than linear process</w:t>
      </w:r>
    </w:p>
    <w:p>
      <w:pPr>
        <w:pStyle w:val="Normal"/>
        <w:spacing w:lineRule="auto" w:line="319" w:before="0" w:after="160"/>
        <w:jc w:val="both"/>
        <w:rPr>
          <w:rFonts w:ascii="Calibri" w:hAnsi="Calibri"/>
          <w:i w:val="false"/>
          <w:color w:val="1E2D39"/>
          <w:sz w:val="22"/>
        </w:rPr>
      </w:pPr>
      <w:r>
        <w:rPr>
          <w:i w:val="false"/>
          <w:color w:val="1E2D39"/>
          <w:sz w:val="22"/>
        </w:rPr>
        <w:t>The process is recursive. A researcher approaches a graph with a prior understanding of a musical phenomenon. The available schema makes some parts of the question easy to express and others indirect or impossible. The returned results may reveal a category error, an unexpected distribution or an omission. The researcher then revises the question, source selection or interpretation. What initially appears to be a pipeline is better understood as a cycle in which prior understanding guides formalisation and graph encounters reshape understanding.</w:t>
      </w:r>
    </w:p>
    <w:p>
      <w:pPr>
        <w:pStyle w:val="Heading2"/>
        <w:keepNext w:val="true"/>
        <w:rPr/>
      </w:pPr>
      <w:r>
        <w:rPr/>
        <w:t>2.3 Tension, breakdown and repair</w:t>
      </w:r>
    </w:p>
    <w:p>
      <w:pPr>
        <w:pStyle w:val="Normal"/>
        <w:spacing w:lineRule="auto" w:line="319" w:before="0" w:after="160"/>
        <w:jc w:val="both"/>
        <w:rPr/>
      </w:pPr>
      <w:r>
        <w:t>A constraint is a property of one component considered in isolation: a graph lacks a relation, a dataset covers a selective population, or an interface exposes only certain evidence. A tension arises when an inquiry presses against that constraint at the boundary between representations. The intended question may require a distinction that the graph cannot encode; the proposed claim may require evidence broader than the returned records; or fluent wording may suppress uncertainty that remains visible in the query history. A breakdown occurs when such a boundary mismatch obstructs or misdirects the inquiry. Repair is an intervention that revises the formulation, query, evidence base or communicated claim. Not every tension is an error. The difference between a literal and a pragmatically focused question can represent legitimate communicative judgment. Greater room for interpretation may be useful conceptual breadth or harmful underspecification. The framework therefore separates semantic eligibility from linguistic and pragmatic comparison.</w:t>
      </w:r>
    </w:p>
    <w:p>
      <w:pPr>
        <w:pStyle w:val="Normal"/>
        <w:spacing w:lineRule="auto" w:line="319" w:before="0" w:after="160"/>
        <w:jc w:val="both"/>
        <w:rPr/>
      </w:pPr>
      <w:r>
        <w:t>For analysis we distinguish six provisional forms of tension. Representational tension arises at the boundary between a research intention or linguistic formulation and the graph model: the inquiry requires a category, distinction or relation that the graph cannot express directly, forcing a proxy, a narrowing or a failed formalisation. Evidential tension arises at the boundary between returned records and a proposed claim: the coverage, sampling, provenance or denominator cannot warrant the scope of the conclusion drawn from it. Inferential tension arises when an agent or researcher adds a claim not licensed by the results. Pragmatic tension concerns the difference between the formal operation and the salient human information need. Linguistic tension concerns terminology, naturalness and interpretive openness across eligible formulations. Interactional tension concerns whether uncertainty, workarounds and opportunities for repair are made visible. The first two are therefore not names for constraints alone; they name encounters with, or violations of, representational and evidential boundaries.</w:t>
      </w:r>
    </w:p>
    <w:p>
      <w:pPr>
        <w:pStyle w:val="Heading2"/>
        <w:keepNext w:val="true"/>
        <w:rPr/>
      </w:pPr>
      <w:r>
        <w:rPr/>
        <w:t>2.4 Relationship to previous work</w:t>
      </w:r>
    </w:p>
    <w:p>
      <w:pPr>
        <w:pStyle w:val="Normal"/>
        <w:spacing w:lineRule="auto" w:line="319" w:before="0" w:after="160"/>
        <w:jc w:val="both"/>
        <w:rPr/>
      </w:pPr>
      <w:r>
        <w:rPr>
          <w:i w:val="false"/>
          <w:color w:val="1E2D39"/>
          <w:sz w:val="22"/>
        </w:rPr>
        <w:t>The immediate technical setting includes work on knowledge-graph question answering, competency questions and natural-language-to-SPARQL evaluation. Wiśniewski et al. showed that linguistic patterns in ontology competency questions and their SPARQL-OWL formalizations do not have a one-to-one relationship. SPINACH recovered demanding real-world information needs from Wikidata’s Request a Query forum. SESEMMI evaluated five large language models on twenty manually prepared music-domain natural-language/SPARQL pairs for LinkedMusic and reported a sharp performance difference between single-database and cross-database questions. Work on human-in-the-loop scientific knowledge-graph generation likewise demonstrates the importance of separating model production from expert validation. These studies motivate the present analysis, while the larger theoretical positioning in hermeneutics, science and technology studies and the philosophy of representation remains to be developed in the next paper revision.</w:t>
      </w:r>
    </w:p>
    <w:p>
      <w:pPr>
        <w:pStyle w:val="Heading1"/>
        <w:keepNext w:val="true"/>
        <w:rPr/>
      </w:pPr>
      <w:r>
        <w:rPr/>
        <w:t>3. Materials and method</w:t>
      </w:r>
    </w:p>
    <w:p>
      <w:pPr>
        <w:pStyle w:val="Heading2"/>
        <w:keepNext w:val="true"/>
        <w:rPr/>
      </w:pPr>
      <w:r>
        <w:t>3.1 HERMES CKG challenge explorations with the Graphia Agent</w:t>
      </w:r>
    </w:p>
    <w:p>
      <w:pPr>
        <w:pStyle w:val="Normal"/>
        <w:spacing w:lineRule="auto" w:line="319" w:before="0" w:after="160"/>
        <w:jc w:val="both"/>
        <w:rPr/>
      </w:pPr>
      <w:r>
        <w:t>The Graphia Agent is an LLM-powered conversational agent developed within the EU-funded GRAPHIA project and adapted for testing in the HERMES CKG challenge. It accepts natural-language questions, identifies relevant knowledge graphs, retrieves schema information, generates and executes SPARQL, and returns results with the query and tool activity exposed. The HERMES MusiGraphia team report documents explorations by Polina Proutskova, Olga Velichkina, Harshdeep Singh and Matteo Romanello. The studies address a cappella dance songs, Russian opera and ballet, the ballad Barbara Allen, Irish traditional music, harp repertoire, time signatures, Bach sources, performance venues, RISM/DIAMM relations and the Detmold court-theatre repertoire.</w:t>
      </w:r>
    </w:p>
    <w:p>
      <w:pPr>
        <w:pStyle w:val="Normal"/>
        <w:spacing w:lineRule="auto" w:line="319" w:before="0" w:after="160"/>
        <w:jc w:val="both"/>
        <w:rPr/>
      </w:pPr>
      <w:r>
        <w:rPr>
          <w:i w:val="false"/>
          <w:color w:val="1E2D39"/>
          <w:sz w:val="22"/>
        </w:rPr>
        <w:t>The evidence consists of archived conversations, displayed SPARQL, results, case-study write-ups and researcher reflections. These are not controlled trials and are not treated as a model leaderboard. They are interactional records showing how authentic research questions develop across graph selection, schema exploration, query generation, execution, interpretation and follow-up.</w:t>
      </w:r>
    </w:p>
    <w:p>
      <w:pPr>
        <w:pStyle w:val="Heading2"/>
        <w:keepNext w:val="true"/>
        <w:rPr/>
      </w:pPr>
      <w:r>
        <w:rPr/>
        <w:t>3.2 Musparql</w:t>
      </w:r>
    </w:p>
    <w:p>
      <w:pPr>
        <w:pStyle w:val="Normal"/>
        <w:spacing w:lineRule="auto" w:line="319" w:before="0" w:after="160"/>
        <w:jc w:val="both"/>
        <w:rPr/>
      </w:pPr>
      <w:r>
        <w:rPr>
          <w:i w:val="false"/>
          <w:color w:val="1E2D39"/>
          <w:sz w:val="22"/>
        </w:rPr>
        <w:t>Musparql is a workflow for producing traceable natural-language/SPARQL evaluation material from existing knowledge-graph sources. Its current music snapshot contains 100 reviewed pairs from Musical Meetups, 100 Years of Jazz, Organs, Music On the Web and LinkedMusic. It begins with SPARQL implemented or published by people; it does not generate benchmark queries. Source acquisition preserves repository or document location, revision information and nearby descriptions, competency questions or other human-authored evidence.</w:t>
      </w:r>
    </w:p>
    <w:p>
      <w:pPr>
        <w:pStyle w:val="Normal"/>
        <w:spacing w:lineRule="auto" w:line="319" w:before="0" w:after="160"/>
        <w:jc w:val="both"/>
        <w:rPr/>
      </w:pPr>
      <w:r>
        <w:t>An LLM then aligns available evidence with the query or proposes a formulation when suitable wording cannot be found. The candidate remains provisional. Human review determines whether it expresses a meaningful information need, faithfully represents the graph pattern and uses appropriate domain terminology. Review can retain alternatives, classify an eligible formulation as a literal rendering of the query, rewrite the canonical question or dismiss the pair. A literal formulation is not a distinct source category: it may originate in source material, be model-generated or be supplied by a reviewer, and acquires its literal role through human judgment. Execution evidence is stored diagnostically but does not approve a query or question. Publication separates compact scoring pairs from richer provenance.</w:t>
      </w:r>
    </w:p>
    <w:p>
      <w:pPr>
        <w:pStyle w:val="Heading2"/>
        <w:keepNext w:val="true"/>
        <w:rPr/>
      </w:pPr>
      <w:r>
        <w:rPr/>
        <w:t>3.3 Units of analysis</w:t>
      </w:r>
    </w:p>
    <w:p>
      <w:pPr>
        <w:pStyle w:val="Normal"/>
        <w:spacing w:lineRule="auto" w:line="319" w:before="0" w:after="160"/>
        <w:jc w:val="both"/>
        <w:rPr/>
      </w:pPr>
      <w:r>
        <w:t>The unit for the HERMES explorations is the interactional episode: an initial question together with graph selection, query attempts, results, communicated claims and follow-up repair. The unit for Musparql is a selected SPARQL query and the review history around its formulation set: source-, model- or reviewer-provided formulations; human classifications of those formulations, including whether one functions as a literal rendering; reviewer decisions; and the canonical output. Literal status is therefore an analytical relation to the query, not a separate origin or privileged class of material. These units should not be forced into mirror-image pairs. The HERMES episode follows an unfolding inquiry in which the question, graph and formal target may change; Musparql holds the formal query fixed and studies how candidate formulations are proposed, classified, compared and selected. Comparison is possible at the boundaries where meaning changes and repair occurs, not because the two units have the same structure.</w:t>
      </w:r>
    </w:p>
    <w:p>
      <w:pPr>
        <w:pStyle w:val="Heading2"/>
        <w:keepNext w:val="true"/>
        <w:rPr/>
      </w:pPr>
      <w:r>
        <w:rPr/>
        <w:t>3.4 Analytical procedure</w:t>
      </w:r>
    </w:p>
    <w:p>
      <w:pPr>
        <w:pStyle w:val="Normal"/>
        <w:spacing w:lineRule="auto" w:line="319" w:before="0" w:after="160"/>
        <w:jc w:val="both"/>
        <w:rPr/>
      </w:pPr>
      <w:r>
        <w:rPr>
          <w:i w:val="false"/>
          <w:color w:val="1E2D39"/>
          <w:sz w:val="22"/>
        </w:rPr>
        <w:t>For each case we reconstruct the research intention, linguistic formulation, formal operation, returned evidence and communicated claim. We then identify tensions and locate their most immediate source without assuming a single cause. Finally, we examine repair: what prompted it, which representation changed, and whether the revised result altered the research claim. The categories are descriptive aids rather than mutually exclusive error labels.</w:t>
      </w:r>
    </w:p>
    <w:p>
      <w:pPr>
        <w:pStyle w:val="Heading1"/>
        <w:keepNext w:val="true"/>
        <w:rPr/>
      </w:pPr>
      <w:r>
        <w:t>4. Researchers to graphs: HERMES CKG challenge explorations</w:t>
      </w:r>
    </w:p>
    <w:p>
      <w:pPr>
        <w:pStyle w:val="Heading2"/>
        <w:keepNext w:val="true"/>
        <w:rPr/>
      </w:pPr>
      <w:r>
        <w:rPr/>
        <w:t>4.1 A cappella dance songs: the denominator as an epistemic decision</w:t>
      </w:r>
    </w:p>
    <w:p>
      <w:pPr>
        <w:pStyle w:val="Normal"/>
        <w:spacing w:lineRule="auto" w:line="319" w:before="0" w:after="160"/>
        <w:jc w:val="both"/>
        <w:rPr/>
      </w:pPr>
      <w:r>
        <w:rPr>
          <w:i w:val="false"/>
          <w:color w:val="1E2D39"/>
          <w:sz w:val="22"/>
        </w:rPr>
        <w:t>The first exploration began from an ethnomusicological hypothesis: dancing while singing a cappella is physically demanding, and instrumental traditions normally provide repetitive dance accompaniment more readily than singers. Russian khorovod appeared as a potentially unusual counterexample. The researcher therefore asked how rare a cappella dance songs are across cultures represented in the Global Jukebox.</w:t>
      </w:r>
    </w:p>
    <w:p>
      <w:pPr>
        <w:pStyle w:val="Normal"/>
        <w:spacing w:lineRule="auto" w:line="319" w:before="0" w:after="160"/>
        <w:jc w:val="both"/>
        <w:rPr/>
      </w:pPr>
      <w:r>
        <w:rPr>
          <w:i w:val="false"/>
          <w:color w:val="1E2D39"/>
          <w:sz w:val="22"/>
        </w:rPr>
        <w:t>The investigation required extensive mediation. Genre and country values were represented through Wikidata identifiers rather than immediately readable labels. The agent initially missed known Russian examples, later retrieved one, and guessed several labels incorrectly before resolving them. Once dance-related genres and countries were assembled, the first aggregate result was striking: a cappella dance songs appeared to constitute 28% of dance songs worldwide and 47% in Europe.</w:t>
      </w:r>
    </w:p>
    <w:p>
      <w:pPr>
        <w:pStyle w:val="Normal"/>
        <w:spacing w:lineRule="auto" w:line="319" w:before="0" w:after="160"/>
        <w:jc w:val="both"/>
        <w:rPr/>
      </w:pPr>
      <w:r>
        <w:rPr>
          <w:i w:val="false"/>
          <w:color w:val="1E2D39"/>
          <w:sz w:val="22"/>
        </w:rPr>
        <w:t>Those percentages did not support the intended claim. The Lomax-derived collection focuses on singing and omits purely instrumental performances. Counting only recorded dance songs excludes many cultures in which dancing is accompanied primarily by instruments. The query therefore selected a population already biased towards the phenomenon under investigation. The repair changed the denominator from dance songs to cultures represented by any songs. On that basis, seven of 148 European cultures, or 4.7%, had a cappella group dance songs; the global figure was 58 of 870 cultures, or 6.7%.</w:t>
      </w:r>
    </w:p>
    <w:p>
      <w:pPr>
        <w:pStyle w:val="Normal"/>
        <w:spacing w:lineRule="auto" w:line="319" w:before="0" w:after="160"/>
        <w:jc w:val="both"/>
        <w:rPr/>
      </w:pPr>
      <w:r>
        <w:rPr>
          <w:i w:val="false"/>
          <w:color w:val="1E2D39"/>
          <w:sz w:val="22"/>
        </w:rPr>
        <w:t>The crucial transformation was interpretive rather than syntactic. The initial query correctly counted records satisfying its conditions, but the result was not evidence for the prevalence claim implied by the research question. Human domain knowledge identified the mismatch between dataset population and research population. Repair changed both the operationalisation of rarity and the warranted musicological statement.</w:t>
      </w:r>
    </w:p>
    <w:tbl>
      <w:tblPr>
        <w:tblW w:w="9360" w:type="dxa"/>
        <w:jc w:val="start"/>
        <w:tblInd w:w="120" w:type="dxa"/>
        <w:tblLayout w:type="fixed"/>
        <w:tblCellMar>
          <w:top w:w="80" w:type="dxa"/>
          <w:start w:w="120" w:type="dxa"/>
          <w:bottom w:w="80" w:type="dxa"/>
          <w:end w:w="120" w:type="dxa"/>
        </w:tblCellMar>
        <w:tblLook w:val="04a0" w:noVBand="1" w:noHBand="0" w:lastColumn="0" w:firstColumn="1" w:lastRow="0" w:firstRow="1"/>
      </w:tblPr>
      <w:tblGrid>
        <w:gridCol w:w="9360"/>
      </w:tblGrid>
      <w:tr>
        <w:trPr/>
        <w:tc>
          <w:tcPr>
            <w:tcW w:w="9360" w:type="dxa"/>
            <w:tcBorders/>
            <w:shd w:fill="F4F6F9" w:val="clear"/>
            <w:vAlign w:val="center"/>
          </w:tcPr>
          <w:p>
            <w:pPr>
              <w:pStyle w:val="Normal"/>
              <w:spacing w:lineRule="auto" w:line="288" w:before="0" w:after="0"/>
              <w:rPr/>
            </w:pPr>
            <w:r>
              <w:rPr>
                <w:b/>
                <w:color w:val="1F4D78"/>
                <w:sz w:val="21"/>
              </w:rPr>
              <w:t xml:space="preserve">Interpretive lesson </w:t>
            </w:r>
            <w:r>
              <w:rPr>
                <w:color w:val="1E2D39"/>
                <w:sz w:val="21"/>
              </w:rPr>
              <w:t>A result can be computationally correct and epistemically misleading when the population made visible by the dataset differs from the population implied by the research question.</w:t>
            </w:r>
          </w:p>
        </w:tc>
      </w:tr>
    </w:tbl>
    <w:p>
      <w:pPr>
        <w:pStyle w:val="Normal"/>
        <w:spacing w:before="0" w:after="40"/>
        <w:rPr/>
      </w:pPr>
      <w:r>
        <w:rPr/>
      </w:r>
    </w:p>
    <w:p>
      <w:pPr>
        <w:pStyle w:val="Heading2"/>
        <w:keepNext w:val="true"/>
        <w:rPr/>
      </w:pPr>
      <w:r>
        <w:rPr/>
        <w:t>4.2 Russian operas: when a graph gap becomes an inference</w:t>
      </w:r>
    </w:p>
    <w:p>
      <w:pPr>
        <w:pStyle w:val="Normal"/>
        <w:spacing w:lineRule="auto" w:line="319" w:before="0" w:after="160"/>
        <w:jc w:val="both"/>
        <w:rPr/>
      </w:pPr>
      <w:r>
        <w:rPr>
          <w:i w:val="false"/>
          <w:color w:val="1E2D39"/>
          <w:sz w:val="22"/>
        </w:rPr>
        <w:t>A second exploration asked which Russian operas were represented in CKG. The graph did not expose an obvious country property for the relevant works. The agent did not initially foreground this limitation. Instead it searched for titles that appeared to be known in advance, including Boris Godunov, Onegin, Sadko and other works. This produced examples but did not operationalise the category Russian opera structurally. The retrieval path for later additions was not always available to the researcher.</w:t>
      </w:r>
    </w:p>
    <w:p>
      <w:pPr>
        <w:pStyle w:val="Normal"/>
        <w:spacing w:lineRule="auto" w:line="319" w:before="0" w:after="160"/>
        <w:jc w:val="both"/>
        <w:rPr/>
      </w:pPr>
      <w:r>
        <w:rPr>
          <w:i w:val="false"/>
          <w:color w:val="1E2D39"/>
          <w:sz w:val="22"/>
        </w:rPr>
        <w:t>When asked for the most popular ballet, the agent returned Romeo and Juliet by Tchaikovsky. The attribution conflated Tchaikovsky’s orchestral overture-fantasy with Prokofiev’s ballet. After the researcher challenged the answer, the agent corrected itself. The episode combines a representational tension, an interactional tension and an inferential error. The missing relation forced a workaround; the workaround was not sufficiently exposed; and a familiar title facilitated an unsupported attribution.</w:t>
      </w:r>
    </w:p>
    <w:p>
      <w:pPr>
        <w:pStyle w:val="Normal"/>
        <w:spacing w:lineRule="auto" w:line="319" w:before="0" w:after="160"/>
        <w:jc w:val="both"/>
        <w:rPr/>
      </w:pPr>
      <w:r>
        <w:rPr>
          <w:i w:val="false"/>
          <w:color w:val="1E2D39"/>
          <w:sz w:val="22"/>
        </w:rPr>
        <w:t>The analytic value of the case is not diminished by assigning responsibility carefully. The graph’s limitation did not cause the false attribution in a deterministic sense, and the agent remains responsible for communicating the erroneous claim. Nevertheless, tracing the mediation chain explains why the error arose in this interaction and suggests a design requirement: agents should distinguish structural retrieval from heuristic title or label searches and state when a category cannot be represented directly.</w:t>
      </w:r>
    </w:p>
    <w:p>
      <w:pPr>
        <w:pStyle w:val="Heading2"/>
        <w:keepNext w:val="true"/>
        <w:rPr/>
      </w:pPr>
      <w:r>
        <w:t>4.3 The Kotzebue mystery: discovery without explanation</w:t>
      </w:r>
    </w:p>
    <w:p>
      <w:pPr>
        <w:pStyle w:val="Normal"/>
        <w:spacing w:lineRule="auto" w:line="319" w:before="0" w:after="160"/>
        <w:jc w:val="both"/>
        <w:rPr/>
      </w:pPr>
      <w:r>
        <w:t>The Detmold court-theatre exploration began with a mystery rather than a known research target. A collection-oriented CKG index counted the persons associated with works and produced a striking outlier: August von Kotzebue was by far the most frequently represented person in the graph. His associations also extended across a time span far beyond his lifetime. The researchers did not recognise the name, and the pattern immediately raised two musicological questions: who was this person, and why did he dominate the collection? CKG made the anomaly visible, but it could not answer either question from its collection index alone.</w:t>
      </w:r>
    </w:p>
    <w:p>
      <w:pPr>
        <w:pStyle w:val="Normal"/>
        <w:spacing w:lineRule="auto" w:line="319" w:before="0" w:after="160"/>
        <w:jc w:val="both"/>
        <w:rPr/>
      </w:pPr>
      <w:r>
        <w:t>The reason is representational. The index deliberately flattens the nature of a person–work relation. It can show that Kotzebue is associated with many works, but not whether he appears as composer, playwright or librettist, translator, performer, dedicatee or in another role. The temporal spread is therefore equally ambiguous: it might indicate a long reception history, repeated adaptations, catalogue practice or heterogeneous associations. The graph has revealed a phenomenon without providing the relations needed to explain it.</w:t>
      </w:r>
    </w:p>
    <w:p>
      <w:pPr>
        <w:pStyle w:val="Normal"/>
        <w:spacing w:lineRule="auto" w:line="319" w:before="0" w:after="160"/>
        <w:jc w:val="both"/>
        <w:rPr/>
      </w:pPr>
      <w:r>
        <w:t>LinkedMusic, and particularly its RISM material, offers a way to pursue one explanation because it preserves role-level vocabulary. Once Kotzebue was identified and resolved across graphs, the question “Who set Kotzebue’s texts to music?” became formally specific. The result identified 85 composers in the RISM corpus, led by Friedrich Heinrich Himmel with 139 sources. This does not exhaust the original mystery or explain every CKG association. It demonstrates a complementary sequence: CKG exposes an otherwise invisible collection fingerprint; the unresolved “associated person” relation marks a boundary; and LinkedMusic supports a role-specific investigation of one historically meaningful part of that fingerprint.</w:t>
      </w:r>
    </w:p>
    <w:p>
      <w:pPr>
        <w:pStyle w:val="Heading2"/>
        <w:keepNext w:val="true"/>
        <w:rPr/>
      </w:pPr>
      <w:r>
        <w:rPr/>
        <w:t>4.4 Additional interactional evidence</w:t>
      </w:r>
    </w:p>
    <w:p>
      <w:pPr>
        <w:pStyle w:val="Normal"/>
        <w:spacing w:lineRule="auto" w:line="319" w:before="0" w:after="160"/>
        <w:jc w:val="both"/>
        <w:rPr/>
      </w:pPr>
      <w:r>
        <w:rPr>
          <w:i w:val="false"/>
          <w:color w:val="1E2D39"/>
          <w:sz w:val="22"/>
        </w:rPr>
        <w:t>Olga Velichkina’s Salley Gardens exploration shows why metadata association cannot stand in for musical analysis. The agent treated two similarly titled entries in The Session as versions of the same tune and attempted to justify their relation through user-created tune sets. The researcher rejected the inference: titles and co-occurrence in subjective user compilations do not establish melodic identity, and the available metadata did not include notation adequate for the claim. The agent eventually acknowledged that limitation, but only after several confident explanations.</w:t>
      </w:r>
    </w:p>
    <w:p>
      <w:pPr>
        <w:pStyle w:val="Normal"/>
        <w:spacing w:lineRule="auto" w:line="319" w:before="0" w:after="160"/>
        <w:jc w:val="both"/>
        <w:rPr/>
      </w:pPr>
      <w:r>
        <w:rPr>
          <w:i w:val="false"/>
          <w:color w:val="1E2D39"/>
          <w:sz w:val="22"/>
        </w:rPr>
        <w:t>In the 7/8 exploration, 170 tunes were initially reported under an identifier interpreted as 7/8. The researcher’s domain expectation made the result suspicious because the metre is atypical of Irish traditional music. Resolving the Wikidata entity showed that the identifier represented 3/2, not 7/8. Here expert expectation did not replace evidence; it initiated the verification that revealed a semantic-label error.</w:t>
      </w:r>
    </w:p>
    <w:p>
      <w:pPr>
        <w:pStyle w:val="Normal"/>
        <w:spacing w:lineRule="auto" w:line="319" w:before="0" w:after="160"/>
        <w:jc w:val="both"/>
        <w:rPr/>
      </w:pPr>
      <w:r>
        <w:rPr>
          <w:i w:val="false"/>
          <w:color w:val="1E2D39"/>
          <w:sz w:val="22"/>
        </w:rPr>
        <w:t>The Barbara Allen exploration produced informative variants from UTSI and relevant field recordings from GoTriple, while also showing that shared titles and disconnected data structures limit cross-dataset identity claims. The Session’s instrumental tune model did not supply the song and lyric structures required to relate its items confidently to ballad variants elsewhere. Across these cases, repair depends on musicological knowledge of genre, metre, melody, source practice and documentary context.</w:t>
      </w:r>
    </w:p>
    <w:p>
      <w:pPr>
        <w:pStyle w:val="Heading1"/>
        <w:keepNext w:val="true"/>
        <w:rPr/>
      </w:pPr>
      <w:r>
        <w:rPr/>
        <w:t>5. Graphs to researchers: Musparql</w:t>
      </w:r>
    </w:p>
    <w:p>
      <w:pPr>
        <w:pStyle w:val="Heading2"/>
        <w:keepNext w:val="true"/>
        <w:rPr/>
      </w:pPr>
      <w:r>
        <w:rPr/>
        <w:t>5.1 Formal queries do not contain their human questions</w:t>
      </w:r>
    </w:p>
    <w:p>
      <w:pPr>
        <w:pStyle w:val="Normal"/>
        <w:spacing w:lineRule="auto" w:line="319" w:before="0" w:after="160"/>
        <w:jc w:val="both"/>
        <w:rPr/>
      </w:pPr>
      <w:r>
        <w:rPr>
          <w:i w:val="false"/>
          <w:color w:val="1E2D39"/>
          <w:sz w:val="22"/>
        </w:rPr>
        <w:t>Musparql begins with a more stable formal object, but interpretation remains unavoidable. A query may be executable while serving an administrative or intermediate operation rather than a plausible information need. It may return fields added for presentation, provenance or ordering. A competency question may exist elsewhere in project documentation but only approximately correspond to the implemented query. Establishing an evaluation pair therefore requires alignment and judgment rather than surface verbalisation.</w:t>
      </w:r>
    </w:p>
    <w:p>
      <w:pPr>
        <w:pStyle w:val="Normal"/>
        <w:spacing w:lineRule="auto" w:line="319" w:before="0" w:after="160"/>
        <w:jc w:val="both"/>
        <w:rPr/>
      </w:pPr>
      <w:r>
        <w:rPr>
          <w:i w:val="false"/>
          <w:color w:val="1E2D39"/>
          <w:sz w:val="22"/>
        </w:rPr>
        <w:t>Musparql makes that work visible by preserving source SPARQL as an immutable version, recording evidence and formulation origin, freezing model runs and storing reviewer decisions separately from benchmark publication. This architecture enforces an epistemic distinction: model output is a proposal, execution is an observation, and benchmark membership is a human decision.</w:t>
      </w:r>
    </w:p>
    <w:p>
      <w:pPr>
        <w:pStyle w:val="Heading2"/>
        <w:keepNext w:val="true"/>
        <w:rPr/>
      </w:pPr>
      <w:r>
        <w:rPr/>
        <w:t>5.2 Release, album and omitted performer</w:t>
      </w:r>
    </w:p>
    <w:p>
      <w:pPr>
        <w:pStyle w:val="Normal"/>
        <w:spacing w:lineRule="auto" w:line="319" w:before="0" w:after="160"/>
        <w:jc w:val="both"/>
        <w:rPr/>
      </w:pPr>
      <w:r>
        <w:rPr>
          <w:i w:val="false"/>
          <w:color w:val="1E2D39"/>
          <w:sz w:val="22"/>
        </w:rPr>
        <w:t xml:space="preserve">A central review example concerns a query for the mo:Release titled “On Broadway, Vol. 1” </w:t>
      </w:r>
      <w:r>
        <w:rPr>
          <w:i w:val="false"/>
          <w:color w:val="1E2D39"/>
          <w:sz w:val="22"/>
        </w:rPr>
        <w:t>from the DTL1000 (100 years of jazz) KG</w:t>
      </w:r>
      <w:r>
        <w:rPr>
          <w:i w:val="false"/>
          <w:color w:val="1E2D39"/>
          <w:sz w:val="22"/>
        </w:rPr>
        <w:t>. The query returns tracks, performing band, recording date and place. An earlier formulation rendered the release naturally as an album and asked where and when the tracks were recorded, but omitted the band. A later formulation used the ontology term release and included performer, date and place; the reviewer’s literal wording specified which band.</w:t>
      </w:r>
    </w:p>
    <w:p>
      <w:pPr>
        <w:pStyle w:val="Normal"/>
        <w:spacing w:lineRule="auto" w:line="319" w:before="0" w:after="160"/>
        <w:jc w:val="both"/>
        <w:rPr/>
      </w:pPr>
      <w:r>
        <w:rPr>
          <w:i w:val="false"/>
          <w:color w:val="1E2D39"/>
          <w:sz w:val="22"/>
        </w:rPr>
        <w:t>The tension cannot be solved by preferring either formal terminology or ordinary language in every case. The Jazz Ontology distinguishes an album-level mo:SignalGroup from a publication as mo:Release. In a one-to-one context, album may be natural and pragmatically adequate, but the terms are not equivalent. At the same time, naming every formal element does not guarantee a useful question. Review must determine which returned variables represent genuine answer semantics and which are implementation or presentation details. The omission of the band was unacceptable because performer identity was part of the domain-significant answer.</w:t>
      </w:r>
    </w:p>
    <w:p>
      <w:pPr>
        <w:pStyle w:val="Heading2"/>
        <w:keepNext w:val="true"/>
        <w:rPr/>
      </w:pPr>
      <w:r>
        <w:rPr/>
        <w:t>5.3 Aggregation and communicative salience</w:t>
      </w:r>
    </w:p>
    <w:p>
      <w:pPr>
        <w:pStyle w:val="Normal"/>
        <w:spacing w:lineRule="auto" w:line="319" w:before="0" w:after="160"/>
        <w:jc w:val="both"/>
        <w:rPr/>
      </w:pPr>
      <w:r>
        <w:rPr>
          <w:i w:val="false"/>
          <w:color w:val="1E2D39"/>
          <w:sz w:val="22"/>
        </w:rPr>
        <w:t>Another query counts encounters by place, orders the groups and returns the two highest-ranked places together with their counts. One formulation asks how many encounters occurred at each of the two most frequent places. Another asks where most encounters occurred. Both correspond to the query, but they assign different communicative roles to the counts. In the first, the aggregate values are answers; in the second, they are the mechanism by which the places are selected. SPARQL structure alone does not decide which reading reflects the intended information need.</w:t>
      </w:r>
    </w:p>
    <w:p>
      <w:pPr>
        <w:pStyle w:val="Heading2"/>
        <w:keepNext w:val="true"/>
        <w:rPr/>
      </w:pPr>
      <w:r>
        <w:rPr/>
        <w:t>5.4 Provenance as metadata or evidence</w:t>
      </w:r>
    </w:p>
    <w:p>
      <w:pPr>
        <w:pStyle w:val="Normal"/>
        <w:spacing w:lineRule="auto" w:line="319" w:before="0" w:after="160"/>
        <w:jc w:val="both"/>
        <w:rPr/>
      </w:pPr>
      <w:r>
        <w:rPr>
          <w:i w:val="false"/>
          <w:color w:val="1E2D39"/>
          <w:sz w:val="22"/>
        </w:rPr>
        <w:t>Musical Meetups queries may return a source excerpt alongside participants, time, place and purpose. If excerpts are returned routinely to document each graph statement, requiring the user to ask for ‘supporting evidence text’ can burden the question with implementation detail. If the inquiry concerns the documentary basis of a historical claim, the same excerpt becomes central. The communicative role of a field depends on how evidence is modelled and on what the researcher is trying to establish.</w:t>
      </w:r>
    </w:p>
    <w:p>
      <w:pPr>
        <w:pStyle w:val="Heading2"/>
        <w:keepNext w:val="true"/>
        <w:rPr/>
      </w:pPr>
      <w:r>
        <w:rPr/>
        <w:t>5.5 Operational mechanism and domain concept</w:t>
      </w:r>
    </w:p>
    <w:p>
      <w:pPr>
        <w:pStyle w:val="Normal"/>
        <w:spacing w:lineRule="auto" w:line="319" w:before="0" w:after="160"/>
        <w:jc w:val="both"/>
        <w:rPr/>
      </w:pPr>
      <w:r>
        <w:rPr>
          <w:i w:val="false"/>
          <w:color w:val="1E2D39"/>
          <w:sz w:val="22"/>
        </w:rPr>
        <w:t>A literal question about pairs of audio signals with the same short fingerprint describes a graph pattern accurately. ‘Are there duplicate tracks in the dataset?’ expresses a more intelligible purpose but introduces an interpretation: fingerprint equality is being treated as evidence of duplication. The preferred formulation therefore depends on whether the data and domain practice license that inference. Human review is constitutive because it establishes the relation between an operation and a domain concept; it does not simply polish grammar.</w:t>
      </w:r>
    </w:p>
    <w:p>
      <w:pPr>
        <w:pStyle w:val="Heading1"/>
        <w:keepNext w:val="true"/>
        <w:rPr/>
      </w:pPr>
      <w:r>
        <w:rPr/>
        <w:t>6. Operationalising linguistic mediation</w:t>
      </w:r>
    </w:p>
    <w:p>
      <w:pPr/>
      <w:r>
        <w:t>Musparql review is the centrepiece of benchmark construction. It establishes whether a formulation is semantically faithful to the query, expresses a meaningful information need and uses defensible domain language. Review frequently leaves more than one eligible formulation. Some stay close to the formal operations; others foreground a likely research purpose, replace ontology terminology with disciplinary language or omit implementation details. A formulation can therefore be faithful without being literal, and more than one faithful formulation can coexist. “Literal” names a human-assigned relation between a formulation and the query, not its provenance: source wording, model output or reviewer wording can each be judged literal. Once such formulation sets exist, selecting only a canonical question would hide the very linguistic and pragmatic tension that review has exposed. The linguistic-dimensions workbench is designed to operationalise that tension for comparative study.</w:t>
      </w:r>
    </w:p>
    <w:p>
      <w:pPr>
        <w:pStyle w:val="Heading2"/>
        <w:keepNext w:val="true"/>
        <w:rPr/>
      </w:pPr>
      <w:r>
        <w:t>6.1 From reviewed formulation sets to a comparative task</w:t>
      </w:r>
    </w:p>
    <w:p>
      <w:pPr>
        <w:pStyle w:val="Normal"/>
        <w:spacing w:lineRule="auto" w:line="319" w:before="0" w:after="160"/>
        <w:jc w:val="both"/>
        <w:rPr/>
      </w:pPr>
      <w:r>
        <w:t>Each linguistic-dimensions item begins with a SPARQL query whose formulation set has already been reviewed for semantic eligibility. The item requires one validated formulation assigned the role of literal reference and at least two eligible non-literal alternatives. These labels describe how the formulations relate to the query, not who wrote them. The task then asks how the eligible alternatives differ from the literal reference in linguistic and pragmatic terms. It does not treat literalness as ideal wording, and it does not assume that the canonical benchmark question must be the most literal formulation.</w:t>
      </w:r>
    </w:p>
    <w:p>
      <w:pPr>
        <w:pStyle w:val="Normal"/>
        <w:spacing w:lineRule="auto" w:line="319" w:before="0" w:after="160"/>
        <w:jc w:val="both"/>
        <w:rPr/>
      </w:pPr>
      <w:r>
        <w:t>Each trial presents the literal reference with two eligible alternatives, A and B. Candidate provenance—source wording, model paraphrase, generated wording or human rewrite—is retained for analysis but hidden from the reviewer. The A/B display order is randomised and recorded. Each candidate is rated relative to the literal; the paired contrast is derived from their anchor-relative scores rather than requested as a separate judgment.</w:t>
      </w:r>
    </w:p>
    <w:p>
      <w:pPr>
        <w:pStyle w:val="Heading2"/>
        <w:keepNext w:val="true"/>
        <w:rPr/>
      </w:pPr>
      <w:r>
        <w:rPr/>
        <w:t>6.2 Three provisional dimensions</w:t>
      </w:r>
    </w:p>
    <w:p>
      <w:pPr>
        <w:pStyle w:val="Normal"/>
        <w:spacing w:lineRule="auto" w:line="319" w:before="0" w:after="160"/>
        <w:jc w:val="both"/>
        <w:rPr/>
      </w:pPr>
      <w:r>
        <w:rPr>
          <w:i w:val="false"/>
          <w:color w:val="1E2D39"/>
          <w:sz w:val="22"/>
        </w:rPr>
        <w:t>Naturalness measures movement between awkward, formal or query-like wording and language a person could plausibly use. Pragmatism or communicative salience measures whether a formulation is focused on a plausible human information need rather than exhaustively verbalising formal operations. Room for interpretation measures whether the formulation is more constrained or more open than the literal reference. Openness is not equated with quality: it can provide productive conceptual breadth or harmful underspecification.</w:t>
      </w:r>
    </w:p>
    <w:p>
      <w:pPr>
        <w:pStyle w:val="Normal"/>
        <w:spacing w:lineRule="auto" w:line="319" w:before="0" w:after="160"/>
        <w:jc w:val="both"/>
        <w:rPr/>
      </w:pPr>
      <w:r>
        <w:rPr>
          <w:i w:val="false"/>
          <w:color w:val="1E2D39"/>
          <w:sz w:val="22"/>
        </w:rPr>
        <w:t>The literal is fixed at zero on every dimension as a coordinate origin, not as an empirically rated midpoint or minimum. Candidates can receive negative scores: they may be less natural, less pragmatically focused or more constrained through unsupported specificity. Sliders begin unanswered so an untouched control cannot silently become a deliberate zero.</w:t>
      </w:r>
    </w:p>
    <w:p>
      <w:pPr>
        <w:pStyle w:val="Heading2"/>
        <w:keepNext w:val="true"/>
        <w:rPr/>
      </w:pPr>
      <w:r>
        <w:rPr/>
        <w:t>6.3 Study status and intended analysis</w:t>
      </w:r>
    </w:p>
    <w:p>
      <w:pPr>
        <w:pStyle w:val="Normal"/>
        <w:spacing w:lineRule="auto" w:line="319" w:before="0" w:after="160"/>
        <w:jc w:val="both"/>
        <w:rPr/>
      </w:pPr>
      <w:r>
        <w:rPr>
          <w:i w:val="false"/>
          <w:color w:val="1E2D39"/>
          <w:sz w:val="22"/>
        </w:rPr>
        <w:t>The workbench, schemas, assignment rules, randomisation, partial-completion behaviour and validation boundaries have been implemented and reviewer-tested. The main user study has not yet been run. Planned analysis includes dimension-specific score distributions, paired within-screen differences, scale-use diagnostics, presentation-order effects, comparisons among controlled formulation strata and mixed-effects models incorporating reviewer, query and screen effects. Replicated judgments on a planned overlap subset will support inter-rater analysis.</w:t>
      </w:r>
    </w:p>
    <w:p>
      <w:pPr>
        <w:pStyle w:val="Normal"/>
        <w:spacing w:lineRule="auto" w:line="319" w:before="0" w:after="160"/>
        <w:jc w:val="both"/>
        <w:rPr/>
      </w:pPr>
      <w:r>
        <w:rPr>
          <w:i w:val="false"/>
          <w:color w:val="1E2D39"/>
          <w:sz w:val="22"/>
        </w:rPr>
        <w:t>This prospective status matters. The current contribution is an operational research design grounded in qualitative review observations, not empirical evidence that the three dimensions are psychometrically independent or consistently interpreted across reviewers. A pilot must examine negative-value use, heaping, completion time and reviewer interpretation before substantive claims are made.</w:t>
      </w:r>
    </w:p>
    <w:p>
      <w:pPr>
        <w:pStyle w:val="Heading1"/>
        <w:keepNext w:val="true"/>
        <w:rPr/>
      </w:pPr>
      <w:r>
        <w:rPr/>
        <w:t>7. Discussion</w:t>
      </w:r>
    </w:p>
    <w:p>
      <w:pPr>
        <w:pStyle w:val="Heading2"/>
        <w:keepNext w:val="true"/>
        <w:rPr/>
      </w:pPr>
      <w:r>
        <w:rPr/>
        <w:t>7.1 Knowledge graphs condition askability</w:t>
      </w:r>
    </w:p>
    <w:p>
      <w:pPr>
        <w:pStyle w:val="Normal"/>
        <w:spacing w:lineRule="auto" w:line="319" w:before="0" w:after="160"/>
        <w:jc w:val="both"/>
        <w:rPr/>
      </w:pPr>
      <w:r>
        <w:rPr>
          <w:i w:val="false"/>
          <w:color w:val="1E2D39"/>
          <w:sz w:val="22"/>
        </w:rPr>
        <w:t>Knowledge graphs do not merely contain more or fewer facts. Their models condition which research questions can be formalised directly, which require proxies and which remain unavailable. Nationality in the Russian-opera case, role specificity in the Kotzebue case and musical notation in the Salley Gardens case each alter the space of possible questions. Askability is therefore an epistemic affordance of representation, not simply a usability property of an interface.</w:t>
      </w:r>
    </w:p>
    <w:p>
      <w:pPr>
        <w:pStyle w:val="Heading2"/>
        <w:keepNext w:val="true"/>
        <w:rPr/>
      </w:pPr>
      <w:r>
        <w:rPr/>
        <w:t>7.2 LLMs interpret across non-equivalent representations</w:t>
      </w:r>
    </w:p>
    <w:p>
      <w:pPr>
        <w:pStyle w:val="Normal"/>
        <w:spacing w:lineRule="auto" w:line="319" w:before="0" w:after="160"/>
        <w:jc w:val="both"/>
        <w:rPr/>
      </w:pPr>
      <w:r>
        <w:rPr>
          <w:i w:val="false"/>
          <w:color w:val="1E2D39"/>
          <w:sz w:val="22"/>
        </w:rPr>
        <w:t>The Graphia Agent and Musparql use LLMs differently, but both show that model activity exceeds literal translation. The agent selects graphs, explores schemas, generates queries, links identifiers, interprets results and writes claims. Musparql’s model searches evidence, aligns formulations and proposes wording. These operations require choices about relevance and salience. Fluency can make those choices useful, but it can also conceal workarounds, omit constraints or transform technical associations into stronger domain claims.</w:t>
      </w:r>
    </w:p>
    <w:p>
      <w:pPr>
        <w:pStyle w:val="Heading2"/>
        <w:keepNext w:val="true"/>
        <w:rPr/>
      </w:pPr>
      <w:r>
        <w:rPr/>
        <w:t>7.3 Ambiguity and breakdown are empirical evidence</w:t>
      </w:r>
    </w:p>
    <w:p>
      <w:pPr>
        <w:pStyle w:val="Normal"/>
        <w:spacing w:lineRule="auto" w:line="319" w:before="0" w:after="160"/>
        <w:jc w:val="both"/>
        <w:rPr/>
      </w:pPr>
      <w:r>
        <w:rPr>
          <w:i w:val="false"/>
          <w:color w:val="1E2D39"/>
          <w:sz w:val="22"/>
        </w:rPr>
        <w:t>Ambiguity is frequently treated as noise that a better interface should eliminate. The cases suggest a more productive use. Competing formulations expose assumptions about which variables matter. Surprising results expose mismatches between a dataset population and a research population. Failed identity claims expose the inadequacy of titles or co-occurrence as evidence for musical sameness. These moments locate the boundaries of representations and reveal where expert knowledge enters the system.</w:t>
      </w:r>
    </w:p>
    <w:p>
      <w:pPr>
        <w:pStyle w:val="Heading2"/>
        <w:keepNext w:val="true"/>
        <w:rPr/>
      </w:pPr>
      <w:r>
        <w:rPr/>
        <w:t>7.4 Repair is an epistemic practice</w:t>
      </w:r>
    </w:p>
    <w:p>
      <w:pPr>
        <w:pStyle w:val="Normal"/>
        <w:spacing w:lineRule="auto" w:line="319" w:before="0" w:after="160"/>
        <w:jc w:val="both"/>
        <w:rPr/>
      </w:pPr>
      <w:r>
        <w:t>Repair appears in different forms. A researcher in a HERMES exploration using the Graphia Agent challenges an attribution, asks what an identifier denotes or changes the analytical denominator. A Musparql reviewer restores an omitted performer, distinguishes literal from preferred wording or decides that provenance is secondary. The linguistic workbench includes a route for flagging an inaccurate literal anchor without allowing the rating task to mutate it. In each case, repair preserves the history of the original judgment rather than silently overwriting it.</w:t>
      </w:r>
    </w:p>
    <w:p>
      <w:pPr>
        <w:pStyle w:val="Heading2"/>
        <w:keepNext w:val="true"/>
        <w:rPr/>
      </w:pPr>
      <w:r>
        <w:rPr/>
        <w:t>7.5 Benchmark as critical apparatus</w:t>
      </w:r>
    </w:p>
    <w:p>
      <w:pPr>
        <w:pStyle w:val="Normal"/>
        <w:spacing w:lineRule="auto" w:line="319" w:before="0" w:after="160"/>
        <w:jc w:val="both"/>
        <w:rPr/>
      </w:pPr>
      <w:r>
        <w:t>For musicologists, a provenance-rich benchmark can be compared cautiously with a critical apparatus. It preserves source objects, variants and editorial decisions while still selecting a canonical form for a practical use. Musparql retains source evidence, generated candidates, formulations classified as literal, accepted alternatives and reviewer decisions around the compact scoring pair. The analogy is methodological rather than literal, but it clarifies why a single final question is insufficient evidence of how meaning was established.</w:t>
      </w:r>
    </w:p>
    <w:p>
      <w:pPr>
        <w:pStyle w:val="Normal"/>
        <w:spacing w:lineRule="auto" w:line="319" w:before="0" w:after="160"/>
        <w:jc w:val="both"/>
        <w:rPr/>
      </w:pPr>
      <w:r>
        <w:rPr>
          <w:i w:val="false"/>
          <w:color w:val="1E2D39"/>
          <w:sz w:val="22"/>
        </w:rPr>
        <w:t>The benchmark consequently serves three functions. It evaluates whether a system can produce a faithful formal operation. It diagnoses where a transformation changed or lost meaning. It also supplies research material for studying how graphs, prompts, models and reviewers negotiate acceptable formulations. Its purpose is not to eliminate interpretation but to make interpretation stable enough to inspect and compare.</w:t>
      </w:r>
    </w:p>
    <w:p>
      <w:pPr>
        <w:pStyle w:val="Heading2"/>
        <w:keepNext w:val="true"/>
        <w:rPr/>
      </w:pPr>
      <w:r>
        <w:rPr/>
        <w:t>7.6 Four propositions</w:t>
      </w:r>
    </w:p>
    <w:p>
      <w:pPr>
        <w:pStyle w:val="ListBullet"/>
        <w:numPr>
          <w:ilvl w:val="0"/>
          <w:numId w:val="1"/>
        </w:numPr>
        <w:spacing w:lineRule="auto" w:line="290" w:before="0" w:after="80"/>
        <w:ind w:hanging="279" w:start="540"/>
        <w:contextualSpacing/>
        <w:rPr/>
      </w:pPr>
      <w:r>
        <w:rPr>
          <w:color w:val="1E2D39"/>
          <w:sz w:val="22"/>
        </w:rPr>
        <w:t xml:space="preserve"> </w:t>
      </w:r>
      <w:r>
        <w:rPr>
          <w:color w:val="1E2D39"/>
          <w:sz w:val="22"/>
        </w:rPr>
        <w:t>Knowledge graphs condition the askability and evidential scope of research questions.</w:t>
      </w:r>
    </w:p>
    <w:p>
      <w:pPr>
        <w:pStyle w:val="ListBullet"/>
        <w:numPr>
          <w:ilvl w:val="0"/>
          <w:numId w:val="1"/>
        </w:numPr>
        <w:spacing w:lineRule="auto" w:line="290" w:before="0" w:after="80"/>
        <w:ind w:hanging="279" w:start="540"/>
        <w:contextualSpacing/>
        <w:rPr/>
      </w:pPr>
      <w:r>
        <w:rPr>
          <w:color w:val="1E2D39"/>
          <w:sz w:val="22"/>
        </w:rPr>
        <w:t xml:space="preserve"> </w:t>
      </w:r>
      <w:r>
        <w:rPr>
          <w:color w:val="1E2D39"/>
          <w:sz w:val="22"/>
        </w:rPr>
        <w:t>LLMs interpret across representations rather than merely translating between them.</w:t>
      </w:r>
    </w:p>
    <w:p>
      <w:pPr>
        <w:pStyle w:val="ListBullet"/>
        <w:numPr>
          <w:ilvl w:val="0"/>
          <w:numId w:val="1"/>
        </w:numPr>
        <w:spacing w:lineRule="auto" w:line="290" w:before="0" w:after="80"/>
        <w:ind w:hanging="279" w:start="540"/>
        <w:contextualSpacing/>
        <w:rPr/>
      </w:pPr>
      <w:r>
        <w:rPr>
          <w:color w:val="1E2D39"/>
          <w:sz w:val="22"/>
        </w:rPr>
        <w:t xml:space="preserve"> </w:t>
      </w:r>
      <w:r>
        <w:rPr>
          <w:color w:val="1E2D39"/>
          <w:sz w:val="22"/>
        </w:rPr>
        <w:t>Ambiguity, breakdown and repair provide evidence about the distributed epistemic system.</w:t>
      </w:r>
    </w:p>
    <w:p>
      <w:pPr>
        <w:pStyle w:val="ListBullet"/>
        <w:numPr>
          <w:ilvl w:val="0"/>
          <w:numId w:val="1"/>
        </w:numPr>
        <w:spacing w:lineRule="auto" w:line="290" w:before="0" w:after="80"/>
        <w:ind w:hanging="279" w:start="540"/>
        <w:contextualSpacing/>
        <w:rPr/>
      </w:pPr>
      <w:r>
        <w:rPr>
          <w:color w:val="1E2D39"/>
          <w:sz w:val="22"/>
        </w:rPr>
        <w:t xml:space="preserve"> </w:t>
      </w:r>
      <w:r>
        <w:rPr>
          <w:color w:val="1E2D39"/>
          <w:sz w:val="22"/>
        </w:rPr>
        <w:t>Evaluation should preserve histories of mediation, not only final questions, queries and answers.</w:t>
      </w:r>
    </w:p>
    <w:p>
      <w:pPr>
        <w:pStyle w:val="Heading1"/>
        <w:keepNext w:val="true"/>
        <w:rPr/>
      </w:pPr>
      <w:r>
        <w:t>8. Limitations and a practical research programme</w:t>
      </w:r>
    </w:p>
    <w:p>
      <w:pPr>
        <w:pStyle w:val="Heading2"/>
      </w:pPr>
      <w:r>
        <w:t>8.1 Current limitations</w:t>
      </w:r>
    </w:p>
    <w:p>
      <w:pPr>
        <w:pStyle w:val="Normal"/>
        <w:spacing w:lineRule="auto" w:line="319" w:before="0" w:after="160"/>
        <w:jc w:val="both"/>
        <w:rPr/>
      </w:pPr>
      <w:r>
        <w:t>The HERMES CKG challenge case studies conducted with the Graphia Agent are exploratory and purposively selected. Their write-ups include researcher reflections and should not be treated as controlled behavioural evidence or as a general ranking of agent capability. Live endpoints, schema versions and external services may change. Some cross-dataset investigations proceeded through multiple conversational turns rather than a single federated query. The distinction must be preserved when evaluating technical performance.</w:t>
      </w:r>
    </w:p>
    <w:p>
      <w:pPr>
        <w:pStyle w:val="Normal"/>
        <w:spacing w:lineRule="auto" w:line="319" w:before="0" w:after="160"/>
        <w:jc w:val="both"/>
        <w:rPr/>
      </w:pPr>
      <w:r>
        <w:rPr>
          <w:i w:val="false"/>
          <w:color w:val="1E2D39"/>
          <w:sz w:val="22"/>
        </w:rPr>
        <w:t xml:space="preserve">Musparql’s current empirical material comes from one domain and one principal reviewer across multiple review rounds. The linguistic-dimensions user study has not yet been conducted, so claims about scale interpretation, inter-rater consistency and relationships among dimensions remain prospective. </w:t>
      </w:r>
    </w:p>
    <w:p>
      <w:pPr>
        <w:pStyle w:val="Heading2"/>
        <w:spacing w:lineRule="auto" w:line="319" w:before="0" w:after="160"/>
        <w:jc w:val="both"/>
        <w:rPr/>
      </w:pPr>
      <w:r>
        <w:t>8.2 From a tension taxonomy to diagnostic tools</w:t>
      </w:r>
    </w:p>
    <w:p>
      <w:pPr/>
      <w:r>
        <w:t>The next step is not only to collect more interactions, but to turn each tension into a boundary specification that can guide tool design. For every transition, the specification should identify: the representations being compared; the transformation that is permissible for the research purpose; an observable boundary crossing or violation; and the repair operations available to the researcher. A representational item might compare an intended relation with the schema path used to approximate it. An evidential item might compare the population and provenance returned by a query with the scope of the communicated claim. Inferential, pragmatic and linguistic items can similarly record added concepts, omitted answer variables, shifts in salience and changes in interpretive openness.</w:t>
      </w:r>
    </w:p>
    <w:p>
      <w:pPr/>
      <w:r>
        <w:t>This formalisation points towards practical mediation-aware interfaces. An agent could maintain an inspectable ledger linking the evolving research question, selected graph and schema, generated query, returned evidence, answer sentences, user challenges and repairs. It could flag when a category is implemented through a heuristic title search, when a denominator does not match the intended population, when a natural-language claim adds an unsupported identity relation, or when several semantically eligible formulations make different pragmatic commitments. Rather than presenting warnings in the abstract, the interface could offer concrete repair moves: revise the question, choose another graph, expose the proxy, narrow the claim, inspect provenance or compare formulations.</w:t>
      </w:r>
    </w:p>
    <w:p>
      <w:pPr>
        <w:pStyle w:val="Heading2"/>
      </w:pPr>
      <w:r>
        <w:t>8.3 Evaluating mediation in practice</w:t>
      </w:r>
    </w:p>
    <w:p>
      <w:pPr/>
      <w:r>
        <w:t>Evaluation can then move from final-output accuracy to boundary-level outcomes. Relevant measures include whether a system detects a tension, communicates it before a claim is accepted, preserves query semantics across reformulation, supports a successful repair and reduces researcher effort without concealing uncertainty. The linguistic-dimensions study supplies one component of this programme by quantifying variation among eligible formulations. Replicated expert review and annotated HERMES repair sequences can supply others. Controlled studies should compare execution-only interfaces with mediation-aware interfaces on task completion, claim calibration, repair success and researcher trust grounded in inspectable evidence rather than fluency.</w:t>
      </w:r>
    </w:p>
    <w:p>
      <w:pPr/>
      <w:r>
        <w:t>The longer-term objective is a reusable diagnostic workbench and a set of design patterns for human–knowledge graph–LLM communication. Such a workbench would treat tensions not as a miscellaneous error list but as testable relations between representations, connect each relation to observable indicators and repairs, and preserve the interaction histories needed to evaluate whether a system genuinely improves musicological inquiry.</w:t>
      </w:r>
    </w:p>
    <w:p>
      <w:pPr>
        <w:pStyle w:val="Heading1"/>
        <w:keepNext w:val="true"/>
        <w:rPr/>
      </w:pPr>
      <w:r>
        <w:rPr/>
        <w:t>9. Conclusion</w:t>
      </w:r>
    </w:p>
    <w:p>
      <w:pPr>
        <w:pStyle w:val="Normal"/>
        <w:spacing w:lineRule="auto" w:line="319" w:before="0" w:after="160"/>
        <w:jc w:val="both"/>
        <w:rPr/>
      </w:pPr>
      <w:r>
        <w:rPr>
          <w:i w:val="false"/>
          <w:color w:val="1E2D39"/>
          <w:sz w:val="22"/>
        </w:rPr>
        <w:t>The question ‘Are a cappella dance songs rare?’ did not have a single answer waiting inside the graph. The initial intention shaped a query; the dataset shaped the apparent result; the unexpected distribution prompted human criticism; and a revised denominator produced a more defensible claim. The Russian-opera, Kotzebue, Salley Gardens and Musparql cases show related transformations at other points in the chain.</w:t>
      </w:r>
    </w:p>
    <w:p>
      <w:pPr>
        <w:pStyle w:val="Normal"/>
        <w:spacing w:lineRule="auto" w:line="319" w:before="0" w:after="160"/>
        <w:jc w:val="both"/>
        <w:rPr/>
      </w:pPr>
      <w:r>
        <w:rPr>
          <w:i w:val="false"/>
          <w:color w:val="1E2D39"/>
          <w:sz w:val="22"/>
        </w:rPr>
        <w:t>Researcher–LLM–knowledge graph interaction is therefore best understood as interpretive mediation. Musicological intention, linguistic formulation, formal representation, evidence and communicated claim remain connected, but they are not interchangeable. LLMs can coordinate these representations without resolving their incompatibilities automatically. Human expertise is not merely a safeguard applied at the end; it is constitutive of how questions and answers acquire disciplinary meaning.</w:t>
      </w:r>
    </w:p>
    <w:p>
      <w:pPr>
        <w:pStyle w:val="Normal"/>
        <w:spacing w:lineRule="auto" w:line="319" w:before="0" w:after="160"/>
        <w:jc w:val="both"/>
        <w:rPr/>
      </w:pPr>
      <w:r>
        <w:rPr>
          <w:i w:val="false"/>
          <w:color w:val="1E2D39"/>
          <w:sz w:val="22"/>
        </w:rPr>
        <w:t>The aim should not be to remove interpretation from natural-language access to knowledge graphs. It should be to make interpretive transformations visible, accountable and open to revision. Provenance-rich benchmarks and carefully designed comparative studies offer a way to do so.</w:t>
      </w:r>
    </w:p>
    <w:p>
      <w:pPr>
        <w:pStyle w:val="Heading1"/>
        <w:keepNext w:val="true"/>
        <w:rPr/>
      </w:pPr>
      <w:r>
        <w:rPr/>
        <w:t>References</w:t>
      </w:r>
    </w:p>
    <w:p>
      <w:pPr>
        <w:pStyle w:val="ListNumber"/>
        <w:numPr>
          <w:ilvl w:val="0"/>
          <w:numId w:val="4"/>
        </w:numPr>
        <w:spacing w:before="0" w:after="120"/>
        <w:ind w:hanging="360" w:start="504"/>
        <w:contextualSpacing/>
        <w:rPr/>
      </w:pPr>
      <w:r>
        <w:rPr>
          <w:color w:val="1E2D39"/>
          <w:sz w:val="19"/>
        </w:rPr>
        <w:t>Bolleman, J., Emonet, V., Altenhoff, A., et al. (2025). A large collection of bioinformatics question–query pairs over federated knowledge graphs: Methodology and applications. GigaScience, 14, giaf045. https://doi.org/10.1093/gigascience/giaf045</w:t>
      </w:r>
    </w:p>
    <w:p>
      <w:pPr>
        <w:pStyle w:val="ListNumber"/>
        <w:numPr>
          <w:ilvl w:val="0"/>
          <w:numId w:val="4"/>
        </w:numPr>
        <w:spacing w:before="0" w:after="120"/>
        <w:ind w:hanging="360" w:start="504"/>
        <w:contextualSpacing/>
        <w:rPr/>
      </w:pPr>
      <w:r>
        <w:rPr>
          <w:color w:val="1E2D39"/>
          <w:sz w:val="19"/>
        </w:rPr>
        <w:t>de Berardinis, J., Carriero, V. A., Jain, N., Lazzari, N., Meroño-Peñuela, A., Poltronieri, A., &amp; Presutti, V. (2023). The Polifonia Ontology Network: Building a semantic backbone for musical heritage. In The Semantic Web – ISWC 2023, 302–322. https://doi.org/10.1007/978-3-031-47243-5_17</w:t>
      </w:r>
    </w:p>
    <w:p>
      <w:pPr>
        <w:pStyle w:val="ListNumber"/>
        <w:numPr>
          <w:ilvl w:val="0"/>
          <w:numId w:val="4"/>
        </w:numPr>
        <w:spacing w:before="0" w:after="120"/>
        <w:ind w:hanging="360" w:start="504"/>
        <w:contextualSpacing/>
        <w:rPr/>
      </w:pPr>
      <w:r>
        <w:rPr>
          <w:color w:val="1E2D39"/>
          <w:sz w:val="19"/>
        </w:rPr>
        <w:t>HERMES MusiGraphia team. (2026). MusiGraphia report: Explorations and technical note. https://odoma-ch.github.io/hermes-musigraphia-report/</w:t>
      </w:r>
    </w:p>
    <w:p>
      <w:pPr>
        <w:pStyle w:val="ListNumber"/>
        <w:numPr>
          <w:ilvl w:val="0"/>
          <w:numId w:val="4"/>
        </w:numPr>
        <w:spacing w:before="0" w:after="120"/>
        <w:ind w:hanging="360" w:start="504"/>
        <w:contextualSpacing/>
        <w:rPr/>
      </w:pPr>
      <w:r>
        <w:rPr>
          <w:color w:val="1E2D39"/>
          <w:sz w:val="19"/>
        </w:rPr>
        <w:t>Liu, S., Semnani, S., Triedman, H., Xu, J., Zhao, I. D., &amp; Lam, M. (2024). SPINACH: SPARQL-based information navigation for challenging real-world questions. Findings of ACL: EMNLP 2024, 15977–16001. https://doi.org/10.18653/v1/2024.findings-emnlp.938</w:t>
      </w:r>
    </w:p>
    <w:p>
      <w:pPr>
        <w:pStyle w:val="ListNumber"/>
        <w:numPr>
          <w:ilvl w:val="0"/>
          <w:numId w:val="4"/>
        </w:numPr>
        <w:spacing w:before="0" w:after="120"/>
        <w:ind w:hanging="360" w:start="504"/>
        <w:contextualSpacing/>
        <w:rPr/>
      </w:pPr>
      <w:r>
        <w:rPr>
          <w:color w:val="1E2D39"/>
          <w:sz w:val="19"/>
        </w:rPr>
        <w:t>Pond, L., Kirby, L., Meng, S., Ngassam, S., Chow, S., Hillerbrand, D., &amp; Fujinaga, I. (2025). SESEMMI for LinkedMusic: Democratizing access to musical archives via large language models. LLM4Music at ISMIR 2025. https://openreview.net/forum?id=hSDeNeUzcy</w:t>
      </w:r>
    </w:p>
    <w:p>
      <w:pPr>
        <w:pStyle w:val="ListNumber"/>
        <w:numPr>
          <w:ilvl w:val="0"/>
          <w:numId w:val="4"/>
        </w:numPr>
        <w:spacing w:before="0" w:after="120"/>
        <w:ind w:hanging="360" w:start="504"/>
        <w:contextualSpacing/>
        <w:rPr/>
      </w:pPr>
      <w:r>
        <w:rPr>
          <w:color w:val="1E2D39"/>
          <w:sz w:val="19"/>
        </w:rPr>
        <w:t>Proutskova, P., Wolff, D., Fazekas, G., Frieler, K., Höger, F., Velichkina, O., Solis, G., Weyde, T., Pfleiderer, M., Crayencour, H. C., Peeters, G., &amp; Dixon, S. (2022). The Jazz Ontology: A semantic model and large-scale RDF repositories for jazz. Journal of Web Semantics, 74, 100735. https://doi.org/10.1016/j.websem.2022.100735</w:t>
      </w:r>
    </w:p>
    <w:p>
      <w:pPr>
        <w:pStyle w:val="ListNumber"/>
        <w:numPr>
          <w:ilvl w:val="0"/>
          <w:numId w:val="4"/>
        </w:numPr>
        <w:spacing w:before="0" w:after="120"/>
        <w:ind w:hanging="360" w:start="504"/>
        <w:contextualSpacing/>
        <w:rPr/>
      </w:pPr>
      <w:r>
        <w:rPr>
          <w:color w:val="1E2D39"/>
          <w:sz w:val="19"/>
        </w:rPr>
        <w:t>Tsaneva, S., Dessì, D., Osborne, F., &amp; Sabou, M. (2024). Enhancing scientific knowledge graph generation pipelines with LLMs and human-in-the-loop. Proceedings of Sci-K 2024, CEUR Workshop Proceedings 3780. https://ceur-ws.org/Vol-3780/paper1.pdf</w:t>
      </w:r>
    </w:p>
    <w:p>
      <w:pPr>
        <w:pStyle w:val="ListNumber"/>
        <w:numPr>
          <w:ilvl w:val="0"/>
          <w:numId w:val="4"/>
        </w:numPr>
        <w:spacing w:before="0" w:after="120"/>
        <w:ind w:hanging="360" w:start="504"/>
        <w:contextualSpacing/>
        <w:rPr/>
      </w:pPr>
      <w:r>
        <w:rPr>
          <w:color w:val="1E2D39"/>
          <w:sz w:val="19"/>
        </w:rPr>
        <w:t>Wiśniewski, D., Potoniec, J., Ławrynowicz, A., &amp; Keet, C. M. (2019). Analysis of ontology competency questions and their formalizations in SPARQL-OWL. Journal of Web Semantics, 59, 100534. https://doi.org/10.1016/j.websem.2019.100534</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5A626A"/>
        <w:sz w:val="18"/>
      </w:rPr>
      <w:t xml:space="preserve">Page </w:t>
    </w:r>
    <w:r>
      <w:rPr/>
      <w:fldChar w:fldCharType="begin"/>
    </w:r>
    <w:r>
      <w:rPr/>
      <w:instrText xml:space="preserve"> PAGE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5A626A"/>
        <w:sz w:val="18"/>
      </w:rPr>
      <w:t xml:space="preserve">Page </w:t>
    </w:r>
    <w:r>
      <w:rPr/>
      <w:fldChar w:fldCharType="begin"/>
    </w:r>
    <w:r>
      <w:rPr/>
      <w:instrText xml:space="preserve"> PAGE </w:instrText>
    </w:r>
    <w:r>
      <w:rPr/>
      <w:fldChar w:fldCharType="separate"/>
    </w:r>
    <w:r>
      <w:rPr/>
      <w:t>15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r>
      <w:rPr>
        <w:b/>
        <w:color w:val="5A626A"/>
        <w:sz w:val="17"/>
      </w:rPr>
      <w:t>INTERPRETIVE MEDIATION  |  ICCCM 2026 WORKING DRAFT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r>
      <w:rPr>
        <w:b/>
        <w:color w:val="5A626A"/>
        <w:sz w:val="17"/>
      </w:rPr>
      <w:t>INTERPRETIVE MEDIATION  |  ICCCM 2026 WORKING DRAFT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19" w:before="0" w:after="160"/>
      <w:jc w:val="both"/>
    </w:pPr>
    <w:rPr>
      <w:rFonts w:ascii="Calibri" w:hAnsi="Calibri" w:eastAsia="ＭＳ 明朝" w:cs=""/>
      <w:color w:val="1E2D39"/>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200"/>
      <w:outlineLvl w:val="0"/>
    </w:pPr>
    <w:rPr>
      <w:rFonts w:ascii="Calibri" w:hAnsi="Calibri" w:eastAsia="ＭＳ ゴシック" w:cs="" w:asciiTheme="majorHAnsi" w:cstheme="majorBidi" w:eastAsiaTheme="majorEastAsia" w:hAnsiTheme="majorHAnsi"/>
      <w:b/>
      <w:bCs/>
      <w:color w:val="2E74B5"/>
      <w:sz w:val="32"/>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ＭＳ ゴシック" w:cs="" w:asciiTheme="majorHAnsi" w:cstheme="majorBidi" w:eastAsiaTheme="majorEastAsia" w:hAnsiTheme="majorHAnsi"/>
      <w:b/>
      <w:bCs/>
      <w:color w:val="2E74B5"/>
      <w:sz w:val="26"/>
      <w:szCs w:val="26"/>
    </w:rPr>
  </w:style>
  <w:style w:type="paragraph" w:styleId="Heading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ＭＳ ゴシック" w:cs="" w:asciiTheme="majorHAnsi" w:cstheme="majorBidi" w:eastAsiaTheme="majorEastAsia" w:hAnsiTheme="majorHAnsi"/>
      <w:b/>
      <w:bCs/>
      <w:color w:val="1F4D78"/>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60"/>
      <w:ind w:hanging="360" w:start="720"/>
      <w:contextualSpacing/>
    </w:pPr>
    <w:rPr/>
  </w:style>
  <w:style w:type="paragraph" w:styleId="List3">
    <w:name w:val="List 3"/>
    <w:basedOn w:val="Normal"/>
    <w:uiPriority w:val="99"/>
    <w:unhideWhenUsed/>
    <w:qFormat/>
    <w:rsid w:val="00326f90"/>
    <w:pPr>
      <w:spacing w:before="0" w:after="160"/>
      <w:ind w:hanging="360" w:start="1080"/>
      <w:contextualSpacing/>
    </w:pPr>
    <w:rPr/>
  </w:style>
  <w:style w:type="paragraph" w:styleId="ListBullet">
    <w:name w:val="List Bullet"/>
    <w:basedOn w:val="Normal"/>
    <w:uiPriority w:val="99"/>
    <w:unhideWhenUsed/>
    <w:rsid w:val="00326f90"/>
    <w:pPr>
      <w:numPr>
        <w:ilvl w:val="0"/>
        <w:numId w:val="1"/>
      </w:numPr>
      <w:spacing w:lineRule="auto" w:line="290" w:before="0" w:after="80"/>
      <w:ind w:hanging="279" w:start="540"/>
      <w:contextualSpacing/>
    </w:pPr>
    <w:rPr>
      <w:rFonts w:ascii="Calibri" w:hAnsi="Calibri"/>
      <w:sz w:val="22"/>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lineRule="auto" w:line="290" w:before="0" w:after="80"/>
      <w:ind w:hanging="279" w:start="540"/>
      <w:contextualSpacing/>
    </w:pPr>
    <w:rPr>
      <w:rFonts w:ascii="Calibri" w:hAnsi="Calibri"/>
      <w:sz w:val="22"/>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Application>LibreOffice/26.2.2.2$MacOSX_AARCH64 LibreOffice_project/1f77d10d6938fd34972958f64b2bcfa54f8b1ba5</Application>
  <AppVersion>15.0000</AppVersion>
  <Pages>15</Pages>
  <Words>4947</Words>
  <Characters>31600</Characters>
  <CharactersWithSpaces>36412</CharactersWithSpaces>
  <Paragraphs>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Polina Proutskova; Olga Velichkina; Harshdeep Singh; Matteo Romanello</dc:creator>
  <dc:description>generated by python-docx</dc:description>
  <cp:keywords>music knowledge graphs SPARQL LLM interpretive mediation Musparql Graphia Agent</cp:keywords>
  <dc:language>en-GB</dc:language>
  <cp:lastModifiedBy/>
  <dcterms:modified xsi:type="dcterms:W3CDTF">2026-08-27T03:12:39Z</dcterms:modified>
  <cp:revision>6</cp:revision>
  <dc:subject>Interpretive mediation in researcher–LLM–knowledge graph interaction</dc:subject>
  <dc:title>Between Graph Semantics and Musicological Intent</dc:title>
</cp:coreProperties>
</file>

<file path=docProps/custom.xml><?xml version="1.0" encoding="utf-8"?>
<Properties xmlns="http://schemas.openxmlformats.org/officeDocument/2006/custom-properties" xmlns:vt="http://schemas.openxmlformats.org/officeDocument/2006/docPropsVTypes"/>
</file>