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300"/>
              <w:left w:type="dxa" w:w="300"/>
              <w:bottom w:type="dxa" w:w="300"/>
              <w:right w:type="dxa" w:w="300"/>
            </w:tcMar>
          </w:tcPr>
          <w:p>
            <w:pPr>
              <w:spacing w:after="80" w:before="0"/>
              <w:jc w:val="left"/>
            </w:pPr>
            <w:r>
              <w:rPr>
                <w:rFonts w:ascii="Arial" w:cs="Arial" w:eastAsia="Arial" w:hAnsi="Arial"/>
                <w:b/>
                <w:bCs/>
                <w:color w:val="9FE1CB"/>
                <w:sz w:val="18"/>
                <w:szCs w:val="18"/>
              </w:rPr>
              <w:t xml:space="preserve">INNOVATION WEEK · SESSION PITCH</w:t>
            </w:r>
          </w:p>
          <w:p>
            <w:pPr>
              <w:spacing w:after="120" w:before="0"/>
              <w:jc w:val="left"/>
            </w:pPr>
            <w:r>
              <w:rPr>
                <w:rFonts w:ascii="Arial" w:cs="Arial" w:eastAsia="Arial" w:hAnsi="Arial"/>
                <w:b/>
                <w:bCs/>
                <w:color w:val="FFFFFF"/>
                <w:sz w:val="40"/>
                <w:szCs w:val="40"/>
              </w:rPr>
              <w:t xml:space="preserve">Architecture Drift: The Silent Tax on Engineering Velocity</w:t>
            </w:r>
          </w:p>
          <w:p>
            <w:pPr>
              <w:spacing w:after="0" w:before="0"/>
              <w:jc w:val="left"/>
            </w:pPr>
            <w:r>
              <w:rPr>
                <w:rFonts w:ascii="Arial" w:cs="Arial" w:eastAsia="Arial" w:hAnsi="Arial"/>
                <w:color w:val="E1F5EE"/>
                <w:sz w:val="22"/>
                <w:szCs w:val="22"/>
              </w:rPr>
              <w:t xml:space="preserve">How SDD enforcement and pre-deployment guardrails can close the gap between approved architecture and what actually ships</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40" w:before="0"/>
            </w:pPr>
            <w:r>
              <w:rPr>
                <w:rFonts w:ascii="Arial" w:cs="Arial" w:eastAsia="Arial" w:hAnsi="Arial"/>
                <w:b/>
                <w:bCs/>
                <w:color w:val="1D9E75"/>
                <w:sz w:val="18"/>
                <w:szCs w:val="18"/>
              </w:rPr>
              <w:t xml:space="preserve">Pillar</w:t>
            </w:r>
          </w:p>
          <w:p>
            <w:pPr>
              <w:spacing w:after="0" w:before="0"/>
            </w:pPr>
            <w:r>
              <w:rPr>
                <w:rFonts w:ascii="Arial" w:cs="Arial" w:eastAsia="Arial" w:hAnsi="Arial"/>
                <w:color w:val="444441"/>
                <w:sz w:val="19"/>
                <w:szCs w:val="19"/>
              </w:rPr>
              <w:t xml:space="preserve">Tech Modernisation: Engineering</w:t>
            </w:r>
          </w:p>
        </w:tc>
        <w:tc>
          <w:tcPr>
            <w:tcW w:type="dxa" w:w="234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40" w:before="0"/>
            </w:pPr>
            <w:r>
              <w:rPr>
                <w:rFonts w:ascii="Arial" w:cs="Arial" w:eastAsia="Arial" w:hAnsi="Arial"/>
                <w:b/>
                <w:bCs/>
                <w:color w:val="1D9E75"/>
                <w:sz w:val="18"/>
                <w:szCs w:val="18"/>
              </w:rPr>
              <w:t xml:space="preserve">Format</w:t>
            </w:r>
          </w:p>
          <w:p>
            <w:pPr>
              <w:spacing w:after="0" w:before="0"/>
            </w:pPr>
            <w:r>
              <w:rPr>
                <w:rFonts w:ascii="Arial" w:cs="Arial" w:eastAsia="Arial" w:hAnsi="Arial"/>
                <w:color w:val="444441"/>
                <w:sz w:val="19"/>
                <w:szCs w:val="19"/>
              </w:rPr>
              <w:t xml:space="preserve">Talk + Live Demo · 45 min</w:t>
            </w:r>
          </w:p>
        </w:tc>
        <w:tc>
          <w:tcPr>
            <w:tcW w:type="dxa" w:w="234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40" w:before="0"/>
            </w:pPr>
            <w:r>
              <w:rPr>
                <w:rFonts w:ascii="Arial" w:cs="Arial" w:eastAsia="Arial" w:hAnsi="Arial"/>
                <w:b/>
                <w:bCs/>
                <w:color w:val="1D9E75"/>
                <w:sz w:val="18"/>
                <w:szCs w:val="18"/>
              </w:rPr>
              <w:t xml:space="preserve">Audience</w:t>
            </w:r>
          </w:p>
          <w:p>
            <w:pPr>
              <w:spacing w:after="0" w:before="0"/>
            </w:pPr>
            <w:r>
              <w:rPr>
                <w:rFonts w:ascii="Arial" w:cs="Arial" w:eastAsia="Arial" w:hAnsi="Arial"/>
                <w:color w:val="444441"/>
                <w:sz w:val="19"/>
                <w:szCs w:val="19"/>
              </w:rPr>
              <w:t xml:space="preserve">Engineers, Architects, Platform leads</w:t>
            </w:r>
          </w:p>
        </w:tc>
        <w:tc>
          <w:tcPr>
            <w:tcW w:type="dxa" w:w="234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40" w:before="0"/>
            </w:pPr>
            <w:r>
              <w:rPr>
                <w:rFonts w:ascii="Arial" w:cs="Arial" w:eastAsia="Arial" w:hAnsi="Arial"/>
                <w:b/>
                <w:bCs/>
                <w:color w:val="1D9E75"/>
                <w:sz w:val="18"/>
                <w:szCs w:val="18"/>
              </w:rPr>
              <w:t xml:space="preserve">Level</w:t>
            </w:r>
          </w:p>
          <w:p>
            <w:pPr>
              <w:spacing w:after="0" w:before="0"/>
            </w:pPr>
            <w:r>
              <w:rPr>
                <w:rFonts w:ascii="Arial" w:cs="Arial" w:eastAsia="Arial" w:hAnsi="Arial"/>
                <w:color w:val="444441"/>
                <w:sz w:val="19"/>
                <w:szCs w:val="19"/>
              </w:rPr>
              <w:t xml:space="preserve">Intermediate–Advanced</w:t>
            </w:r>
          </w:p>
        </w:tc>
      </w:tr>
    </w:tbl>
    <w:p>
      <w:pPr>
        <w:pBdr>
          <w:bottom w:val="single" w:color="E1F5EE" w:sz="6" w:space="1"/>
        </w:pBdr>
        <w:spacing w:after="160" w:before="160"/>
      </w:pPr>
      <w:r>
        <w:rPr>
          <w:rFonts w:ascii="Arial" w:cs="Arial" w:eastAsia="Arial" w:hAnsi="Arial"/>
          <w:sz w:val="4"/>
          <w:szCs w:val="4"/>
        </w:rPr>
        <w:t xml:space="preserve"/>
      </w:r>
    </w:p>
    <w:p>
      <w:pPr>
        <w:pStyle w:val="Heading1"/>
        <w:spacing w:after="160" w:before="360"/>
      </w:pPr>
      <w:r>
        <w:rPr>
          <w:rFonts w:ascii="Arial" w:cs="Arial" w:eastAsia="Arial" w:hAnsi="Arial"/>
          <w:b/>
          <w:bCs/>
          <w:color w:val="0F6E56"/>
          <w:sz w:val="32"/>
          <w:szCs w:val="32"/>
        </w:rPr>
        <w:t xml:space="preserve">The Problem Nobody Talks About</w:t>
      </w:r>
    </w:p>
    <w:p>
      <w:pPr>
        <w:spacing w:after="80" w:before="80"/>
      </w:pPr>
      <w:r>
        <w:rPr>
          <w:rFonts w:ascii="Arial" w:cs="Arial" w:eastAsia="Arial" w:hAnsi="Arial"/>
          <w:color w:val="2C2C2A"/>
          <w:sz w:val="22"/>
          <w:szCs w:val="22"/>
        </w:rPr>
        <w:t xml:space="preserve">You spent weeks getting your architecture approved. The board said yes to Kafka and Elasticsearch. Everyone signed off. Then six months later, someone checks the codebase and finds Cassandra quietly running in production — with zero documentation, zero review, and zero visibility.</w:t>
      </w:r>
    </w:p>
    <w:p>
      <w:pPr>
        <w:spacing w:after="0" w:before="0"/>
      </w:pPr>
      <w:r>
        <w:rPr>
          <w:rFonts w:ascii="Arial" w:cs="Arial" w:eastAsia="Arial" w:hAnsi="Arial"/>
          <w:sz w:val="22"/>
          <w:szCs w:val="22"/>
        </w:rPr>
        <w:t xml:space="preserve"/>
      </w:r>
    </w:p>
    <w:p>
      <w:pPr>
        <w:spacing w:after="80" w:before="80"/>
      </w:pPr>
      <w:r>
        <w:rPr>
          <w:rFonts w:ascii="Arial" w:cs="Arial" w:eastAsia="Arial" w:hAnsi="Arial"/>
          <w:color w:val="2C2C2A"/>
          <w:sz w:val="22"/>
          <w:szCs w:val="22"/>
        </w:rPr>
        <w:t xml:space="preserve">This isn’t a people problem. It’s a systems problem. And in banking, where architecture decisions carry regulatory, resilience, and cost implications, silent drift is a silent tax on everything we’re trying to build.</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after="60" w:before="0"/>
            </w:pPr>
            <w:r>
              <w:rPr>
                <w:rFonts w:ascii="Arial" w:cs="Arial" w:eastAsia="Arial" w:hAnsi="Arial"/>
                <w:b/>
                <w:bCs/>
                <w:color w:val="0F6E56"/>
                <w:sz w:val="20"/>
                <w:szCs w:val="20"/>
              </w:rPr>
              <w:t xml:space="preserve">💡  The core insight</w:t>
            </w:r>
          </w:p>
          <w:p>
            <w:pPr>
              <w:spacing w:after="0" w:before="0"/>
            </w:pPr>
            <w:r>
              <w:rPr>
                <w:rFonts w:ascii="Arial" w:cs="Arial" w:eastAsia="Arial" w:hAnsi="Arial"/>
                <w:color w:val="2C2C2A"/>
                <w:sz w:val="22"/>
                <w:szCs w:val="22"/>
              </w:rPr>
              <w:t xml:space="preserve">Approval is a moment. Architecture is a journey. Today, we govern the moment and ignore the journey. This session proposes closing that gap — permanently — through two concrete mechanisms built into the delivery pipeline itself.</w:t>
            </w:r>
          </w:p>
        </w:tc>
      </w:tr>
    </w:tbl>
    <w:p>
      <w:pPr>
        <w:pBdr>
          <w:bottom w:val="single" w:color="E1F5EE" w:sz="6" w:space="1"/>
        </w:pBdr>
        <w:spacing w:after="160" w:before="160"/>
      </w:pPr>
      <w:r>
        <w:rPr>
          <w:rFonts w:ascii="Arial" w:cs="Arial" w:eastAsia="Arial" w:hAnsi="Arial"/>
          <w:sz w:val="4"/>
          <w:szCs w:val="4"/>
        </w:rPr>
        <w:t xml:space="preserve"/>
      </w:r>
    </w:p>
    <w:p>
      <w:pPr>
        <w:pStyle w:val="Heading1"/>
        <w:spacing w:after="160" w:before="360"/>
      </w:pPr>
      <w:r>
        <w:rPr>
          <w:rFonts w:ascii="Arial" w:cs="Arial" w:eastAsia="Arial" w:hAnsi="Arial"/>
          <w:b/>
          <w:bCs/>
          <w:color w:val="0F6E56"/>
          <w:sz w:val="32"/>
          <w:szCs w:val="32"/>
        </w:rPr>
        <w:t xml:space="preserve">Why Architecture Drift Happens</w:t>
      </w:r>
    </w:p>
    <w:p>
      <w:pPr>
        <w:spacing w:after="80" w:before="80"/>
      </w:pPr>
      <w:r>
        <w:rPr>
          <w:rFonts w:ascii="Arial" w:cs="Arial" w:eastAsia="Arial" w:hAnsi="Arial"/>
          <w:color w:val="2C2C2A"/>
          <w:sz w:val="22"/>
          <w:szCs w:val="22"/>
        </w:rPr>
        <w:t xml:space="preserve">Drift isn’t caused by bad engineers. It’s caused by a governance model that ends at the approval gate.</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tcPr>
          <w:p>
            <w:r>
              <w:rPr>
                <w:rFonts w:ascii="Arial" w:cs="Arial" w:eastAsia="Arial" w:hAnsi="Arial"/>
                <w:b/>
                <w:bCs/>
                <w:color w:val="FFFFFF"/>
                <w:sz w:val="22"/>
                <w:szCs w:val="22"/>
              </w:rPr>
              <w:t xml:space="preserve">What the approval process assumes</w:t>
            </w:r>
          </w:p>
        </w:tc>
        <w:tc>
          <w:tcPr>
            <w:tcW w:type="dxa" w:w="4680"/>
            <w:tcBorders>
              <w:top w:val="single" w:color="D3D1C7" w:sz="1"/>
              <w:left w:val="single" w:color="D3D1C7" w:sz="1"/>
              <w:bottom w:val="single" w:color="D3D1C7" w:sz="1"/>
              <w:right w:val="single" w:color="D3D1C7" w:sz="1"/>
            </w:tcBorders>
            <w:shd w:fill="993C1D" w:val="clear"/>
            <w:tcMar>
              <w:top w:type="dxa" w:w="100"/>
              <w:left w:type="dxa" w:w="140"/>
              <w:bottom w:type="dxa" w:w="100"/>
              <w:right w:type="dxa" w:w="140"/>
            </w:tcMar>
          </w:tcPr>
          <w:p>
            <w:r>
              <w:rPr>
                <w:rFonts w:ascii="Arial" w:cs="Arial" w:eastAsia="Arial" w:hAnsi="Arial"/>
                <w:b/>
                <w:bCs/>
                <w:color w:val="FFFFFF"/>
                <w:sz w:val="22"/>
                <w:szCs w:val="22"/>
              </w:rPr>
              <w:t xml:space="preserve">What actually happens in delivery</w:t>
            </w:r>
          </w:p>
        </w:tc>
      </w:tr>
      <w:tr>
        <w:tc>
          <w:tcPr>
            <w:tcW w:type="dxa" w:w="4680"/>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tcPr>
          <w:p>
            <w:r>
              <w:rPr>
                <w:rFonts w:ascii="Arial" w:cs="Arial" w:eastAsia="Arial" w:hAnsi="Arial"/>
                <w:color w:val="085041"/>
                <w:sz w:val="21"/>
                <w:szCs w:val="21"/>
              </w:rPr>
              <w:t xml:space="preserve">The approved stack is stable and sufficient</w:t>
            </w:r>
          </w:p>
        </w:tc>
        <w:tc>
          <w:tcPr>
            <w:tcW w:type="dxa" w:w="4680"/>
            <w:tcBorders>
              <w:top w:val="single" w:color="D3D1C7" w:sz="1"/>
              <w:left w:val="single" w:color="D3D1C7" w:sz="1"/>
              <w:bottom w:val="single" w:color="D3D1C7" w:sz="1"/>
              <w:right w:val="single" w:color="D3D1C7" w:sz="1"/>
            </w:tcBorders>
            <w:shd w:fill="FAECE7" w:val="clear"/>
            <w:tcMar>
              <w:top w:type="dxa" w:w="80"/>
              <w:left w:type="dxa" w:w="140"/>
              <w:bottom w:type="dxa" w:w="80"/>
              <w:right w:type="dxa" w:w="140"/>
            </w:tcMar>
          </w:tcPr>
          <w:p>
            <w:r>
              <w:rPr>
                <w:rFonts w:ascii="Arial" w:cs="Arial" w:eastAsia="Arial" w:hAnsi="Arial"/>
                <w:color w:val="712B13"/>
                <w:sz w:val="21"/>
                <w:szCs w:val="21"/>
              </w:rPr>
              <w:t xml:space="preserve">Requirements evolve; engineers adapt with available tools</w:t>
            </w:r>
          </w:p>
        </w:tc>
      </w:tr>
      <w:tr>
        <w:tc>
          <w:tcPr>
            <w:tcW w:type="dxa" w:w="4680"/>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tcPr>
          <w:p>
            <w:r>
              <w:rPr>
                <w:rFonts w:ascii="Arial" w:cs="Arial" w:eastAsia="Arial" w:hAnsi="Arial"/>
                <w:color w:val="085041"/>
                <w:sz w:val="21"/>
                <w:szCs w:val="21"/>
              </w:rPr>
              <w:t xml:space="preserve">Teams consult architects before adopting new tech</w:t>
            </w:r>
          </w:p>
        </w:tc>
        <w:tc>
          <w:tcPr>
            <w:tcW w:type="dxa" w:w="4680"/>
            <w:tcBorders>
              <w:top w:val="single" w:color="D3D1C7" w:sz="1"/>
              <w:left w:val="single" w:color="D3D1C7" w:sz="1"/>
              <w:bottom w:val="single" w:color="D3D1C7" w:sz="1"/>
              <w:right w:val="single" w:color="D3D1C7" w:sz="1"/>
            </w:tcBorders>
            <w:shd w:fill="FAECE7" w:val="clear"/>
            <w:tcMar>
              <w:top w:type="dxa" w:w="80"/>
              <w:left w:type="dxa" w:w="140"/>
              <w:bottom w:type="dxa" w:w="80"/>
              <w:right w:type="dxa" w:w="140"/>
            </w:tcMar>
          </w:tcPr>
          <w:p>
            <w:r>
              <w:rPr>
                <w:rFonts w:ascii="Arial" w:cs="Arial" w:eastAsia="Arial" w:hAnsi="Arial"/>
                <w:color w:val="712B13"/>
                <w:sz w:val="21"/>
                <w:szCs w:val="21"/>
              </w:rPr>
              <w:t xml:space="preserve">Deadlines create pressure to “just make it work”</w:t>
            </w:r>
          </w:p>
        </w:tc>
      </w:tr>
      <w:tr>
        <w:tc>
          <w:tcPr>
            <w:tcW w:type="dxa" w:w="4680"/>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tcPr>
          <w:p>
            <w:r>
              <w:rPr>
                <w:rFonts w:ascii="Arial" w:cs="Arial" w:eastAsia="Arial" w:hAnsi="Arial"/>
                <w:color w:val="085041"/>
                <w:sz w:val="21"/>
                <w:szCs w:val="21"/>
              </w:rPr>
              <w:t xml:space="preserve">Deviations surface in retrospectives or reviews</w:t>
            </w:r>
          </w:p>
        </w:tc>
        <w:tc>
          <w:tcPr>
            <w:tcW w:type="dxa" w:w="4680"/>
            <w:tcBorders>
              <w:top w:val="single" w:color="D3D1C7" w:sz="1"/>
              <w:left w:val="single" w:color="D3D1C7" w:sz="1"/>
              <w:bottom w:val="single" w:color="D3D1C7" w:sz="1"/>
              <w:right w:val="single" w:color="D3D1C7" w:sz="1"/>
            </w:tcBorders>
            <w:shd w:fill="FAECE7" w:val="clear"/>
            <w:tcMar>
              <w:top w:type="dxa" w:w="80"/>
              <w:left w:type="dxa" w:w="140"/>
              <w:bottom w:type="dxa" w:w="80"/>
              <w:right w:type="dxa" w:w="140"/>
            </w:tcMar>
          </w:tcPr>
          <w:p>
            <w:r>
              <w:rPr>
                <w:rFonts w:ascii="Arial" w:cs="Arial" w:eastAsia="Arial" w:hAnsi="Arial"/>
                <w:color w:val="712B13"/>
                <w:sz w:val="21"/>
                <w:szCs w:val="21"/>
              </w:rPr>
              <w:t xml:space="preserve">Deviations are invisible until an audit or incident</w:t>
            </w:r>
          </w:p>
        </w:tc>
      </w:tr>
      <w:tr>
        <w:tc>
          <w:tcPr>
            <w:tcW w:type="dxa" w:w="4680"/>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tcPr>
          <w:p>
            <w:r>
              <w:rPr>
                <w:rFonts w:ascii="Arial" w:cs="Arial" w:eastAsia="Arial" w:hAnsi="Arial"/>
                <w:color w:val="085041"/>
                <w:sz w:val="21"/>
                <w:szCs w:val="21"/>
              </w:rPr>
              <w:t xml:space="preserve">Regulatory and security implications are re-assessed</w:t>
            </w:r>
          </w:p>
        </w:tc>
        <w:tc>
          <w:tcPr>
            <w:tcW w:type="dxa" w:w="4680"/>
            <w:tcBorders>
              <w:top w:val="single" w:color="D3D1C7" w:sz="1"/>
              <w:left w:val="single" w:color="D3D1C7" w:sz="1"/>
              <w:bottom w:val="single" w:color="D3D1C7" w:sz="1"/>
              <w:right w:val="single" w:color="D3D1C7" w:sz="1"/>
            </w:tcBorders>
            <w:shd w:fill="FAECE7" w:val="clear"/>
            <w:tcMar>
              <w:top w:type="dxa" w:w="80"/>
              <w:left w:type="dxa" w:w="140"/>
              <w:bottom w:type="dxa" w:w="80"/>
              <w:right w:type="dxa" w:w="140"/>
            </w:tcMar>
          </w:tcPr>
          <w:p>
            <w:r>
              <w:rPr>
                <w:rFonts w:ascii="Arial" w:cs="Arial" w:eastAsia="Arial" w:hAnsi="Arial"/>
                <w:color w:val="712B13"/>
                <w:sz w:val="21"/>
                <w:szCs w:val="21"/>
              </w:rPr>
              <w:t xml:space="preserve">New components enter without risk re-evaluation</w:t>
            </w:r>
          </w:p>
        </w:tc>
      </w:tr>
      <w:tr>
        <w:tc>
          <w:tcPr>
            <w:tcW w:type="dxa" w:w="4680"/>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tcPr>
          <w:p>
            <w:r>
              <w:rPr>
                <w:rFonts w:ascii="Arial" w:cs="Arial" w:eastAsia="Arial" w:hAnsi="Arial"/>
                <w:color w:val="085041"/>
                <w:sz w:val="21"/>
                <w:szCs w:val="21"/>
              </w:rPr>
              <w:t xml:space="preserve">Approved architecture reflects what’s in production</w:t>
            </w:r>
          </w:p>
        </w:tc>
        <w:tc>
          <w:tcPr>
            <w:tcW w:type="dxa" w:w="4680"/>
            <w:tcBorders>
              <w:top w:val="single" w:color="D3D1C7" w:sz="1"/>
              <w:left w:val="single" w:color="D3D1C7" w:sz="1"/>
              <w:bottom w:val="single" w:color="D3D1C7" w:sz="1"/>
              <w:right w:val="single" w:color="D3D1C7" w:sz="1"/>
            </w:tcBorders>
            <w:shd w:fill="FAECE7" w:val="clear"/>
            <w:tcMar>
              <w:top w:type="dxa" w:w="80"/>
              <w:left w:type="dxa" w:w="140"/>
              <w:bottom w:type="dxa" w:w="80"/>
              <w:right w:type="dxa" w:w="140"/>
            </w:tcMar>
          </w:tcPr>
          <w:p>
            <w:r>
              <w:rPr>
                <w:rFonts w:ascii="Arial" w:cs="Arial" w:eastAsia="Arial" w:hAnsi="Arial"/>
                <w:color w:val="712B13"/>
                <w:sz w:val="21"/>
                <w:szCs w:val="21"/>
              </w:rPr>
              <w:t xml:space="preserve">The approved diagram and the real system diverge silently</w:t>
            </w:r>
          </w:p>
        </w:tc>
      </w:tr>
    </w:tbl>
    <w:p>
      <w:pPr>
        <w:spacing w:after="0" w:before="0"/>
      </w:pPr>
      <w:r>
        <w:rPr>
          <w:rFonts w:ascii="Arial" w:cs="Arial" w:eastAsia="Arial" w:hAnsi="Arial"/>
          <w:sz w:val="22"/>
          <w:szCs w:val="22"/>
        </w:rPr>
        <w:t xml:space="preserve"/>
      </w:r>
    </w:p>
    <w:p>
      <w:pPr>
        <w:spacing w:after="80" w:before="80"/>
      </w:pPr>
      <w:r>
        <w:rPr>
          <w:rFonts w:ascii="Arial" w:cs="Arial" w:eastAsia="Arial" w:hAnsi="Arial"/>
          <w:color w:val="2C2C2A"/>
          <w:sz w:val="22"/>
          <w:szCs w:val="22"/>
        </w:rPr>
        <w:t xml:space="preserve">The result: teams accumulate technical and regulatory debt they didn’t consciously choose. Architecture review boards make decisions on a system that no longer matches the diagram in front of them.</w:t>
      </w:r>
    </w:p>
    <w:p>
      <w:pPr>
        <w:pBdr>
          <w:bottom w:val="single" w:color="E1F5EE" w:sz="6" w:space="1"/>
        </w:pBdr>
        <w:spacing w:after="160" w:before="160"/>
      </w:pPr>
      <w:r>
        <w:rPr>
          <w:rFonts w:ascii="Arial" w:cs="Arial" w:eastAsia="Arial" w:hAnsi="Arial"/>
          <w:sz w:val="4"/>
          <w:szCs w:val="4"/>
        </w:rPr>
        <w:t xml:space="preserve"/>
      </w:r>
    </w:p>
    <w:p>
      <w:pPr>
        <w:pStyle w:val="Heading1"/>
        <w:spacing w:after="160" w:before="360"/>
      </w:pPr>
      <w:r>
        <w:rPr>
          <w:rFonts w:ascii="Arial" w:cs="Arial" w:eastAsia="Arial" w:hAnsi="Arial"/>
          <w:b/>
          <w:bCs/>
          <w:color w:val="0F6E56"/>
          <w:sz w:val="32"/>
          <w:szCs w:val="32"/>
        </w:rPr>
        <w:t xml:space="preserve">The Proposed Solution: Drift by Design, Not by Default</w:t>
      </w:r>
    </w:p>
    <w:p>
      <w:pPr>
        <w:spacing w:after="80" w:before="80"/>
      </w:pPr>
      <w:r>
        <w:rPr>
          <w:rFonts w:ascii="Arial" w:cs="Arial" w:eastAsia="Arial" w:hAnsi="Arial"/>
          <w:color w:val="2C2C2A"/>
          <w:sz w:val="22"/>
          <w:szCs w:val="22"/>
        </w:rPr>
        <w:t xml:space="preserve">This session introduces two complementary mechanisms to enforce architectural intent across the full delivery lifecycle. Neither requires a new committee. Both live inside the toolchain engineers already use.</w:t>
      </w:r>
    </w:p>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444441"/>
          <w:sz w:val="26"/>
          <w:szCs w:val="26"/>
        </w:rPr>
        <w:t xml:space="preserve">Mechanism 1 — SDD-Enforced Technology Constraints</w:t>
      </w:r>
    </w:p>
    <w:p>
      <w:pPr>
        <w:spacing w:after="80" w:before="80"/>
      </w:pPr>
      <w:r>
        <w:rPr>
          <w:rFonts w:ascii="Arial" w:cs="Arial" w:eastAsia="Arial" w:hAnsi="Arial"/>
          <w:color w:val="2C2C2A"/>
          <w:sz w:val="22"/>
          <w:szCs w:val="22"/>
        </w:rPr>
        <w:t xml:space="preserve">Solution Design Documents (SDDs) are already the canonical source of architectural truth. The proposal: make them executable.</w:t>
      </w:r>
    </w:p>
    <w:p>
      <w:pPr>
        <w:spacing w:after="0" w:before="0"/>
      </w:pPr>
      <w:r>
        <w:rPr>
          <w:rFonts w:ascii="Arial" w:cs="Arial" w:eastAsia="Arial" w:hAnsi="Arial"/>
          <w:sz w:val="22"/>
          <w:szCs w:val="22"/>
        </w:rPr>
        <w:t xml:space="preserve"/>
      </w:r>
    </w:p>
    <w:p>
      <w:pPr>
        <w:spacing w:after="80" w:before="80"/>
      </w:pPr>
      <w:r>
        <w:rPr>
          <w:rFonts w:ascii="Arial" w:cs="Arial" w:eastAsia="Arial" w:hAnsi="Arial"/>
          <w:color w:val="2C2C2A"/>
          <w:sz w:val="22"/>
          <w:szCs w:val="22"/>
        </w:rPr>
        <w:t xml:space="preserve">Today, an SDD describes what you intend to build. Tomorrow, it specifies what you’re allowed to build — and the pipeline enforces it.</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60"/>
              <w:left w:type="dxa" w:w="200"/>
              <w:bottom w:type="dxa" w:w="160"/>
              <w:right w:type="dxa" w:w="200"/>
            </w:tcMar>
          </w:tcPr>
          <w:p>
            <w:pPr>
              <w:spacing w:after="60" w:before="0"/>
            </w:pPr>
            <w:r>
              <w:rPr>
                <w:rFonts w:ascii="Arial" w:cs="Arial" w:eastAsia="Arial" w:hAnsi="Arial"/>
                <w:b/>
                <w:bCs/>
                <w:color w:val="444441"/>
                <w:sz w:val="20"/>
                <w:szCs w:val="20"/>
              </w:rPr>
              <w:t xml:space="preserve">How it works</w:t>
            </w:r>
          </w:p>
          <w:p>
            <w:pPr>
              <w:spacing w:after="0" w:before="0"/>
            </w:pPr>
            <w:r>
              <w:rPr>
                <w:rFonts w:ascii="Arial" w:cs="Arial" w:eastAsia="Arial" w:hAnsi="Arial"/>
                <w:color w:val="2C2C2A"/>
                <w:sz w:val="22"/>
                <w:szCs w:val="22"/>
              </w:rPr>
              <w:t xml:space="preserve">Each SDD includes a machine-readable “Approved Technology Manifest” — a structured declaration of permitted libraries, frameworks, datastores, messaging systems, and cloud services. This manifest is version-controlled alongside the SDD and becomes the reference point for automated checks throughout the build and review lifecycle.</w:t>
            </w:r>
          </w:p>
        </w:tc>
      </w:tr>
    </w:tbl>
    <w:p>
      <w:pPr>
        <w:spacing w:after="0" w:before="0"/>
      </w:pPr>
      <w:r>
        <w:rPr>
          <w:rFonts w:ascii="Arial" w:cs="Arial" w:eastAsia="Arial" w:hAnsi="Arial"/>
          <w:sz w:val="22"/>
          <w:szCs w:val="22"/>
        </w:rPr>
        <w:t xml:space="preserve"/>
      </w:r>
    </w:p>
    <w:p>
      <w:pPr>
        <w:spacing w:after="80" w:before="200"/>
      </w:pPr>
      <w:r>
        <w:rPr>
          <w:rFonts w:ascii="Arial" w:cs="Arial" w:eastAsia="Arial" w:hAnsi="Arial"/>
          <w:b/>
          <w:bCs/>
          <w:color w:val="1D9E75"/>
          <w:sz w:val="22"/>
          <w:szCs w:val="22"/>
        </w:rPr>
        <w:t xml:space="preserve">What gets enforced</w:t>
      </w:r>
    </w:p>
    <w:p>
      <w:pPr>
        <w:pStyle w:val="ListParagraph"/>
        <w:numPr>
          <w:ilvl w:val="0"/>
          <w:numId w:val="2"/>
        </w:numPr>
        <w:spacing w:after="60" w:before="60"/>
      </w:pPr>
      <w:r>
        <w:rPr>
          <w:rFonts w:ascii="Arial" w:cs="Arial" w:eastAsia="Arial" w:hAnsi="Arial"/>
          <w:color w:val="2C2C2A"/>
          <w:sz w:val="22"/>
          <w:szCs w:val="22"/>
        </w:rPr>
        <w:t xml:space="preserve">Dependency scanning against the approved manifest on every pull request</w:t>
      </w:r>
    </w:p>
    <w:p>
      <w:pPr>
        <w:pStyle w:val="ListParagraph"/>
        <w:numPr>
          <w:ilvl w:val="0"/>
          <w:numId w:val="2"/>
        </w:numPr>
        <w:spacing w:after="60" w:before="60"/>
      </w:pPr>
      <w:r>
        <w:rPr>
          <w:rFonts w:ascii="Arial" w:cs="Arial" w:eastAsia="Arial" w:hAnsi="Arial"/>
          <w:color w:val="2C2C2A"/>
          <w:sz w:val="22"/>
          <w:szCs w:val="22"/>
        </w:rPr>
        <w:t xml:space="preserve">Hard blocks on new datastores, messaging layers, or cloud services not listed in the approved SDD</w:t>
      </w:r>
    </w:p>
    <w:p>
      <w:pPr>
        <w:pStyle w:val="ListParagraph"/>
        <w:numPr>
          <w:ilvl w:val="0"/>
          <w:numId w:val="2"/>
        </w:numPr>
        <w:spacing w:after="60" w:before="60"/>
      </w:pPr>
      <w:r>
        <w:rPr>
          <w:rFonts w:ascii="Arial" w:cs="Arial" w:eastAsia="Arial" w:hAnsi="Arial"/>
          <w:color w:val="2C2C2A"/>
          <w:sz w:val="22"/>
          <w:szCs w:val="22"/>
        </w:rPr>
        <w:t xml:space="preserve">Soft warnings (with mandatory architect sign-off) for libraries adjacent to approved choices</w:t>
      </w:r>
    </w:p>
    <w:p>
      <w:pPr>
        <w:pStyle w:val="ListParagraph"/>
        <w:numPr>
          <w:ilvl w:val="0"/>
          <w:numId w:val="2"/>
        </w:numPr>
        <w:spacing w:after="60" w:before="60"/>
      </w:pPr>
      <w:r>
        <w:rPr>
          <w:rFonts w:ascii="Arial" w:cs="Arial" w:eastAsia="Arial" w:hAnsi="Arial"/>
          <w:color w:val="2C2C2A"/>
          <w:sz w:val="22"/>
          <w:szCs w:val="22"/>
        </w:rPr>
        <w:t xml:space="preserve">Automatic flagging of transitive dependencies that introduce unapproved technology</w:t>
      </w:r>
    </w:p>
    <w:p>
      <w:pPr>
        <w:spacing w:after="0" w:before="0"/>
      </w:pPr>
      <w:r>
        <w:rPr>
          <w:rFonts w:ascii="Arial" w:cs="Arial" w:eastAsia="Arial" w:hAnsi="Arial"/>
          <w:sz w:val="22"/>
          <w:szCs w:val="22"/>
        </w:rPr>
        <w:t xml:space="preserve"/>
      </w:r>
    </w:p>
    <w:p>
      <w:pPr>
        <w:spacing w:after="80" w:before="200"/>
      </w:pPr>
      <w:r>
        <w:rPr>
          <w:rFonts w:ascii="Arial" w:cs="Arial" w:eastAsia="Arial" w:hAnsi="Arial"/>
          <w:b/>
          <w:bCs/>
          <w:color w:val="1D9E75"/>
          <w:sz w:val="22"/>
          <w:szCs w:val="22"/>
        </w:rPr>
        <w:t xml:space="preserve">What stays flexible</w:t>
      </w:r>
    </w:p>
    <w:p>
      <w:pPr>
        <w:pStyle w:val="ListParagraph"/>
        <w:numPr>
          <w:ilvl w:val="0"/>
          <w:numId w:val="2"/>
        </w:numPr>
        <w:spacing w:after="60" w:before="60"/>
      </w:pPr>
      <w:r>
        <w:rPr>
          <w:rFonts w:ascii="Arial" w:cs="Arial" w:eastAsia="Arial" w:hAnsi="Arial"/>
          <w:color w:val="2C2C2A"/>
          <w:sz w:val="22"/>
          <w:szCs w:val="22"/>
        </w:rPr>
        <w:t xml:space="preserve">Version upgrades within the approved stack proceed without friction</w:t>
      </w:r>
    </w:p>
    <w:p>
      <w:pPr>
        <w:pStyle w:val="ListParagraph"/>
        <w:numPr>
          <w:ilvl w:val="0"/>
          <w:numId w:val="2"/>
        </w:numPr>
        <w:spacing w:after="60" w:before="60"/>
      </w:pPr>
      <w:r>
        <w:rPr>
          <w:rFonts w:ascii="Arial" w:cs="Arial" w:eastAsia="Arial" w:hAnsi="Arial"/>
          <w:color w:val="2C2C2A"/>
          <w:sz w:val="22"/>
          <w:szCs w:val="22"/>
        </w:rPr>
        <w:t xml:space="preserve">Patch-level dependencies are excluded from enforcement</w:t>
      </w:r>
    </w:p>
    <w:p>
      <w:pPr>
        <w:pStyle w:val="ListParagraph"/>
        <w:numPr>
          <w:ilvl w:val="0"/>
          <w:numId w:val="2"/>
        </w:numPr>
        <w:spacing w:after="60" w:before="60"/>
      </w:pPr>
      <w:r>
        <w:rPr>
          <w:rFonts w:ascii="Arial" w:cs="Arial" w:eastAsia="Arial" w:hAnsi="Arial"/>
          <w:color w:val="2C2C2A"/>
          <w:sz w:val="22"/>
          <w:szCs w:val="22"/>
        </w:rPr>
        <w:t xml:space="preserve">Teams can raise a fast-track deviation request — lightweight, async, and logged — when genuinely needed</w:t>
      </w:r>
    </w:p>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444441"/>
          <w:sz w:val="26"/>
          <w:szCs w:val="26"/>
        </w:rPr>
        <w:t xml:space="preserve">Mechanism 2 — Pre-Deployment Blocking via Jules Integration</w:t>
      </w:r>
    </w:p>
    <w:p>
      <w:pPr>
        <w:spacing w:after="80" w:before="80"/>
      </w:pPr>
      <w:r>
        <w:rPr>
          <w:rFonts w:ascii="Arial" w:cs="Arial" w:eastAsia="Arial" w:hAnsi="Arial"/>
          <w:color w:val="2C2C2A"/>
          <w:sz w:val="22"/>
          <w:szCs w:val="22"/>
        </w:rPr>
        <w:t xml:space="preserve">Jules is already part of the deployment gate. The proposal: give it architectural awareness.</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60"/>
              <w:left w:type="dxa" w:w="200"/>
              <w:bottom w:type="dxa" w:w="160"/>
              <w:right w:type="dxa" w:w="200"/>
            </w:tcMar>
          </w:tcPr>
          <w:p>
            <w:pPr>
              <w:spacing w:after="60" w:before="0"/>
            </w:pPr>
            <w:r>
              <w:rPr>
                <w:rFonts w:ascii="Arial" w:cs="Arial" w:eastAsia="Arial" w:hAnsi="Arial"/>
                <w:b/>
                <w:bCs/>
                <w:color w:val="854F0B"/>
                <w:sz w:val="20"/>
                <w:szCs w:val="20"/>
              </w:rPr>
              <w:t xml:space="preserve">The intervention point</w:t>
            </w:r>
          </w:p>
          <w:p>
            <w:pPr>
              <w:spacing w:after="0" w:before="0"/>
            </w:pPr>
            <w:r>
              <w:rPr>
                <w:rFonts w:ascii="Arial" w:cs="Arial" w:eastAsia="Arial" w:hAnsi="Arial"/>
                <w:color w:val="2C2C2A"/>
                <w:sz w:val="22"/>
                <w:szCs w:val="22"/>
              </w:rPr>
              <w:t xml:space="preserve">At the pre-deployment stage, Jules compares the actual dependency and infrastructure manifest of the build artifact against the approved SDD technology manifest. Any discrepancy that has not been formally acknowledged triggers a deployment block. No exceptions without a recorded approval.</w:t>
            </w:r>
          </w:p>
        </w:tc>
      </w:tr>
    </w:tbl>
    <w:p>
      <w:pPr>
        <w:spacing w:after="0" w:before="0"/>
      </w:pPr>
      <w:r>
        <w:rPr>
          <w:rFonts w:ascii="Arial" w:cs="Arial" w:eastAsia="Arial" w:hAnsi="Arial"/>
          <w:sz w:val="22"/>
          <w:szCs w:val="22"/>
        </w:rPr>
        <w:t xml:space="preserve"/>
      </w:r>
    </w:p>
    <w:p>
      <w:pPr>
        <w:spacing w:after="80" w:before="200"/>
      </w:pPr>
      <w:r>
        <w:rPr>
          <w:rFonts w:ascii="Arial" w:cs="Arial" w:eastAsia="Arial" w:hAnsi="Arial"/>
          <w:b/>
          <w:bCs/>
          <w:color w:val="1D9E75"/>
          <w:sz w:val="22"/>
          <w:szCs w:val="22"/>
        </w:rPr>
        <w:t xml:space="preserve">Deployment gate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tcPr>
          <w:p>
            <w:r>
              <w:rPr>
                <w:rFonts w:ascii="Arial" w:cs="Arial" w:eastAsia="Arial" w:hAnsi="Arial"/>
                <w:b/>
                <w:bCs/>
                <w:color w:val="FFFFFF"/>
                <w:sz w:val="21"/>
                <w:szCs w:val="21"/>
              </w:rPr>
              <w:t xml:space="preserve">Check</w:t>
            </w:r>
          </w:p>
        </w:tc>
        <w:tc>
          <w:tcPr>
            <w:tcW w:type="dxa" w:w="312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tcPr>
          <w:p>
            <w:r>
              <w:rPr>
                <w:rFonts w:ascii="Arial" w:cs="Arial" w:eastAsia="Arial" w:hAnsi="Arial"/>
                <w:b/>
                <w:bCs/>
                <w:color w:val="FFFFFF"/>
                <w:sz w:val="21"/>
                <w:szCs w:val="21"/>
              </w:rPr>
              <w:t xml:space="preserve">On match</w:t>
            </w:r>
          </w:p>
        </w:tc>
        <w:tc>
          <w:tcPr>
            <w:tcW w:type="dxa" w:w="312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tcPr>
          <w:p>
            <w:r>
              <w:rPr>
                <w:rFonts w:ascii="Arial" w:cs="Arial" w:eastAsia="Arial" w:hAnsi="Arial"/>
                <w:b/>
                <w:bCs/>
                <w:color w:val="FFFFFF"/>
                <w:sz w:val="21"/>
                <w:szCs w:val="21"/>
              </w:rPr>
              <w:t xml:space="preserve">On deviation</w:t>
            </w:r>
          </w:p>
        </w:tc>
      </w:tr>
      <w:tr>
        <w:tc>
          <w:tcPr>
            <w:tcW w:type="dxa" w:w="312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color w:val="2C2C2A"/>
                <w:sz w:val="20"/>
                <w:szCs w:val="20"/>
              </w:rPr>
              <w:t xml:space="preserve">Datastore technologies</w:t>
            </w:r>
          </w:p>
        </w:tc>
        <w:tc>
          <w:tcPr>
            <w:tcW w:type="dxa" w:w="312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color w:val="2C2C2A"/>
                <w:sz w:val="20"/>
                <w:szCs w:val="20"/>
              </w:rPr>
              <w:t xml:space="preserve">Deploy proceeds</w:t>
            </w:r>
          </w:p>
        </w:tc>
        <w:tc>
          <w:tcPr>
            <w:tcW w:type="dxa" w:w="312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color w:val="2C2C2A"/>
                <w:sz w:val="20"/>
                <w:szCs w:val="20"/>
              </w:rPr>
              <w:t xml:space="preserve">Hard block + alert to architect</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Messaging / event platforms</w:t>
            </w:r>
          </w:p>
        </w:tc>
        <w:tc>
          <w:tcPr>
            <w:tcW w:type="dxa" w:w="312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Deploy proceeds</w:t>
            </w:r>
          </w:p>
        </w:tc>
        <w:tc>
          <w:tcPr>
            <w:tcW w:type="dxa" w:w="312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Hard block + alert to architect</w:t>
            </w:r>
          </w:p>
        </w:tc>
      </w:tr>
      <w:tr>
        <w:tc>
          <w:tcPr>
            <w:tcW w:type="dxa" w:w="312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color w:val="2C2C2A"/>
                <w:sz w:val="20"/>
                <w:szCs w:val="20"/>
              </w:rPr>
              <w:t xml:space="preserve">Approved cloud services</w:t>
            </w:r>
          </w:p>
        </w:tc>
        <w:tc>
          <w:tcPr>
            <w:tcW w:type="dxa" w:w="312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color w:val="2C2C2A"/>
                <w:sz w:val="20"/>
                <w:szCs w:val="20"/>
              </w:rPr>
              <w:t xml:space="preserve">Deploy proceeds</w:t>
            </w:r>
          </w:p>
        </w:tc>
        <w:tc>
          <w:tcPr>
            <w:tcW w:type="dxa" w:w="312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color w:val="2C2C2A"/>
                <w:sz w:val="20"/>
                <w:szCs w:val="20"/>
              </w:rPr>
              <w:t xml:space="preserve">Hard block + alert to architect</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Framework / runtime versions</w:t>
            </w:r>
          </w:p>
        </w:tc>
        <w:tc>
          <w:tcPr>
            <w:tcW w:type="dxa" w:w="312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Deploy proceeds</w:t>
            </w:r>
          </w:p>
        </w:tc>
        <w:tc>
          <w:tcPr>
            <w:tcW w:type="dxa" w:w="312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Soft warning — logged</w:t>
            </w:r>
          </w:p>
        </w:tc>
      </w:tr>
      <w:tr>
        <w:tc>
          <w:tcPr>
            <w:tcW w:type="dxa" w:w="312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color w:val="2C2C2A"/>
                <w:sz w:val="20"/>
                <w:szCs w:val="20"/>
              </w:rPr>
              <w:t xml:space="preserve">Formally approved deviation</w:t>
            </w:r>
          </w:p>
        </w:tc>
        <w:tc>
          <w:tcPr>
            <w:tcW w:type="dxa" w:w="312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color w:val="2C2C2A"/>
                <w:sz w:val="20"/>
                <w:szCs w:val="20"/>
              </w:rPr>
              <w:t xml:space="preserve">Deploy proceeds</w:t>
            </w:r>
          </w:p>
        </w:tc>
        <w:tc>
          <w:tcPr>
            <w:tcW w:type="dxa" w:w="312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color w:val="2C2C2A"/>
                <w:sz w:val="20"/>
                <w:szCs w:val="20"/>
              </w:rPr>
              <w:t xml:space="preserve">N/A — deviation on record</w:t>
            </w:r>
          </w:p>
        </w:tc>
      </w:tr>
    </w:tbl>
    <w:p>
      <w:pPr>
        <w:spacing w:after="0" w:before="0"/>
      </w:pPr>
      <w:r>
        <w:rPr>
          <w:rFonts w:ascii="Arial" w:cs="Arial" w:eastAsia="Arial" w:hAnsi="Arial"/>
          <w:sz w:val="22"/>
          <w:szCs w:val="22"/>
        </w:rPr>
        <w:t xml:space="preserve"/>
      </w:r>
    </w:p>
    <w:p>
      <w:pPr>
        <w:spacing w:after="80" w:before="80"/>
      </w:pPr>
      <w:r>
        <w:rPr>
          <w:rFonts w:ascii="Arial" w:cs="Arial" w:eastAsia="Arial" w:hAnsi="Arial"/>
          <w:color w:val="2C2C2A"/>
          <w:sz w:val="22"/>
          <w:szCs w:val="22"/>
        </w:rPr>
        <w:t xml:space="preserve">Crucially, the block is not a dead end. A deviation acknowledgement workflow — lightweight, mobile-friendly, async — allows an authorised architect to approve the delta in minutes, with full audit trail. The goal is governance, not gridlock.</w:t>
      </w:r>
    </w:p>
    <w:p>
      <w:pPr>
        <w:pBdr>
          <w:bottom w:val="single" w:color="E1F5EE" w:sz="6" w:space="1"/>
        </w:pBdr>
        <w:spacing w:after="160" w:before="160"/>
      </w:pPr>
      <w:r>
        <w:rPr>
          <w:rFonts w:ascii="Arial" w:cs="Arial" w:eastAsia="Arial" w:hAnsi="Arial"/>
          <w:sz w:val="4"/>
          <w:szCs w:val="4"/>
        </w:rPr>
        <w:t xml:space="preserve"/>
      </w:r>
    </w:p>
    <w:p>
      <w:pPr>
        <w:pStyle w:val="Heading1"/>
        <w:spacing w:after="160" w:before="360"/>
      </w:pPr>
      <w:r>
        <w:rPr>
          <w:rFonts w:ascii="Arial" w:cs="Arial" w:eastAsia="Arial" w:hAnsi="Arial"/>
          <w:b/>
          <w:bCs/>
          <w:color w:val="0F6E56"/>
          <w:sz w:val="32"/>
          <w:szCs w:val="32"/>
        </w:rPr>
        <w:t xml:space="preserve">What Good Looks Like</w:t>
      </w:r>
    </w:p>
    <w:p>
      <w:pPr>
        <w:spacing w:after="80" w:before="80"/>
      </w:pPr>
      <w:r>
        <w:rPr>
          <w:rFonts w:ascii="Arial" w:cs="Arial" w:eastAsia="Arial" w:hAnsi="Arial"/>
          <w:color w:val="2C2C2A"/>
          <w:sz w:val="22"/>
          <w:szCs w:val="22"/>
        </w:rPr>
        <w:t xml:space="preserve">A live walkthrough will show the audience the full journey from SDD approval to deployed artifact, contrasting the current state with the proposed future state.</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3D1C7" w:sz="1"/>
              <w:left w:val="single" w:color="D3D1C7" w:sz="1"/>
              <w:bottom w:val="single" w:color="D3D1C7" w:sz="1"/>
              <w:right w:val="single" w:color="D3D1C7" w:sz="1"/>
            </w:tcBorders>
            <w:shd w:fill="1D9E75" w:val="clear"/>
            <w:tcMar>
              <w:top w:type="dxa" w:w="100"/>
              <w:left w:type="dxa" w:w="140"/>
              <w:bottom w:type="dxa" w:w="100"/>
              <w:right w:type="dxa" w:w="140"/>
            </w:tcMar>
          </w:tcPr>
          <w:p>
            <w:r>
              <w:rPr>
                <w:rFonts w:ascii="Arial" w:cs="Arial" w:eastAsia="Arial" w:hAnsi="Arial"/>
                <w:b/>
                <w:bCs/>
                <w:color w:val="FFFFFF"/>
                <w:sz w:val="22"/>
                <w:szCs w:val="22"/>
              </w:rPr>
              <w:t xml:space="preserve">✅  With drift enforcement</w:t>
            </w:r>
          </w:p>
        </w:tc>
        <w:tc>
          <w:tcPr>
            <w:tcW w:type="dxa" w:w="4680"/>
            <w:tcBorders>
              <w:top w:val="single" w:color="D3D1C7" w:sz="1"/>
              <w:left w:val="single" w:color="D3D1C7" w:sz="1"/>
              <w:bottom w:val="single" w:color="D3D1C7" w:sz="1"/>
              <w:right w:val="single" w:color="D3D1C7" w:sz="1"/>
            </w:tcBorders>
            <w:shd w:fill="993C1D" w:val="clear"/>
            <w:tcMar>
              <w:top w:type="dxa" w:w="100"/>
              <w:left w:type="dxa" w:w="140"/>
              <w:bottom w:type="dxa" w:w="100"/>
              <w:right w:type="dxa" w:w="140"/>
            </w:tcMar>
          </w:tcPr>
          <w:p>
            <w:r>
              <w:rPr>
                <w:rFonts w:ascii="Arial" w:cs="Arial" w:eastAsia="Arial" w:hAnsi="Arial"/>
                <w:b/>
                <w:bCs/>
                <w:color w:val="FFFFFF"/>
                <w:sz w:val="22"/>
                <w:szCs w:val="22"/>
              </w:rPr>
              <w:t xml:space="preserve">❌  Without drift enforcement</w:t>
            </w:r>
          </w:p>
        </w:tc>
      </w:tr>
      <w:tr>
        <w:tc>
          <w:tcPr>
            <w:tcW w:type="dxa" w:w="4680"/>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tcPr>
          <w:p>
            <w:r>
              <w:rPr>
                <w:rFonts w:ascii="Arial" w:cs="Arial" w:eastAsia="Arial" w:hAnsi="Arial"/>
                <w:color w:val="085041"/>
                <w:sz w:val="21"/>
                <w:szCs w:val="21"/>
              </w:rPr>
              <w:t xml:space="preserve">Cassandra import triggers a PR check failure with a clear message</w:t>
            </w:r>
          </w:p>
        </w:tc>
        <w:tc>
          <w:tcPr>
            <w:tcW w:type="dxa" w:w="4680"/>
            <w:tcBorders>
              <w:top w:val="single" w:color="D3D1C7" w:sz="1"/>
              <w:left w:val="single" w:color="D3D1C7" w:sz="1"/>
              <w:bottom w:val="single" w:color="D3D1C7" w:sz="1"/>
              <w:right w:val="single" w:color="D3D1C7" w:sz="1"/>
            </w:tcBorders>
            <w:shd w:fill="FAECE7" w:val="clear"/>
            <w:tcMar>
              <w:top w:type="dxa" w:w="80"/>
              <w:left w:type="dxa" w:w="140"/>
              <w:bottom w:type="dxa" w:w="80"/>
              <w:right w:type="dxa" w:w="140"/>
            </w:tcMar>
          </w:tcPr>
          <w:p>
            <w:r>
              <w:rPr>
                <w:rFonts w:ascii="Arial" w:cs="Arial" w:eastAsia="Arial" w:hAnsi="Arial"/>
                <w:color w:val="712B13"/>
                <w:sz w:val="21"/>
                <w:szCs w:val="21"/>
              </w:rPr>
              <w:t xml:space="preserve">Cassandra enters the codebase silently via a dependency pull</w:t>
            </w:r>
          </w:p>
        </w:tc>
      </w:tr>
      <w:tr>
        <w:tc>
          <w:tcPr>
            <w:tcW w:type="dxa" w:w="4680"/>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tcPr>
          <w:p>
            <w:r>
              <w:rPr>
                <w:rFonts w:ascii="Arial" w:cs="Arial" w:eastAsia="Arial" w:hAnsi="Arial"/>
                <w:color w:val="085041"/>
                <w:sz w:val="21"/>
                <w:szCs w:val="21"/>
              </w:rPr>
              <w:t xml:space="preserve">Engineer sees which SDD manifest rule was violated</w:t>
            </w:r>
          </w:p>
        </w:tc>
        <w:tc>
          <w:tcPr>
            <w:tcW w:type="dxa" w:w="4680"/>
            <w:tcBorders>
              <w:top w:val="single" w:color="D3D1C7" w:sz="1"/>
              <w:left w:val="single" w:color="D3D1C7" w:sz="1"/>
              <w:bottom w:val="single" w:color="D3D1C7" w:sz="1"/>
              <w:right w:val="single" w:color="D3D1C7" w:sz="1"/>
            </w:tcBorders>
            <w:shd w:fill="FAECE7" w:val="clear"/>
            <w:tcMar>
              <w:top w:type="dxa" w:w="80"/>
              <w:left w:type="dxa" w:w="140"/>
              <w:bottom w:type="dxa" w:w="80"/>
              <w:right w:type="dxa" w:w="140"/>
            </w:tcMar>
          </w:tcPr>
          <w:p>
            <w:r>
              <w:rPr>
                <w:rFonts w:ascii="Arial" w:cs="Arial" w:eastAsia="Arial" w:hAnsi="Arial"/>
                <w:color w:val="712B13"/>
                <w:sz w:val="21"/>
                <w:szCs w:val="21"/>
              </w:rPr>
              <w:t xml:space="preserve">Engineer and architect are unaware until an audit</w:t>
            </w:r>
          </w:p>
        </w:tc>
      </w:tr>
      <w:tr>
        <w:tc>
          <w:tcPr>
            <w:tcW w:type="dxa" w:w="4680"/>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tcPr>
          <w:p>
            <w:r>
              <w:rPr>
                <w:rFonts w:ascii="Arial" w:cs="Arial" w:eastAsia="Arial" w:hAnsi="Arial"/>
                <w:color w:val="085041"/>
                <w:sz w:val="21"/>
                <w:szCs w:val="21"/>
              </w:rPr>
              <w:t xml:space="preserve">Deviation request raised, reviewed, and logged in 10 minutes</w:t>
            </w:r>
          </w:p>
        </w:tc>
        <w:tc>
          <w:tcPr>
            <w:tcW w:type="dxa" w:w="4680"/>
            <w:tcBorders>
              <w:top w:val="single" w:color="D3D1C7" w:sz="1"/>
              <w:left w:val="single" w:color="D3D1C7" w:sz="1"/>
              <w:bottom w:val="single" w:color="D3D1C7" w:sz="1"/>
              <w:right w:val="single" w:color="D3D1C7" w:sz="1"/>
            </w:tcBorders>
            <w:shd w:fill="FAECE7" w:val="clear"/>
            <w:tcMar>
              <w:top w:type="dxa" w:w="80"/>
              <w:left w:type="dxa" w:w="140"/>
              <w:bottom w:type="dxa" w:w="80"/>
              <w:right w:type="dxa" w:w="140"/>
            </w:tcMar>
          </w:tcPr>
          <w:p>
            <w:r>
              <w:rPr>
                <w:rFonts w:ascii="Arial" w:cs="Arial" w:eastAsia="Arial" w:hAnsi="Arial"/>
                <w:color w:val="712B13"/>
                <w:sz w:val="21"/>
                <w:szCs w:val="21"/>
              </w:rPr>
              <w:t xml:space="preserve">No record of the technology decision exists anywhere</w:t>
            </w:r>
          </w:p>
        </w:tc>
      </w:tr>
      <w:tr>
        <w:tc>
          <w:tcPr>
            <w:tcW w:type="dxa" w:w="4680"/>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tcPr>
          <w:p>
            <w:r>
              <w:rPr>
                <w:rFonts w:ascii="Arial" w:cs="Arial" w:eastAsia="Arial" w:hAnsi="Arial"/>
                <w:color w:val="085041"/>
                <w:sz w:val="21"/>
                <w:szCs w:val="21"/>
              </w:rPr>
              <w:t xml:space="preserve">Pre-deployment gate confirms the build matches the SDD manifest</w:t>
            </w:r>
          </w:p>
        </w:tc>
        <w:tc>
          <w:tcPr>
            <w:tcW w:type="dxa" w:w="4680"/>
            <w:tcBorders>
              <w:top w:val="single" w:color="D3D1C7" w:sz="1"/>
              <w:left w:val="single" w:color="D3D1C7" w:sz="1"/>
              <w:bottom w:val="single" w:color="D3D1C7" w:sz="1"/>
              <w:right w:val="single" w:color="D3D1C7" w:sz="1"/>
            </w:tcBorders>
            <w:shd w:fill="FAECE7" w:val="clear"/>
            <w:tcMar>
              <w:top w:type="dxa" w:w="80"/>
              <w:left w:type="dxa" w:w="140"/>
              <w:bottom w:type="dxa" w:w="80"/>
              <w:right w:type="dxa" w:w="140"/>
            </w:tcMar>
          </w:tcPr>
          <w:p>
            <w:r>
              <w:rPr>
                <w:rFonts w:ascii="Arial" w:cs="Arial" w:eastAsia="Arial" w:hAnsi="Arial"/>
                <w:color w:val="712B13"/>
                <w:sz w:val="21"/>
                <w:szCs w:val="21"/>
              </w:rPr>
              <w:t xml:space="preserve">Production diverges from the approved architecture diagram</w:t>
            </w:r>
          </w:p>
        </w:tc>
      </w:tr>
      <w:tr>
        <w:tc>
          <w:tcPr>
            <w:tcW w:type="dxa" w:w="4680"/>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tcPr>
          <w:p>
            <w:r>
              <w:rPr>
                <w:rFonts w:ascii="Arial" w:cs="Arial" w:eastAsia="Arial" w:hAnsi="Arial"/>
                <w:color w:val="085041"/>
                <w:sz w:val="21"/>
                <w:szCs w:val="21"/>
              </w:rPr>
              <w:t xml:space="preserve">Architecture review board sees an accurate system landscape</w:t>
            </w:r>
          </w:p>
        </w:tc>
        <w:tc>
          <w:tcPr>
            <w:tcW w:type="dxa" w:w="4680"/>
            <w:tcBorders>
              <w:top w:val="single" w:color="D3D1C7" w:sz="1"/>
              <w:left w:val="single" w:color="D3D1C7" w:sz="1"/>
              <w:bottom w:val="single" w:color="D3D1C7" w:sz="1"/>
              <w:right w:val="single" w:color="D3D1C7" w:sz="1"/>
            </w:tcBorders>
            <w:shd w:fill="FAECE7" w:val="clear"/>
            <w:tcMar>
              <w:top w:type="dxa" w:w="80"/>
              <w:left w:type="dxa" w:w="140"/>
              <w:bottom w:type="dxa" w:w="80"/>
              <w:right w:type="dxa" w:w="140"/>
            </w:tcMar>
          </w:tcPr>
          <w:p>
            <w:r>
              <w:rPr>
                <w:rFonts w:ascii="Arial" w:cs="Arial" w:eastAsia="Arial" w:hAnsi="Arial"/>
                <w:color w:val="712B13"/>
                <w:sz w:val="21"/>
                <w:szCs w:val="21"/>
              </w:rPr>
              <w:t xml:space="preserve">ARB decisions are based on stale information</w:t>
            </w:r>
          </w:p>
        </w:tc>
      </w:tr>
    </w:tbl>
    <w:p>
      <w:pPr>
        <w:pBdr>
          <w:bottom w:val="single" w:color="E1F5EE" w:sz="6" w:space="1"/>
        </w:pBdr>
        <w:spacing w:after="160" w:before="160"/>
      </w:pPr>
      <w:r>
        <w:rPr>
          <w:rFonts w:ascii="Arial" w:cs="Arial" w:eastAsia="Arial" w:hAnsi="Arial"/>
          <w:sz w:val="4"/>
          <w:szCs w:val="4"/>
        </w:rPr>
        <w:t xml:space="preserve"/>
      </w:r>
    </w:p>
    <w:p>
      <w:pPr>
        <w:pStyle w:val="Heading1"/>
        <w:spacing w:after="160" w:before="360"/>
      </w:pPr>
      <w:r>
        <w:rPr>
          <w:rFonts w:ascii="Arial" w:cs="Arial" w:eastAsia="Arial" w:hAnsi="Arial"/>
          <w:b/>
          <w:bCs/>
          <w:color w:val="0F6E56"/>
          <w:sz w:val="32"/>
          <w:szCs w:val="32"/>
        </w:rPr>
        <w:t xml:space="preserve">Session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tcPr>
          <w:p>
            <w:r>
              <w:rPr>
                <w:rFonts w:ascii="Arial" w:cs="Arial" w:eastAsia="Arial" w:hAnsi="Arial"/>
                <w:b/>
                <w:bCs/>
                <w:color w:val="FFFFFF"/>
                <w:sz w:val="21"/>
                <w:szCs w:val="21"/>
              </w:rPr>
              <w:t xml:space="preserve">Time</w:t>
            </w:r>
          </w:p>
        </w:tc>
        <w:tc>
          <w:tcPr>
            <w:tcW w:type="dxa" w:w="312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tcPr>
          <w:p>
            <w:r>
              <w:rPr>
                <w:rFonts w:ascii="Arial" w:cs="Arial" w:eastAsia="Arial" w:hAnsi="Arial"/>
                <w:b/>
                <w:bCs/>
                <w:color w:val="FFFFFF"/>
                <w:sz w:val="21"/>
                <w:szCs w:val="21"/>
              </w:rPr>
              <w:t xml:space="preserve">Segment</w:t>
            </w:r>
          </w:p>
        </w:tc>
        <w:tc>
          <w:tcPr>
            <w:tcW w:type="dxa" w:w="312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tcPr>
          <w:p>
            <w:r>
              <w:rPr>
                <w:rFonts w:ascii="Arial" w:cs="Arial" w:eastAsia="Arial" w:hAnsi="Arial"/>
                <w:b/>
                <w:bCs/>
                <w:color w:val="FFFFFF"/>
                <w:sz w:val="21"/>
                <w:szCs w:val="21"/>
              </w:rPr>
              <w:t xml:space="preserve">Format</w:t>
            </w:r>
          </w:p>
        </w:tc>
      </w:tr>
      <w:tr>
        <w:tc>
          <w:tcPr>
            <w:tcW w:type="dxa" w:w="312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color w:val="2C2C2A"/>
                <w:sz w:val="20"/>
                <w:szCs w:val="20"/>
              </w:rPr>
              <w:t xml:space="preserve">0–5 min</w:t>
            </w:r>
          </w:p>
        </w:tc>
        <w:tc>
          <w:tcPr>
            <w:tcW w:type="dxa" w:w="312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color w:val="2C2C2A"/>
                <w:sz w:val="20"/>
                <w:szCs w:val="20"/>
              </w:rPr>
              <w:t xml:space="preserve">The silent drift problem — story-led opener</w:t>
            </w:r>
          </w:p>
        </w:tc>
        <w:tc>
          <w:tcPr>
            <w:tcW w:type="dxa" w:w="312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color w:val="2C2C2A"/>
                <w:sz w:val="20"/>
                <w:szCs w:val="20"/>
              </w:rPr>
              <w:t xml:space="preserve">Narrative</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5–15 min</w:t>
            </w:r>
          </w:p>
        </w:tc>
        <w:tc>
          <w:tcPr>
            <w:tcW w:type="dxa" w:w="312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Why today’s governance ends at the gate</w:t>
            </w:r>
          </w:p>
        </w:tc>
        <w:tc>
          <w:tcPr>
            <w:tcW w:type="dxa" w:w="312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Talk + audience poll</w:t>
            </w:r>
          </w:p>
        </w:tc>
      </w:tr>
      <w:tr>
        <w:tc>
          <w:tcPr>
            <w:tcW w:type="dxa" w:w="312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color w:val="2C2C2A"/>
                <w:sz w:val="20"/>
                <w:szCs w:val="20"/>
              </w:rPr>
              <w:t xml:space="preserve">15–25 min</w:t>
            </w:r>
          </w:p>
        </w:tc>
        <w:tc>
          <w:tcPr>
            <w:tcW w:type="dxa" w:w="312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color w:val="2C2C2A"/>
                <w:sz w:val="20"/>
                <w:szCs w:val="20"/>
              </w:rPr>
              <w:t xml:space="preserve">Mechanism 1: SDD enforcement in practice</w:t>
            </w:r>
          </w:p>
        </w:tc>
        <w:tc>
          <w:tcPr>
            <w:tcW w:type="dxa" w:w="312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color w:val="2C2C2A"/>
                <w:sz w:val="20"/>
                <w:szCs w:val="20"/>
              </w:rPr>
              <w:t xml:space="preserve">Live demo</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25–35 min</w:t>
            </w:r>
          </w:p>
        </w:tc>
        <w:tc>
          <w:tcPr>
            <w:tcW w:type="dxa" w:w="312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Mechanism 2: Jules pre-deployment blocking</w:t>
            </w:r>
          </w:p>
        </w:tc>
        <w:tc>
          <w:tcPr>
            <w:tcW w:type="dxa" w:w="312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Live demo</w:t>
            </w:r>
          </w:p>
        </w:tc>
      </w:tr>
      <w:tr>
        <w:tc>
          <w:tcPr>
            <w:tcW w:type="dxa" w:w="312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color w:val="2C2C2A"/>
                <w:sz w:val="20"/>
                <w:szCs w:val="20"/>
              </w:rPr>
              <w:t xml:space="preserve">35–42 min</w:t>
            </w:r>
          </w:p>
        </w:tc>
        <w:tc>
          <w:tcPr>
            <w:tcW w:type="dxa" w:w="312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color w:val="2C2C2A"/>
                <w:sz w:val="20"/>
                <w:szCs w:val="20"/>
              </w:rPr>
              <w:t xml:space="preserve">Deviation workflow: governance without gridlock</w:t>
            </w:r>
          </w:p>
        </w:tc>
        <w:tc>
          <w:tcPr>
            <w:tcW w:type="dxa" w:w="312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color w:val="2C2C2A"/>
                <w:sz w:val="20"/>
                <w:szCs w:val="20"/>
              </w:rPr>
              <w:t xml:space="preserve">Walkthrough</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42–45 min</w:t>
            </w:r>
          </w:p>
        </w:tc>
        <w:tc>
          <w:tcPr>
            <w:tcW w:type="dxa" w:w="312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Q&amp;A and open discussion</w:t>
            </w:r>
          </w:p>
        </w:tc>
        <w:tc>
          <w:tcPr>
            <w:tcW w:type="dxa" w:w="312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Open floor</w:t>
            </w:r>
          </w:p>
        </w:tc>
      </w:tr>
    </w:tbl>
    <w:p>
      <w:pPr>
        <w:pBdr>
          <w:bottom w:val="single" w:color="E1F5EE" w:sz="6" w:space="1"/>
        </w:pBdr>
        <w:spacing w:after="160" w:before="160"/>
      </w:pPr>
      <w:r>
        <w:rPr>
          <w:rFonts w:ascii="Arial" w:cs="Arial" w:eastAsia="Arial" w:hAnsi="Arial"/>
          <w:sz w:val="4"/>
          <w:szCs w:val="4"/>
        </w:rPr>
        <w:t xml:space="preserve"/>
      </w:r>
    </w:p>
    <w:p>
      <w:pPr>
        <w:pStyle w:val="Heading1"/>
        <w:spacing w:after="160" w:before="360"/>
      </w:pPr>
      <w:r>
        <w:rPr>
          <w:rFonts w:ascii="Arial" w:cs="Arial" w:eastAsia="Arial" w:hAnsi="Arial"/>
          <w:b/>
          <w:bCs/>
          <w:color w:val="0F6E56"/>
          <w:sz w:val="32"/>
          <w:szCs w:val="32"/>
        </w:rPr>
        <w:t xml:space="preserve">Why This Session Will Land</w:t>
      </w:r>
    </w:p>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444441"/>
          <w:sz w:val="26"/>
          <w:szCs w:val="26"/>
        </w:rPr>
        <w:t xml:space="preserve">For the selection panel</w:t>
      </w:r>
    </w:p>
    <w:p>
      <w:pPr>
        <w:pStyle w:val="ListParagraph"/>
        <w:numPr>
          <w:ilvl w:val="0"/>
          <w:numId w:val="2"/>
        </w:numPr>
        <w:spacing w:after="60" w:before="60"/>
      </w:pPr>
      <w:r>
        <w:rPr>
          <w:rFonts w:ascii="Arial" w:cs="Arial" w:eastAsia="Arial" w:hAnsi="Arial"/>
          <w:color w:val="2C2C2A"/>
          <w:sz w:val="22"/>
          <w:szCs w:val="22"/>
        </w:rPr>
        <w:t xml:space="preserve">Concrete and original: not a vendor talk, not a generic DevOps session — a specific, implementable idea with a demo</w:t>
      </w:r>
    </w:p>
    <w:p>
      <w:pPr>
        <w:pStyle w:val="ListParagraph"/>
        <w:numPr>
          <w:ilvl w:val="0"/>
          <w:numId w:val="2"/>
        </w:numPr>
        <w:spacing w:after="60" w:before="60"/>
      </w:pPr>
      <w:r>
        <w:rPr>
          <w:rFonts w:ascii="Arial" w:cs="Arial" w:eastAsia="Arial" w:hAnsi="Arial"/>
          <w:color w:val="2C2C2A"/>
          <w:sz w:val="22"/>
          <w:szCs w:val="22"/>
        </w:rPr>
        <w:t xml:space="preserve">Banking-specific: architecture governance in a regulated environment carries compliance, resilience, and audit implications that make this uniquely relevant</w:t>
      </w:r>
    </w:p>
    <w:p>
      <w:pPr>
        <w:pStyle w:val="ListParagraph"/>
        <w:numPr>
          <w:ilvl w:val="0"/>
          <w:numId w:val="2"/>
        </w:numPr>
        <w:spacing w:after="60" w:before="60"/>
      </w:pPr>
      <w:r>
        <w:rPr>
          <w:rFonts w:ascii="Arial" w:cs="Arial" w:eastAsia="Arial" w:hAnsi="Arial"/>
          <w:color w:val="2C2C2A"/>
          <w:sz w:val="22"/>
          <w:szCs w:val="22"/>
        </w:rPr>
        <w:t xml:space="preserve">Dual pillar fit: spans Tech Modernisation (Engineering) and Protect the Firm (resilience by design)</w:t>
      </w:r>
    </w:p>
    <w:p>
      <w:pPr>
        <w:pStyle w:val="ListParagraph"/>
        <w:numPr>
          <w:ilvl w:val="0"/>
          <w:numId w:val="2"/>
        </w:numPr>
        <w:spacing w:after="60" w:before="60"/>
      </w:pPr>
      <w:r>
        <w:rPr>
          <w:rFonts w:ascii="Arial" w:cs="Arial" w:eastAsia="Arial" w:hAnsi="Arial"/>
          <w:color w:val="2C2C2A"/>
          <w:sz w:val="22"/>
          <w:szCs w:val="22"/>
        </w:rPr>
        <w:t xml:space="preserve">Timely: as Jules rollout continues, extending its capabilities is a natural and credible next step</w:t>
      </w:r>
    </w:p>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444441"/>
          <w:sz w:val="26"/>
          <w:szCs w:val="26"/>
        </w:rPr>
        <w:t xml:space="preserve">For the audience</w:t>
      </w:r>
    </w:p>
    <w:p>
      <w:pPr>
        <w:pStyle w:val="ListParagraph"/>
        <w:numPr>
          <w:ilvl w:val="0"/>
          <w:numId w:val="2"/>
        </w:numPr>
        <w:spacing w:after="60" w:before="60"/>
      </w:pPr>
      <w:r>
        <w:rPr>
          <w:rFonts w:ascii="Arial" w:cs="Arial" w:eastAsia="Arial" w:hAnsi="Arial"/>
          <w:color w:val="2C2C2A"/>
          <w:sz w:val="22"/>
          <w:szCs w:val="22"/>
        </w:rPr>
        <w:t xml:space="preserve">Engineers will recognise the problem immediately — and leave with a mental model for solving it</w:t>
      </w:r>
    </w:p>
    <w:p>
      <w:pPr>
        <w:pStyle w:val="ListParagraph"/>
        <w:numPr>
          <w:ilvl w:val="0"/>
          <w:numId w:val="2"/>
        </w:numPr>
        <w:spacing w:after="60" w:before="60"/>
      </w:pPr>
      <w:r>
        <w:rPr>
          <w:rFonts w:ascii="Arial" w:cs="Arial" w:eastAsia="Arial" w:hAnsi="Arial"/>
          <w:color w:val="2C2C2A"/>
          <w:sz w:val="22"/>
          <w:szCs w:val="22"/>
        </w:rPr>
        <w:t xml:space="preserve">Architects will see a practical way to extend their influence beyond the approval moment</w:t>
      </w:r>
    </w:p>
    <w:p>
      <w:pPr>
        <w:pStyle w:val="ListParagraph"/>
        <w:numPr>
          <w:ilvl w:val="0"/>
          <w:numId w:val="2"/>
        </w:numPr>
        <w:spacing w:after="60" w:before="60"/>
      </w:pPr>
      <w:r>
        <w:rPr>
          <w:rFonts w:ascii="Arial" w:cs="Arial" w:eastAsia="Arial" w:hAnsi="Arial"/>
          <w:color w:val="2C2C2A"/>
          <w:sz w:val="22"/>
          <w:szCs w:val="22"/>
        </w:rPr>
        <w:t xml:space="preserve">Platform leads will see how existing tooling (SDD process + Jules) can be evolved rather than replaced</w:t>
      </w:r>
    </w:p>
    <w:p>
      <w:pPr>
        <w:pStyle w:val="ListParagraph"/>
        <w:numPr>
          <w:ilvl w:val="0"/>
          <w:numId w:val="2"/>
        </w:numPr>
        <w:spacing w:after="60" w:before="60"/>
      </w:pPr>
      <w:r>
        <w:rPr>
          <w:rFonts w:ascii="Arial" w:cs="Arial" w:eastAsia="Arial" w:hAnsi="Arial"/>
          <w:color w:val="2C2C2A"/>
          <w:sz w:val="22"/>
          <w:szCs w:val="22"/>
        </w:rPr>
        <w:t xml:space="preserve">Risk and security colleagues will see governance built into delivery, not bolted on afterwards</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after="60" w:before="0"/>
            </w:pPr>
            <w:r>
              <w:rPr>
                <w:rFonts w:ascii="Arial" w:cs="Arial" w:eastAsia="Arial" w:hAnsi="Arial"/>
                <w:b/>
                <w:bCs/>
                <w:color w:val="0F6E56"/>
                <w:sz w:val="20"/>
                <w:szCs w:val="20"/>
              </w:rPr>
              <w:t xml:space="preserve">🎯  The takeaway the audience brings back</w:t>
            </w:r>
          </w:p>
          <w:p>
            <w:pPr>
              <w:spacing w:after="0" w:before="0"/>
            </w:pPr>
            <w:r>
              <w:rPr>
                <w:rFonts w:ascii="Arial" w:cs="Arial" w:eastAsia="Arial" w:hAnsi="Arial"/>
                <w:color w:val="2C2C2A"/>
                <w:sz w:val="22"/>
                <w:szCs w:val="22"/>
              </w:rPr>
              <w:t xml:space="preserve">Architecture approval without architecture enforcement is just documentation. This session shows what enforcement looks like — practical, proportionate, and already within reach using what we already have.</w:t>
            </w:r>
          </w:p>
        </w:tc>
      </w:tr>
    </w:tbl>
    <w:p>
      <w:pPr>
        <w:pBdr>
          <w:bottom w:val="single" w:color="E1F5EE" w:sz="6" w:space="1"/>
        </w:pBdr>
        <w:spacing w:after="160" w:before="160"/>
      </w:pPr>
      <w:r>
        <w:rPr>
          <w:rFonts w:ascii="Arial" w:cs="Arial" w:eastAsia="Arial" w:hAnsi="Arial"/>
          <w:sz w:val="4"/>
          <w:szCs w:val="4"/>
        </w:rPr>
        <w:t xml:space="preserve"/>
      </w:r>
    </w:p>
    <w:p>
      <w:pPr>
        <w:pStyle w:val="Heading1"/>
        <w:spacing w:after="160" w:before="360"/>
      </w:pPr>
      <w:r>
        <w:rPr>
          <w:rFonts w:ascii="Arial" w:cs="Arial" w:eastAsia="Arial" w:hAnsi="Arial"/>
          <w:b/>
          <w:bCs/>
          <w:color w:val="0F6E56"/>
          <w:sz w:val="32"/>
          <w:szCs w:val="32"/>
        </w:rPr>
        <w:t xml:space="preserve">What We Need to Make This Happen</w:t>
      </w:r>
    </w:p>
    <w:p>
      <w:pPr>
        <w:pStyle w:val="ListParagraph"/>
        <w:numPr>
          <w:ilvl w:val="0"/>
          <w:numId w:val="2"/>
        </w:numPr>
        <w:spacing w:after="60" w:before="60"/>
      </w:pPr>
      <w:r>
        <w:rPr>
          <w:rFonts w:ascii="Arial" w:cs="Arial" w:eastAsia="Arial" w:hAnsi="Arial"/>
          <w:color w:val="2C2C2A"/>
          <w:sz w:val="22"/>
          <w:szCs w:val="22"/>
        </w:rPr>
        <w:t xml:space="preserve">A 45-minute slot (talk + demo format)</w:t>
      </w:r>
    </w:p>
    <w:p>
      <w:pPr>
        <w:pStyle w:val="ListParagraph"/>
        <w:numPr>
          <w:ilvl w:val="0"/>
          <w:numId w:val="2"/>
        </w:numPr>
        <w:spacing w:after="60" w:before="60"/>
      </w:pPr>
      <w:r>
        <w:rPr>
          <w:rFonts w:ascii="Arial" w:cs="Arial" w:eastAsia="Arial" w:hAnsi="Arial"/>
          <w:color w:val="2C2C2A"/>
          <w:sz w:val="22"/>
          <w:szCs w:val="22"/>
        </w:rPr>
        <w:t xml:space="preserve">A sandbox environment with a sample repo and Jules integration available for the live demo</w:t>
      </w:r>
    </w:p>
    <w:p>
      <w:pPr>
        <w:pStyle w:val="ListParagraph"/>
        <w:numPr>
          <w:ilvl w:val="0"/>
          <w:numId w:val="2"/>
        </w:numPr>
        <w:spacing w:after="60" w:before="60"/>
      </w:pPr>
      <w:r>
        <w:rPr>
          <w:rFonts w:ascii="Arial" w:cs="Arial" w:eastAsia="Arial" w:hAnsi="Arial"/>
          <w:color w:val="2C2C2A"/>
          <w:sz w:val="22"/>
          <w:szCs w:val="22"/>
        </w:rPr>
        <w:t xml:space="preserve">Optionally: a co-presenter from the Jules/platform engineering team to lend depth to the deployment gate section</w:t>
      </w:r>
    </w:p>
    <w:p>
      <w:pPr>
        <w:pStyle w:val="ListParagraph"/>
        <w:numPr>
          <w:ilvl w:val="0"/>
          <w:numId w:val="2"/>
        </w:numPr>
        <w:spacing w:after="60" w:before="60"/>
      </w:pPr>
      <w:r>
        <w:rPr>
          <w:rFonts w:ascii="Arial" w:cs="Arial" w:eastAsia="Arial" w:hAnsi="Arial"/>
          <w:color w:val="2C2C2A"/>
          <w:sz w:val="22"/>
          <w:szCs w:val="22"/>
        </w:rPr>
        <w:t xml:space="preserve">Slides and demo materials will be open-sourced to the internal developer community post-session</w:t>
      </w:r>
    </w:p>
    <w:p>
      <w:pPr>
        <w:pBdr>
          <w:bottom w:val="single" w:color="E1F5EE" w:sz="6" w:space="1"/>
        </w:pBdr>
        <w:spacing w:after="160" w:before="160"/>
      </w:pPr>
      <w:r>
        <w:rPr>
          <w:rFonts w:ascii="Arial" w:cs="Arial" w:eastAsia="Arial" w:hAnsi="Arial"/>
          <w:sz w:val="4"/>
          <w:szCs w:val="4"/>
        </w:rPr>
        <w:t xml:space="preserve"/>
      </w:r>
    </w:p>
    <w:p>
      <w:pPr>
        <w:spacing w:after="80" w:before="160"/>
        <w:jc w:val="center"/>
      </w:pPr>
      <w:r>
        <w:rPr>
          <w:rFonts w:ascii="Arial" w:cs="Arial" w:eastAsia="Arial" w:hAnsi="Arial"/>
          <w:b/>
          <w:bCs/>
          <w:i/>
          <w:iCs/>
          <w:color w:val="0F6E56"/>
          <w:sz w:val="26"/>
          <w:szCs w:val="26"/>
        </w:rPr>
        <w:t xml:space="preserve">Architecture is a contract. It’s time we had a way to honour it.</w:t>
      </w:r>
    </w:p>
    <w:p>
      <w:pPr>
        <w:spacing w:after="0" w:before="0"/>
        <w:jc w:val="center"/>
      </w:pPr>
      <w:r>
        <w:rPr>
          <w:rFonts w:ascii="Arial" w:cs="Arial" w:eastAsia="Arial" w:hAnsi="Arial"/>
          <w:color w:val="888780"/>
          <w:sz w:val="20"/>
          <w:szCs w:val="20"/>
        </w:rPr>
        <w:t xml:space="preserve">Submitted for Innovation Week · Tech Modernisation: Engineering</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780"/>
        <w:sz w:val="18"/>
        <w:szCs w:val="18"/>
      </w:rPr>
      <w:t xml:space="preserve">Innovation Week Pitch · Architecture Drift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2026-04-19T13:28:04.019Z</dcterms:created>
  <dcterms:modified xsi:type="dcterms:W3CDTF">2026-04-19T13:28:04.021Z</dcterms:modified>
</cp:coreProperties>
</file>

<file path=docProps/custom.xml><?xml version="1.0" encoding="utf-8"?>
<Properties xmlns="http://schemas.openxmlformats.org/officeDocument/2006/custom-properties" xmlns:vt="http://schemas.openxmlformats.org/officeDocument/2006/docPropsVTypes"/>
</file>