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320"/>
              <w:left w:type="dxa" w:w="320"/>
              <w:bottom w:type="dxa" w:w="320"/>
              <w:right w:type="dxa" w:w="320"/>
            </w:tcMar>
          </w:tcPr>
          <w:p>
            <w:pPr>
              <w:spacing w:after="80" w:before="0"/>
            </w:pPr>
            <w:r>
              <w:rPr>
                <w:rFonts w:ascii="Arial" w:cs="Arial" w:eastAsia="Arial" w:hAnsi="Arial"/>
                <w:b/>
                <w:bCs/>
                <w:color w:val="9FE1CB"/>
                <w:sz w:val="18"/>
                <w:szCs w:val="18"/>
              </w:rPr>
              <w:t xml:space="preserve">INNOVATION WEEK · SESSION PITCH</w:t>
            </w:r>
          </w:p>
          <w:p>
            <w:pPr>
              <w:spacing w:after="120" w:before="0"/>
            </w:pPr>
            <w:r>
              <w:rPr>
                <w:rFonts w:ascii="Arial" w:cs="Arial" w:eastAsia="Arial" w:hAnsi="Arial"/>
                <w:b/>
                <w:bCs/>
                <w:color w:val="FFFFFF"/>
                <w:sz w:val="52"/>
                <w:szCs w:val="52"/>
              </w:rPr>
              <w:t xml:space="preserve">Relational CRM</w:t>
            </w:r>
          </w:p>
          <w:p>
            <w:pPr>
              <w:spacing w:after="80" w:before="0"/>
            </w:pPr>
            <w:r>
              <w:rPr>
                <w:rFonts w:ascii="Arial" w:cs="Arial" w:eastAsia="Arial" w:hAnsi="Arial"/>
                <w:i/>
                <w:iCs/>
                <w:color w:val="E1F5EE"/>
                <w:sz w:val="23"/>
                <w:szCs w:val="23"/>
              </w:rPr>
              <w:t xml:space="preserve">Salesforce is the best system ever built for managing a sales pipeline.</w:t>
            </w:r>
          </w:p>
          <w:p>
            <w:pPr>
              <w:spacing w:after="0" w:before="0"/>
            </w:pPr>
            <w:r>
              <w:rPr>
                <w:rFonts w:ascii="Arial" w:cs="Arial" w:eastAsia="Arial" w:hAnsi="Arial"/>
                <w:b/>
                <w:bCs/>
                <w:i/>
                <w:iCs/>
                <w:color w:val="FFFFFF"/>
                <w:sz w:val="23"/>
                <w:szCs w:val="23"/>
              </w:rPr>
              <w:t xml:space="preserve">It is the worst system ever built for remembering a relationship.</w:t>
            </w:r>
          </w:p>
        </w:tc>
      </w:tr>
    </w:tbl>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Pillar</w:t>
            </w:r>
          </w:p>
          <w:p>
            <w:pPr>
              <w:spacing w:after="0" w:before="0"/>
            </w:pPr>
            <w:r>
              <w:rPr>
                <w:rFonts w:ascii="Arial" w:cs="Arial" w:eastAsia="Arial" w:hAnsi="Arial"/>
                <w:color w:val="2C2C2A"/>
                <w:sz w:val="19"/>
                <w:szCs w:val="19"/>
              </w:rPr>
              <w:t xml:space="preserve">Innovative Products: Customer &amp; Client</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Format</w:t>
            </w:r>
          </w:p>
          <w:p>
            <w:pPr>
              <w:spacing w:after="0" w:before="0"/>
            </w:pPr>
            <w:r>
              <w:rPr>
                <w:rFonts w:ascii="Arial" w:cs="Arial" w:eastAsia="Arial" w:hAnsi="Arial"/>
                <w:color w:val="2C2C2A"/>
                <w:sz w:val="19"/>
                <w:szCs w:val="19"/>
              </w:rPr>
              <w:t xml:space="preserve">Talk + Live Demo · 45 min</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Audience</w:t>
            </w:r>
          </w:p>
          <w:p>
            <w:pPr>
              <w:spacing w:after="0" w:before="0"/>
            </w:pPr>
            <w:r>
              <w:rPr>
                <w:rFonts w:ascii="Arial" w:cs="Arial" w:eastAsia="Arial" w:hAnsi="Arial"/>
                <w:color w:val="2C2C2A"/>
                <w:sz w:val="19"/>
                <w:szCs w:val="19"/>
              </w:rPr>
              <w:t xml:space="preserve">Product, CRM, Relationship Banking, Tech</w:t>
            </w:r>
          </w:p>
        </w:tc>
        <w:tc>
          <w:tcPr>
            <w:tcW w:type="dxa" w:w="23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40" w:before="0"/>
            </w:pPr>
            <w:r>
              <w:rPr>
                <w:rFonts w:ascii="Arial" w:cs="Arial" w:eastAsia="Arial" w:hAnsi="Arial"/>
                <w:b/>
                <w:bCs/>
                <w:color w:val="1D9E75"/>
                <w:sz w:val="18"/>
                <w:szCs w:val="18"/>
              </w:rPr>
              <w:t xml:space="preserve">Stakes</w:t>
            </w:r>
          </w:p>
          <w:p>
            <w:pPr>
              <w:spacing w:after="0" w:before="0"/>
            </w:pPr>
            <w:r>
              <w:rPr>
                <w:rFonts w:ascii="Arial" w:cs="Arial" w:eastAsia="Arial" w:hAnsi="Arial"/>
                <w:color w:val="2C2C2A"/>
                <w:sz w:val="19"/>
                <w:szCs w:val="19"/>
              </w:rPr>
              <w:t xml:space="preserve">Category-defining if we build it. Existential if a competitor does.</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The provocation</w:t>
      </w:r>
    </w:p>
    <w:p>
      <w:pPr>
        <w:spacing w:after="80" w:before="80"/>
      </w:pPr>
      <w:r>
        <w:rPr>
          <w:rFonts w:ascii="Arial" w:cs="Arial" w:eastAsia="Arial" w:hAnsi="Arial"/>
          <w:color w:val="2C2C2A"/>
          <w:sz w:val="22"/>
          <w:szCs w:val="22"/>
        </w:rPr>
        <w:t xml:space="preserve">We have spent a decade trying to make Salesforce remember relationships. It cannot. Not because we implemented it badly. Because it was never designed to.</w:t>
      </w:r>
    </w:p>
    <w:p>
      <w:pPr>
        <w:spacing w:after="0" w:before="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Salesforce is a record management system dressed in CRM clothing. It optimises for data entry, pipeline tracking, and activity logging. It has never once optimised for relationship continuity — because that was not a measurable, storable thing until large language models made narrative extractable at scale.</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pPr>
              <w:spacing w:after="60" w:before="0"/>
            </w:pPr>
            <w:r>
              <w:rPr>
                <w:rFonts w:ascii="Arial" w:cs="Arial" w:eastAsia="Arial" w:hAnsi="Arial"/>
                <w:b/>
                <w:bCs/>
                <w:color w:val="0F6E56"/>
                <w:sz w:val="19"/>
                <w:szCs w:val="19"/>
              </w:rPr>
              <w:t xml:space="preserve">The fundamental question</w:t>
            </w:r>
          </w:p>
          <w:p>
            <w:pPr>
              <w:spacing w:after="0" w:before="0"/>
            </w:pPr>
            <w:r>
              <w:rPr>
                <w:rFonts w:ascii="Arial" w:cs="Arial" w:eastAsia="Arial" w:hAnsi="Arial"/>
                <w:color w:val="2C2C2A"/>
                <w:sz w:val="22"/>
                <w:szCs w:val="22"/>
              </w:rPr>
              <w:t xml:space="preserve">A customer spends 9 years building a relationship with this bank. Their relationship manager leaves on a Friday. By Monday, what does the bank remember? A Salesforce record with 47 fields and a note that says ‘good meeting’. The customer notices within 60 seconds of the first call. We call this a handover problem. It is actually an architecture problem.</w:t>
            </w:r>
          </w:p>
        </w:tc>
      </w:tr>
    </w:tbl>
    <w:p>
      <w:pPr>
        <w:spacing w:after="0" w:before="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This session proposes not a fix to Salesforce. A replacement for the concept of what a banking CRM should be.</w:t>
      </w:r>
    </w:p>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The diagnosis: three things Salesforce cannot do — by architecture</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1. Store relationship memory, not just relationship data</w:t>
      </w:r>
    </w:p>
    <w:p>
      <w:pPr>
        <w:spacing w:after="80" w:before="80"/>
      </w:pPr>
      <w:r>
        <w:rPr>
          <w:rFonts w:ascii="Arial" w:cs="Arial" w:eastAsia="Arial" w:hAnsi="Arial"/>
          <w:color w:val="2C2C2A"/>
          <w:sz w:val="22"/>
          <w:szCs w:val="22"/>
        </w:rPr>
        <w:t xml:space="preserve">Salesforce’s data model is fundamentally tabular. You can put text in a note field but you cannot query it across 500 customers, summarise it after an RM leaves, or use it to brief an incoming banker in 90 seconds. Salesforce Einstein GPT writes into fields. It does not replace the field model. The unit of storage is a record. The unit of a relationship is a story. These are different things.</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2. Learn from conversations without making bankers type</w:t>
      </w:r>
    </w:p>
    <w:p>
      <w:pPr>
        <w:spacing w:after="80" w:before="80"/>
      </w:pPr>
      <w:r>
        <w:rPr>
          <w:rFonts w:ascii="Arial" w:cs="Arial" w:eastAsia="Arial" w:hAnsi="Arial"/>
          <w:color w:val="2C2C2A"/>
          <w:sz w:val="22"/>
          <w:szCs w:val="22"/>
        </w:rPr>
        <w:t xml:space="preserve">Salesforce requires the RM to log activities. RMs do not log. They are with clients, then they are on calls, then they are in credit committees. The logging happens at 6pm on Friday if it happens at all. A system that depends on manual logging will always have gaps exactly where the relationship matters most — in the nuance, the emotion, the thing said in passing that changes everything.</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3. Know what it does not know</w:t>
      </w:r>
    </w:p>
    <w:p>
      <w:pPr>
        <w:spacing w:after="80" w:before="80"/>
      </w:pPr>
      <w:r>
        <w:rPr>
          <w:rFonts w:ascii="Arial" w:cs="Arial" w:eastAsia="Arial" w:hAnsi="Arial"/>
          <w:color w:val="2C2C2A"/>
          <w:sz w:val="22"/>
          <w:szCs w:val="22"/>
        </w:rPr>
        <w:t xml:space="preserve">Salesforce treats a blank field as ‘no data’. It has no concept of data confidence or freshness. A phone number last confirmed in 2019 looks identical to one confirmed last Tuesday. An income figure self-reported four years ago is indistinguishable from one inferred from 28 consecutive months of salary credits. Salesforce cannot say: ‘I am not sure about this.’ Relationships require exactly that humility.</w:t>
      </w:r>
    </w:p>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Record CRM vs Relational CRM: the architectural shift</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993C1D" w:val="clear"/>
            <w:tcMar>
              <w:top w:type="dxa" w:w="100"/>
              <w:left w:type="dxa" w:w="140"/>
              <w:bottom w:type="dxa" w:w="100"/>
              <w:right w:type="dxa" w:w="140"/>
            </w:tcMar>
          </w:tcPr>
          <w:p>
            <w:r>
              <w:rPr>
                <w:rFonts w:ascii="Arial" w:cs="Arial" w:eastAsia="Arial" w:hAnsi="Arial"/>
                <w:b/>
                <w:bCs/>
                <w:color w:val="FFFFFF"/>
                <w:sz w:val="22"/>
                <w:szCs w:val="22"/>
              </w:rPr>
              <w:t xml:space="preserve">Salesforce: Record CRM</w:t>
            </w:r>
          </w:p>
        </w:tc>
        <w:tc>
          <w:tcPr>
            <w:tcW w:type="dxa" w:w="46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Relational CRM: what we propose</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Primary unit: individual customer record</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Primary unit: the relationship narrative</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Storage: structured fields + activity logs</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Storage: compressed conversation memory + entity graph</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Query: reports and dashboards</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Query: natural language — ‘what was this customer worried about last time?’</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Handover: reassign owner button</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Handover: continuously updated story, readable in 90 seconds</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Timing: calendar-driven campaign engine</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Timing: real-time decision moment signals from transaction data</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Household: manual linking, rarely done</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Household: automatically inferred from transaction and account graph</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Relationship risk: invisible</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Relationship concentration: dashboarded as a risk metric</w:t>
            </w:r>
          </w:p>
        </w:tc>
      </w:tr>
      <w:tr>
        <w:tc>
          <w:tcPr>
            <w:tcW w:type="dxa" w:w="4680"/>
            <w:tcBorders>
              <w:top w:val="single" w:color="D3D1C7" w:sz="1"/>
              <w:left w:val="single" w:color="D3D1C7" w:sz="1"/>
              <w:bottom w:val="single" w:color="D3D1C7" w:sz="1"/>
              <w:right w:val="single" w:color="D3D1C7" w:sz="1"/>
            </w:tcBorders>
            <w:shd w:fill="FAECE7" w:val="clear"/>
            <w:tcMar>
              <w:top w:type="dxa" w:w="80"/>
              <w:left w:type="dxa" w:w="140"/>
              <w:bottom w:type="dxa" w:w="80"/>
              <w:right w:type="dxa" w:w="140"/>
            </w:tcMar>
          </w:tcPr>
          <w:p>
            <w:r>
              <w:rPr>
                <w:rFonts w:ascii="Arial" w:cs="Arial" w:eastAsia="Arial" w:hAnsi="Arial"/>
                <w:color w:val="993C1D"/>
                <w:sz w:val="22"/>
                <w:szCs w:val="22"/>
              </w:rPr>
              <w:t xml:space="preserve">Data quality: blank field = no data</w:t>
            </w:r>
          </w:p>
        </w:tc>
        <w:tc>
          <w:tcPr>
            <w:tcW w:type="dxa" w:w="4680"/>
            <w:tcBorders>
              <w:top w:val="single" w:color="D3D1C7" w:sz="1"/>
              <w:left w:val="single" w:color="D3D1C7" w:sz="1"/>
              <w:bottom w:val="single" w:color="D3D1C7" w:sz="1"/>
              <w:right w:val="single" w:color="D3D1C7" w:sz="1"/>
            </w:tcBorders>
            <w:shd w:fill="E1F5EE" w:val="clear"/>
            <w:tcMar>
              <w:top w:type="dxa" w:w="80"/>
              <w:left w:type="dxa" w:w="140"/>
              <w:bottom w:type="dxa" w:w="80"/>
              <w:right w:type="dxa" w:w="140"/>
            </w:tcMar>
          </w:tcPr>
          <w:p>
            <w:r>
              <w:rPr>
                <w:rFonts w:ascii="Arial" w:cs="Arial" w:eastAsia="Arial" w:hAnsi="Arial"/>
                <w:color w:val="085041"/>
                <w:sz w:val="22"/>
                <w:szCs w:val="22"/>
              </w:rPr>
              <w:t xml:space="preserve">Data quality: confidence probability on every element, every field</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What Relational CRM actually looks like</w:t>
      </w:r>
    </w:p>
    <w:p>
      <w:pPr>
        <w:spacing w:after="80" w:before="80"/>
      </w:pPr>
      <w:r>
        <w:rPr>
          <w:rFonts w:ascii="Arial" w:cs="Arial" w:eastAsia="Arial" w:hAnsi="Arial"/>
          <w:color w:val="2C2C2A"/>
          <w:sz w:val="22"/>
          <w:szCs w:val="22"/>
        </w:rPr>
        <w:t xml:space="preserve">The system has seven layers. None of them are novel individually. The combination — applied specifically to banking relationship management — has never been built.</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656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Transaction stream</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Real-time feed of account activity — decision moment detection, household graph inference, income confidence scoring</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Conversation ingestion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Call transcripts, email threads, branch notes, app messages — zero manual logging by the RM</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Narrative engine</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LLM compresses interactions into a living relationship story, extracting intent, concern, promise, and emotional tone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Household graph</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Infers family connections from shared addresses, joint accounts, beneficiary links, transaction counterparties</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Confidence scorer</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Assigns freshness probability to every data element — phone, address, income, product intent</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Decision moment detector</w:t>
            </w:r>
          </w:p>
        </w:tc>
        <w:tc>
          <w:tcPr>
            <w:tcW w:type="dxa" w:w="65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Identifies the specific week a customer is in a financial decision window for each product category</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Frontline interface</w:t>
            </w:r>
          </w:p>
        </w:tc>
        <w:tc>
          <w:tcPr>
            <w:tcW w:type="dxa" w:w="65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color w:val="2C2C2A"/>
                <w:sz w:val="22"/>
                <w:szCs w:val="22"/>
              </w:rPr>
              <w:t xml:space="preserve">90-second relationship brief. Not a record. Not a dashboard. A brief that makes you sound like you’ve known them for years.</w:t>
            </w:r>
          </w:p>
        </w:tc>
      </w:tr>
    </w:tbl>
    <w:p>
      <w:pPr>
        <w:spacing w:after="0" w:before="0"/>
      </w:pPr>
      <w:r>
        <w:rPr>
          <w:rFonts w:ascii="Arial" w:cs="Arial" w:eastAsia="Arial" w:hAnsi="Arial"/>
          <w:color w:val="2C2C2A"/>
          <w:sz w:val="22"/>
          <w:szCs w:val="22"/>
        </w:rPr>
        <w:t xml:space="preserve"/>
      </w:r>
    </w:p>
    <w:p>
      <w:pPr>
        <w:spacing w:after="100" w:before="280"/>
      </w:pPr>
      <w:r>
        <w:rPr>
          <w:rFonts w:ascii="Arial" w:cs="Arial" w:eastAsia="Arial" w:hAnsi="Arial"/>
          <w:b/>
          <w:bCs/>
          <w:color w:val="2C2C2A"/>
          <w:sz w:val="26"/>
          <w:szCs w:val="26"/>
        </w:rPr>
        <w:t xml:space="preserve">What the relationship manager actually sees</w:t>
      </w:r>
    </w:p>
    <w:p>
      <w:pPr>
        <w:spacing w:after="80" w:before="80"/>
      </w:pPr>
      <w:r>
        <w:rPr>
          <w:rFonts w:ascii="Arial" w:cs="Arial" w:eastAsia="Arial" w:hAnsi="Arial"/>
          <w:color w:val="2C2C2A"/>
          <w:sz w:val="22"/>
          <w:szCs w:val="22"/>
        </w:rPr>
        <w:t xml:space="preserve">Not a record. Not a dashboard. A brief. Every customer interaction begins with a single screen that takes 90 seconds to read and makes the banker sound like they have known this customer for years. Because the system has.</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0"/>
              <w:right w:type="dxa" w:w="200"/>
            </w:tcMar>
          </w:tcPr>
          <w:p>
            <w:pPr>
              <w:spacing w:after="0" w:before="0"/>
            </w:pPr>
            <w:r>
              <w:rPr>
                <w:rFonts w:ascii="Arial" w:cs="Arial" w:eastAsia="Arial" w:hAnsi="Arial"/>
                <w:b/>
                <w:bCs/>
                <w:color w:val="9FE1CB"/>
                <w:sz w:val="17"/>
                <w:szCs w:val="17"/>
              </w:rPr>
              <w:t xml:space="preserve">RELATIONAL CRM · Relationship Brief</w:t>
            </w:r>
          </w:p>
        </w:tc>
      </w:tr>
      <w:tr>
        <w:tc>
          <w:tcPr>
            <w:tcBorders>
              <w:top w:val="none" w:color="FFFFFF" w:sz="0"/>
              <w:left w:val="none" w:color="FFFFFF" w:sz="0"/>
              <w:bottom w:val="none" w:color="FFFFFF" w:sz="0"/>
              <w:right w:val="none" w:color="FFFFFF" w:sz="0"/>
            </w:tcBorders>
            <w:shd w:fill="12122A" w:val="clear"/>
            <w:tcMar>
              <w:top w:type="dxa" w:w="120"/>
              <w:left w:type="dxa" w:w="200"/>
              <w:bottom w:type="dxa" w:w="40"/>
              <w:right w:type="dxa" w:w="200"/>
            </w:tcMar>
          </w:tcPr>
          <w:p>
            <w:pPr>
              <w:spacing w:after="40" w:before="0"/>
            </w:pPr>
            <w:r>
              <w:rPr>
                <w:rFonts w:ascii="Arial" w:cs="Arial" w:eastAsia="Arial" w:hAnsi="Arial"/>
                <w:b/>
                <w:bCs/>
                <w:color w:val="FFFFFF"/>
                <w:sz w:val="26"/>
                <w:szCs w:val="26"/>
              </w:rPr>
              <w:t xml:space="preserve">James O’Brien  </w:t>
            </w:r>
            <w:r>
              <w:rPr>
                <w:rFonts w:ascii="Arial" w:cs="Arial" w:eastAsia="Arial" w:hAnsi="Arial"/>
                <w:color w:val="9FE1CB"/>
                <w:sz w:val="19"/>
                <w:szCs w:val="19"/>
              </w:rPr>
              <w:t xml:space="preserve">9-year relationship  ·  Portfolio: £1.2M  ·  Portability score: 0.31</w:t>
            </w:r>
          </w:p>
        </w:tc>
      </w:tr>
      <w:tr>
        <w:tc>
          <w:tcPr>
            <w:tcBorders>
              <w:top w:val="none" w:color="FFFFFF" w:sz="0"/>
              <w:left w:val="none" w:color="FFFFFF" w:sz="0"/>
              <w:bottom w:val="none" w:color="FFFFFF" w:sz="0"/>
              <w:right w:val="none" w:color="FFFFFF" w:sz="0"/>
            </w:tcBorders>
            <w:shd w:fill="1E1E3A" w:val="clear"/>
            <w:tcMar>
              <w:top w:type="dxa" w:w="100"/>
              <w:left w:type="dxa" w:w="200"/>
              <w:bottom w:type="dxa" w:w="100"/>
              <w:right w:type="dxa" w:w="200"/>
            </w:tcMar>
          </w:tcPr>
          <w:p>
            <w:pPr>
              <w:spacing w:after="40" w:before="0"/>
            </w:pPr>
            <w:r>
              <w:rPr>
                <w:rFonts w:ascii="Arial" w:cs="Arial" w:eastAsia="Arial" w:hAnsi="Arial"/>
                <w:b/>
                <w:bCs/>
                <w:color w:val="FAC775"/>
                <w:sz w:val="17"/>
                <w:szCs w:val="17"/>
              </w:rPr>
              <w:t xml:space="preserve">LAST CONVERSATION · 14 Mar (outgoing RM: Sarah Chen)</w:t>
            </w:r>
          </w:p>
          <w:p>
            <w:pPr>
              <w:spacing w:after="40" w:before="0"/>
            </w:pPr>
            <w:r>
              <w:rPr>
                <w:rFonts w:ascii="Arial" w:cs="Arial" w:eastAsia="Arial" w:hAnsi="Arial"/>
                <w:color w:val="E8E8FF"/>
                <w:sz w:val="20"/>
                <w:szCs w:val="20"/>
              </w:rPr>
              <w:t xml:space="preserve">James is concerned about his daughter’s university fees starting September. Mentioned he’s “embarrassed” he hasn’t sorted inheritance tax planning. Asked twice about buy-to-let but said ‘not urgent.’ Emotional tone: trusts Sarah personally, sceptical of the bank institutionally.</w:t>
            </w:r>
          </w:p>
          <w:p>
            <w:pPr>
              <w:spacing w:after="40" w:before="0"/>
            </w:pPr>
            <w:r>
              <w:rPr>
                <w:rFonts w:ascii="Arial" w:cs="Arial" w:eastAsia="Arial" w:hAnsi="Arial"/>
                <w:b/>
                <w:bCs/>
                <w:color w:val="F09595"/>
                <w:sz w:val="19"/>
                <w:szCs w:val="19"/>
              </w:rPr>
              <w:t xml:space="preserve">PROMISE MADE: Sarah said she’d send IHT planning options by end of March. No follow-up recorded.</w:t>
            </w:r>
          </w:p>
        </w:tc>
      </w:tr>
      <w:tr>
        <w:tc>
          <w:tcPr>
            <w:tcBorders>
              <w:top w:val="none" w:color="FFFFFF" w:sz="0"/>
              <w:left w:val="none" w:color="FFFFFF" w:sz="0"/>
              <w:bottom w:val="none" w:color="FFFFFF" w:sz="0"/>
              <w:right w:val="none" w:color="FFFFFF" w:sz="0"/>
            </w:tcBorders>
            <w:shd w:fill="12122A" w:val="clear"/>
            <w:tcMar>
              <w:top w:type="dxa" w:w="100"/>
              <w:left w:type="dxa" w:w="200"/>
              <w:bottom w:type="dxa" w:w="100"/>
              <w:right w:type="dxa" w:w="200"/>
            </w:tcMar>
          </w:tcPr>
          <w:p>
            <w:pPr>
              <w:spacing w:after="40" w:before="0"/>
            </w:pPr>
            <w:r>
              <w:rPr>
                <w:rFonts w:ascii="Arial" w:cs="Arial" w:eastAsia="Arial" w:hAnsi="Arial"/>
                <w:b/>
                <w:bCs/>
                <w:color w:val="9FE1CB"/>
                <w:sz w:val="17"/>
                <w:szCs w:val="17"/>
              </w:rPr>
              <w:t xml:space="preserve">LIVE DECISION SIGNALS</w:t>
            </w:r>
          </w:p>
          <w:p>
            <w:pPr>
              <w:spacing w:after="20" w:before="0"/>
            </w:pPr>
            <w:r>
              <w:rPr>
                <w:rFonts w:ascii="Arial" w:cs="Arial" w:eastAsia="Arial" w:hAnsi="Arial"/>
                <w:color w:val="C0DD97"/>
                <w:sz w:val="20"/>
                <w:szCs w:val="20"/>
              </w:rPr>
              <w:t xml:space="preserve">●  Mortgage calculator used 3× this week  ●  Balance grown £8K over 4 months  ●  No savings product held</w:t>
            </w:r>
          </w:p>
        </w:tc>
      </w:tr>
      <w:tr>
        <w:tc>
          <w:tcPr>
            <w:tcBorders>
              <w:top w:val="none" w:color="FFFFFF" w:sz="0"/>
              <w:left w:val="none" w:color="FFFFFF" w:sz="0"/>
              <w:bottom w:val="none" w:color="FFFFFF" w:sz="0"/>
              <w:right w:val="none" w:color="FFFFFF" w:sz="0"/>
            </w:tcBorders>
            <w:shd w:fill="0F4A3A" w:val="clear"/>
            <w:tcMar>
              <w:top w:type="dxa" w:w="100"/>
              <w:left w:type="dxa" w:w="200"/>
              <w:bottom w:type="dxa" w:w="120"/>
              <w:right w:type="dxa" w:w="200"/>
            </w:tcMar>
          </w:tcPr>
          <w:p>
            <w:pPr>
              <w:spacing w:after="40" w:before="0"/>
            </w:pPr>
            <w:r>
              <w:rPr>
                <w:rFonts w:ascii="Arial" w:cs="Arial" w:eastAsia="Arial" w:hAnsi="Arial"/>
                <w:b/>
                <w:bCs/>
                <w:color w:val="9FE1CB"/>
                <w:sz w:val="17"/>
                <w:szCs w:val="17"/>
              </w:rPr>
              <w:t xml:space="preserve">RECOMMENDED OPENING</w:t>
            </w:r>
          </w:p>
          <w:p>
            <w:pPr>
              <w:spacing w:after="0" w:before="0"/>
            </w:pPr>
            <w:r>
              <w:rPr>
                <w:rFonts w:ascii="Arial" w:cs="Arial" w:eastAsia="Arial" w:hAnsi="Arial"/>
                <w:i/>
                <w:iCs/>
                <w:color w:val="FFFFFF"/>
                <w:sz w:val="20"/>
                <w:szCs w:val="20"/>
              </w:rPr>
              <w:t xml:space="preserve">“Sarah mentioned you were thinking about IHT planning — and I know your daughter’s university fees are coming up in September. Before anything else, I want to make sure we deliver what Sarah promised. Has the timing changed for you at all?”</w:t>
            </w:r>
          </w:p>
        </w:tc>
      </w:tr>
    </w:tbl>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20"/>
              <w:bottom w:type="dxa" w:w="160"/>
              <w:right w:type="dxa" w:w="220"/>
            </w:tcMar>
          </w:tcPr>
          <w:p>
            <w:pPr>
              <w:spacing w:after="60" w:before="0"/>
            </w:pPr>
            <w:r>
              <w:rPr>
                <w:rFonts w:ascii="Arial" w:cs="Arial" w:eastAsia="Arial" w:hAnsi="Arial"/>
                <w:b/>
                <w:bCs/>
                <w:color w:val="854F0B"/>
                <w:sz w:val="19"/>
                <w:szCs w:val="19"/>
              </w:rPr>
              <w:t xml:space="preserve">The critical detail</w:t>
            </w:r>
          </w:p>
          <w:p>
            <w:pPr>
              <w:spacing w:after="0" w:before="0"/>
            </w:pPr>
            <w:r>
              <w:rPr>
                <w:rFonts w:ascii="Arial" w:cs="Arial" w:eastAsia="Arial" w:hAnsi="Arial"/>
                <w:color w:val="2C2C2A"/>
                <w:sz w:val="22"/>
                <w:szCs w:val="22"/>
              </w:rPr>
              <w:t xml:space="preserve">The incoming RM did not write that brief. They did not research the customer for 40 minutes before the call. The system built it from 9 years of interactions, extracted the promises made and not kept, identified the live decision signals, and recommended the opening line. The RM opened with it. The customer did not feel forgotten. They felt known. That is the entire product.</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The business case</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F6E56"/>
                <w:sz w:val="36"/>
                <w:szCs w:val="36"/>
              </w:rPr>
              <w:t xml:space="preserve">34%</w:t>
            </w:r>
          </w:p>
          <w:p>
            <w:pPr>
              <w:spacing w:after="0" w:before="0"/>
              <w:jc w:val="center"/>
            </w:pPr>
            <w:r>
              <w:rPr>
                <w:rFonts w:ascii="Arial" w:cs="Arial" w:eastAsia="Arial" w:hAnsi="Arial"/>
                <w:color w:val="5F5E5A"/>
                <w:sz w:val="19"/>
                <w:szCs w:val="19"/>
              </w:rPr>
              <w:t xml:space="preserve">of managed customers leave after RM departure</w:t>
            </w:r>
          </w:p>
        </w:tc>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F6E56"/>
                <w:sz w:val="36"/>
                <w:szCs w:val="36"/>
              </w:rPr>
              <w:t xml:space="preserve">£510M</w:t>
            </w:r>
          </w:p>
          <w:p>
            <w:pPr>
              <w:spacing w:after="0" w:before="0"/>
              <w:jc w:val="center"/>
            </w:pPr>
            <w:r>
              <w:rPr>
                <w:rFonts w:ascii="Arial" w:cs="Arial" w:eastAsia="Arial" w:hAnsi="Arial"/>
                <w:color w:val="5F5E5A"/>
                <w:sz w:val="19"/>
                <w:szCs w:val="19"/>
              </w:rPr>
              <w:t xml:space="preserve">annual revenue lost to handover churn (500K relationships)</w:t>
            </w:r>
          </w:p>
        </w:tc>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F6E56"/>
                <w:sz w:val="36"/>
                <w:szCs w:val="36"/>
              </w:rPr>
              <w:t xml:space="preserve">3×</w:t>
            </w:r>
          </w:p>
          <w:p>
            <w:pPr>
              <w:spacing w:after="0" w:before="0"/>
              <w:jc w:val="center"/>
            </w:pPr>
            <w:r>
              <w:rPr>
                <w:rFonts w:ascii="Arial" w:cs="Arial" w:eastAsia="Arial" w:hAnsi="Arial"/>
                <w:color w:val="5F5E5A"/>
                <w:sz w:val="19"/>
                <w:szCs w:val="19"/>
              </w:rPr>
              <w:t xml:space="preserve">higher LTV from household-aware relationship banking</w:t>
            </w:r>
          </w:p>
        </w:tc>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40" w:before="0"/>
              <w:jc w:val="center"/>
            </w:pPr>
            <w:r>
              <w:rPr>
                <w:rFonts w:ascii="Arial" w:cs="Arial" w:eastAsia="Arial" w:hAnsi="Arial"/>
                <w:b/>
                <w:bCs/>
                <w:color w:val="0F6E56"/>
                <w:sz w:val="36"/>
                <w:szCs w:val="36"/>
              </w:rPr>
              <w:t xml:space="preserve">8 months</w:t>
            </w:r>
          </w:p>
          <w:p>
            <w:pPr>
              <w:spacing w:after="0" w:before="0"/>
              <w:jc w:val="center"/>
            </w:pPr>
            <w:r>
              <w:rPr>
                <w:rFonts w:ascii="Arial" w:cs="Arial" w:eastAsia="Arial" w:hAnsi="Arial"/>
                <w:color w:val="5F5E5A"/>
                <w:sz w:val="19"/>
                <w:szCs w:val="19"/>
              </w:rPr>
              <w:t xml:space="preserve">avg gap between customer decision moment and bank contact</w:t>
            </w:r>
          </w:p>
        </w:tc>
      </w:tr>
    </w:tbl>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Revenue protected: handover continuity</w:t>
      </w:r>
    </w:p>
    <w:p>
      <w:pPr>
        <w:spacing w:after="80" w:before="80"/>
      </w:pPr>
      <w:r>
        <w:rPr>
          <w:rFonts w:ascii="Arial" w:cs="Arial" w:eastAsia="Arial" w:hAnsi="Arial"/>
          <w:color w:val="2C2C2A"/>
          <w:sz w:val="22"/>
          <w:szCs w:val="22"/>
        </w:rPr>
        <w:t xml:space="preserve">A bank with 500,000 managed relationships and 25% annual RM turnover sees 125,000 relationship handovers per year. 34% of those customers leave within 12 months of the handover — not because the bank failed in any measurable way, but because the relationship felt like it reset to zero. 42,500 customers × £12,000 average lifetime value = £510M in relationship-departure-driven revenue loss. Reducing handover churn by 50% through relationship continuity recovers £255M annually.</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Revenue unlocked: decision moment intelligence</w:t>
      </w:r>
    </w:p>
    <w:p>
      <w:pPr>
        <w:spacing w:after="80" w:before="80"/>
      </w:pPr>
      <w:r>
        <w:rPr>
          <w:rFonts w:ascii="Arial" w:cs="Arial" w:eastAsia="Arial" w:hAnsi="Arial"/>
          <w:color w:val="2C2C2A"/>
          <w:sz w:val="22"/>
          <w:szCs w:val="22"/>
        </w:rPr>
        <w:t xml:space="preserve">Banks currently contact customers on the bank’s schedule. The customer’s actual decision moment — the specific week they are thinking about a mortgage, a savings product, a business loan — is invisible. The decision moment engine contacts the right customer in the right window. Conversion rates at the moment of genuine intent are 3.2× higher than campaign-driven outreach. Across 800,000 annual financial decision moments, the incremental revenue uplift is £200–500M.</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Revenue from household intelligence</w:t>
      </w:r>
    </w:p>
    <w:p>
      <w:pPr>
        <w:spacing w:after="80" w:before="80"/>
      </w:pPr>
      <w:r>
        <w:rPr>
          <w:rFonts w:ascii="Arial" w:cs="Arial" w:eastAsia="Arial" w:hAnsi="Arial"/>
          <w:color w:val="2C2C2A"/>
          <w:sz w:val="22"/>
          <w:szCs w:val="22"/>
        </w:rPr>
        <w:t xml:space="preserve">A family of four with 22 years of combined loyalty is four disconnected Salesforce records. The household graph connects them, surfaces life event cascades across family members, and increases product penetration from 2.1 to 3.4 products per household member. At £1,200 incremental annual revenue per activated household member across 1M newly identified connections: £1.2B addressable. Capturing 25%: £300M.</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pPr>
              <w:spacing w:after="60" w:before="0"/>
            </w:pPr>
            <w:r>
              <w:rPr>
                <w:rFonts w:ascii="Arial" w:cs="Arial" w:eastAsia="Arial" w:hAnsi="Arial"/>
                <w:b/>
                <w:bCs/>
                <w:color w:val="0F6E56"/>
                <w:sz w:val="19"/>
                <w:szCs w:val="19"/>
              </w:rPr>
              <w:t xml:space="preserve">Total addressable impact</w:t>
            </w:r>
          </w:p>
          <w:p>
            <w:pPr>
              <w:spacing w:after="0" w:before="0"/>
            </w:pPr>
            <w:r>
              <w:rPr>
                <w:rFonts w:ascii="Arial" w:cs="Arial" w:eastAsia="Arial" w:hAnsi="Arial"/>
                <w:color w:val="2C2C2A"/>
                <w:sz w:val="22"/>
                <w:szCs w:val="22"/>
              </w:rPr>
              <w:t xml:space="preserve">Conservative case: £300–500M annual revenue protected and unlocked within 24 months of full deployment. Optimistic case: £1B+, including household cross-sell and the competitive moat from being the first bank whose relationships survive people.</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Why this has never been built — and why now is the moment</w:t>
      </w:r>
    </w:p>
    <w:p>
      <w:pPr>
        <w:spacing w:after="80" w:before="200"/>
      </w:pPr>
      <w:r>
        <w:rPr>
          <w:rFonts w:ascii="Arial" w:cs="Arial" w:eastAsia="Arial" w:hAnsi="Arial"/>
          <w:b/>
          <w:bCs/>
          <w:color w:val="1D9E75"/>
          <w:sz w:val="22"/>
          <w:szCs w:val="22"/>
        </w:rPr>
        <w:t xml:space="preserve">The barrier was technical until 2023</w:t>
      </w:r>
    </w:p>
    <w:p>
      <w:pPr>
        <w:spacing w:after="80" w:before="80"/>
      </w:pPr>
      <w:r>
        <w:rPr>
          <w:rFonts w:ascii="Arial" w:cs="Arial" w:eastAsia="Arial" w:hAnsi="Arial"/>
          <w:color w:val="2C2C2A"/>
          <w:sz w:val="22"/>
          <w:szCs w:val="22"/>
        </w:rPr>
        <w:t xml:space="preserve">Building Relational CRM required four capabilities that were either impossible or prohibitively expensive before 2023:</w:t>
      </w:r>
    </w:p>
    <w:p>
      <w:pPr>
        <w:pStyle w:val="ListParagraph"/>
        <w:numPr>
          <w:ilvl w:val="0"/>
          <w:numId w:val="2"/>
        </w:numPr>
        <w:spacing w:after="60" w:before="60"/>
      </w:pPr>
      <w:r>
        <w:rPr>
          <w:rFonts w:ascii="Arial" w:cs="Arial" w:eastAsia="Arial" w:hAnsi="Arial"/>
          <w:color w:val="2C2C2A"/>
          <w:sz w:val="22"/>
          <w:szCs w:val="22"/>
        </w:rPr>
        <w:t xml:space="preserve">LLMs that compress 9 years of conversation into a 90-second brief without losing the signal that matters</w:t>
      </w:r>
    </w:p>
    <w:p>
      <w:pPr>
        <w:pStyle w:val="ListParagraph"/>
        <w:numPr>
          <w:ilvl w:val="0"/>
          <w:numId w:val="2"/>
        </w:numPr>
        <w:spacing w:after="60" w:before="60"/>
      </w:pPr>
      <w:r>
        <w:rPr>
          <w:rFonts w:ascii="Arial" w:cs="Arial" w:eastAsia="Arial" w:hAnsi="Arial"/>
          <w:color w:val="2C2C2A"/>
          <w:sz w:val="22"/>
          <w:szCs w:val="22"/>
        </w:rPr>
        <w:t xml:space="preserve">Embedding-based retrieval that finds ‘the time they almost left’ across 50,000 interactions in milliseconds</w:t>
      </w:r>
    </w:p>
    <w:p>
      <w:pPr>
        <w:pStyle w:val="ListParagraph"/>
        <w:numPr>
          <w:ilvl w:val="0"/>
          <w:numId w:val="2"/>
        </w:numPr>
        <w:spacing w:after="60" w:before="60"/>
      </w:pPr>
      <w:r>
        <w:rPr>
          <w:rFonts w:ascii="Arial" w:cs="Arial" w:eastAsia="Arial" w:hAnsi="Arial"/>
          <w:color w:val="2C2C2A"/>
          <w:sz w:val="22"/>
          <w:szCs w:val="22"/>
        </w:rPr>
        <w:t xml:space="preserve">Real-time transaction stream processing for decision moment detection at customer scale</w:t>
      </w:r>
    </w:p>
    <w:p>
      <w:pPr>
        <w:pStyle w:val="ListParagraph"/>
        <w:numPr>
          <w:ilvl w:val="0"/>
          <w:numId w:val="2"/>
        </w:numPr>
        <w:spacing w:after="60" w:before="60"/>
      </w:pPr>
      <w:r>
        <w:rPr>
          <w:rFonts w:ascii="Arial" w:cs="Arial" w:eastAsia="Arial" w:hAnsi="Arial"/>
          <w:color w:val="2C2C2A"/>
          <w:sz w:val="22"/>
          <w:szCs w:val="22"/>
        </w:rPr>
        <w:t xml:space="preserve">Graph inference for household mapping without requiring any new data collection</w:t>
      </w:r>
    </w:p>
    <w:p>
      <w:pPr>
        <w:spacing w:after="0" w:before="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All four are now commodity capabilities. OpenAI, Anthropic, Snowflake Cortex, Neo4j, pgvector. The technology is available. The integration into banking relationship management has never been done.</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The barrier now is organisational courage</w:t>
      </w:r>
    </w:p>
    <w:p>
      <w:pPr>
        <w:spacing w:after="80" w:before="80"/>
      </w:pPr>
      <w:r>
        <w:rPr>
          <w:rFonts w:ascii="Arial" w:cs="Arial" w:eastAsia="Arial" w:hAnsi="Arial"/>
          <w:color w:val="2C2C2A"/>
          <w:sz w:val="22"/>
          <w:szCs w:val="22"/>
        </w:rPr>
        <w:t xml:space="preserve">Banks have spent £100M+ on Salesforce implementations. The sunk cost is enormous. But the question is not ‘can we replace Salesforce?’ The question is: can we afford not to, when a challenger bank or a fintech builds this and takes 34% of our handover customers?</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6E56" w:sz="12"/>
              <w:bottom w:val="none" w:color="FFFFFF" w:sz="0"/>
              <w:right w:val="none" w:color="FFFFFF" w:sz="0"/>
            </w:tcBorders>
            <w:tcMar>
              <w:top w:type="dxa" w:w="120"/>
              <w:left w:type="dxa" w:w="220"/>
              <w:bottom w:type="dxa" w:w="120"/>
              <w:right w:type="dxa" w:w="220"/>
            </w:tcMar>
          </w:tcPr>
          <w:p>
            <w:pPr>
              <w:spacing w:after="0" w:before="0"/>
            </w:pPr>
            <w:r>
              <w:rPr>
                <w:rFonts w:ascii="Arial" w:cs="Arial" w:eastAsia="Arial" w:hAnsi="Arial"/>
                <w:i/>
                <w:iCs/>
                <w:color w:val="5F5E5A"/>
                <w:sz w:val="24"/>
                <w:szCs w:val="24"/>
              </w:rPr>
              <w:t xml:space="preserve">The competitor that builds Relational CRM first does not win a feature advantage. They win a relationship advantage. Those are not the same thing. Features can be copied in a quarter. A decade of relationship memory cannot be copied at all.</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How we get there: the parallel-run strategy</w:t>
      </w:r>
    </w:p>
    <w:p>
      <w:pPr>
        <w:spacing w:after="80" w:before="80"/>
      </w:pPr>
      <w:r>
        <w:rPr>
          <w:rFonts w:ascii="Arial" w:cs="Arial" w:eastAsia="Arial" w:hAnsi="Arial"/>
          <w:color w:val="2C2C2A"/>
          <w:sz w:val="22"/>
          <w:szCs w:val="22"/>
        </w:rPr>
        <w:t xml:space="preserve">We do not replace Salesforce on day one. We run in parallel. The new system reads Salesforce data during migration. It never writes back to Salesforce. That is the escape hatch if anything goes wrong. It is also the proof that we are not starting from zero.</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8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What moves to Relational CRM</w:t>
            </w:r>
          </w:p>
        </w:tc>
        <w:tc>
          <w:tcPr>
            <w:tcW w:type="dxa" w:w="34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What stays on Salesforce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2C2C2A"/>
                <w:sz w:val="22"/>
                <w:szCs w:val="22"/>
              </w:rPr>
              <w:t xml:space="preserve">Phase 1
0–6 months</w:t>
            </w:r>
          </w:p>
        </w:tc>
        <w:tc>
          <w:tcPr>
            <w:tcW w:type="dxa" w:w="38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Relationship memory for top 10% of managed customers</w:t>
            </w:r>
          </w:p>
        </w:tc>
        <w:tc>
          <w:tcPr>
            <w:tcW w:type="dxa" w:w="3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Everything else — no disruption to existing workflows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2C2C2A"/>
                <w:sz w:val="22"/>
                <w:szCs w:val="22"/>
              </w:rPr>
              <w:t xml:space="preserve">Phase 2
6–12 months</w:t>
            </w:r>
          </w:p>
        </w:tc>
        <w:tc>
          <w:tcPr>
            <w:tcW w:type="dxa" w:w="38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Decision moment engine + household intelligence graph</w:t>
            </w:r>
          </w:p>
        </w:tc>
        <w:tc>
          <w:tcPr>
            <w:tcW w:type="dxa" w:w="3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Product holdings, compliance reporting, pipeline tracking</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2C2C2A"/>
                <w:sz w:val="22"/>
                <w:szCs w:val="22"/>
              </w:rPr>
              <w:t xml:space="preserve">Phase 3
12–18 months</w:t>
            </w:r>
          </w:p>
        </w:tc>
        <w:tc>
          <w:tcPr>
            <w:tcW w:type="dxa" w:w="38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Full RM interface for all managed relationships</w:t>
            </w:r>
          </w:p>
        </w:tc>
        <w:tc>
          <w:tcPr>
            <w:tcW w:type="dxa" w:w="3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Back-office reporting and integrations only</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2C2C2A"/>
                <w:sz w:val="22"/>
                <w:szCs w:val="22"/>
              </w:rPr>
              <w:t xml:space="preserve">Phase 4
18–24 months</w:t>
            </w:r>
          </w:p>
        </w:tc>
        <w:tc>
          <w:tcPr>
            <w:tcW w:type="dxa" w:w="38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Complete cutover — new system is the system of record</w:t>
            </w:r>
          </w:p>
        </w:tc>
        <w:tc>
          <w:tcPr>
            <w:tcW w:type="dxa" w:w="3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Retired to read-only archive</w:t>
            </w:r>
          </w:p>
        </w:tc>
      </w:tr>
    </w:tbl>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20"/>
              <w:bottom w:type="dxa" w:w="160"/>
              <w:right w:type="dxa" w:w="220"/>
            </w:tcMar>
          </w:tcPr>
          <w:p>
            <w:pPr>
              <w:spacing w:after="60" w:before="0"/>
            </w:pPr>
            <w:r>
              <w:rPr>
                <w:rFonts w:ascii="Arial" w:cs="Arial" w:eastAsia="Arial" w:hAnsi="Arial"/>
                <w:b/>
                <w:bCs/>
                <w:color w:val="5F5E5A"/>
                <w:sz w:val="19"/>
                <w:szCs w:val="19"/>
              </w:rPr>
              <w:t xml:space="preserve">The key principle</w:t>
            </w:r>
          </w:p>
          <w:p>
            <w:pPr>
              <w:spacing w:after="0" w:before="0"/>
            </w:pPr>
            <w:r>
              <w:rPr>
                <w:rFonts w:ascii="Arial" w:cs="Arial" w:eastAsia="Arial" w:hAnsi="Arial"/>
                <w:color w:val="2C2C2A"/>
                <w:sz w:val="22"/>
                <w:szCs w:val="22"/>
              </w:rPr>
              <w:t xml:space="preserve">Salesforce is not turned off until the new system has demonstrated relationship continuity across a real handover cycle. We earn the right to replace it by proving it works — on real customers, with real RMs, measured against real retention rates.</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Session structure</w:t>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Time</w:t>
            </w:r>
          </w:p>
        </w:tc>
        <w:tc>
          <w:tcPr>
            <w:tcW w:type="dxa" w:w="46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Segment</w:t>
            </w:r>
          </w:p>
        </w:tc>
        <w:tc>
          <w:tcPr>
            <w:tcW w:type="dxa" w:w="2880"/>
            <w:tcBorders>
              <w:top w:val="single" w:color="D3D1C7" w:sz="1"/>
              <w:left w:val="single" w:color="D3D1C7" w:sz="1"/>
              <w:bottom w:val="single" w:color="D3D1C7" w:sz="1"/>
              <w:right w:val="single" w:color="D3D1C7" w:sz="1"/>
            </w:tcBorders>
            <w:shd w:fill="0F6E56" w:val="clear"/>
            <w:tcMar>
              <w:top w:type="dxa" w:w="100"/>
              <w:left w:type="dxa" w:w="140"/>
              <w:bottom w:type="dxa" w:w="100"/>
              <w:right w:type="dxa" w:w="140"/>
            </w:tcMar>
          </w:tcPr>
          <w:p>
            <w:r>
              <w:rPr>
                <w:rFonts w:ascii="Arial" w:cs="Arial" w:eastAsia="Arial" w:hAnsi="Arial"/>
                <w:b/>
                <w:bCs/>
                <w:color w:val="FFFFFF"/>
                <w:sz w:val="22"/>
                <w:szCs w:val="22"/>
              </w:rPr>
              <w:t xml:space="preserve">Format</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2C2C2A"/>
                <w:sz w:val="22"/>
                <w:szCs w:val="22"/>
              </w:rPr>
              <w:t xml:space="preserve">0–7 min</w:t>
            </w:r>
          </w:p>
        </w:tc>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provocation: a 9-year relationship, a Friday departure, a Monday call that starts from zero</w:t>
            </w:r>
          </w:p>
        </w:tc>
        <w:tc>
          <w:tcPr>
            <w:tcW w:type="dxa" w:w="28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Story-led opener</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2C2C2A"/>
                <w:sz w:val="22"/>
                <w:szCs w:val="22"/>
              </w:rPr>
              <w:t xml:space="preserve">7–15 min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diagnosis: three things Salesforce cannot do by architecture</w:t>
            </w:r>
          </w:p>
        </w:tc>
        <w:tc>
          <w:tcPr>
            <w:tcW w:type="dxa" w:w="28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Talk + audience poll</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2C2C2A"/>
                <w:sz w:val="22"/>
                <w:szCs w:val="22"/>
              </w:rPr>
              <w:t xml:space="preserve">15–25 min</w:t>
            </w:r>
          </w:p>
        </w:tc>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architecture: seven layers, one brief, zero manual logging</w:t>
            </w:r>
          </w:p>
        </w:tc>
        <w:tc>
          <w:tcPr>
            <w:tcW w:type="dxa" w:w="28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Live walkthrough</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2C2C2A"/>
                <w:sz w:val="22"/>
                <w:szCs w:val="22"/>
              </w:rPr>
              <w:t xml:space="preserve">25–35 min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demo: watch the system brief an RM on a customer it has never met</w:t>
            </w:r>
          </w:p>
        </w:tc>
        <w:tc>
          <w:tcPr>
            <w:tcW w:type="dxa" w:w="28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Live demo</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bCs/>
                <w:color w:val="2C2C2A"/>
                <w:sz w:val="22"/>
                <w:szCs w:val="22"/>
              </w:rPr>
              <w:t xml:space="preserve">35–42 min</w:t>
            </w:r>
          </w:p>
        </w:tc>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business case and migration strategy</w:t>
            </w:r>
          </w:p>
        </w:tc>
        <w:tc>
          <w:tcPr>
            <w:tcW w:type="dxa" w:w="28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r>
              <w:rPr>
                <w:rFonts w:ascii="Arial" w:cs="Arial" w:eastAsia="Arial" w:hAnsi="Arial"/>
                <w:b w:val="false"/>
                <w:bCs w:val="false"/>
                <w:color w:val="2C2C2A"/>
                <w:sz w:val="22"/>
                <w:szCs w:val="22"/>
              </w:rPr>
              <w:t xml:space="preserve">Talk</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bCs/>
                <w:color w:val="2C2C2A"/>
                <w:sz w:val="22"/>
                <w:szCs w:val="22"/>
              </w:rPr>
              <w:t xml:space="preserve">42–45 min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The question nobody wants to ask: why haven’t we already done this?</w:t>
            </w:r>
          </w:p>
        </w:tc>
        <w:tc>
          <w:tcPr>
            <w:tcW w:type="dxa" w:w="28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r>
              <w:rPr>
                <w:rFonts w:ascii="Arial" w:cs="Arial" w:eastAsia="Arial" w:hAnsi="Arial"/>
                <w:b w:val="false"/>
                <w:bCs w:val="false"/>
                <w:color w:val="2C2C2A"/>
                <w:sz w:val="22"/>
                <w:szCs w:val="22"/>
              </w:rPr>
              <w:t xml:space="preserve">Open floor</w:t>
            </w:r>
          </w:p>
        </w:tc>
      </w:tr>
    </w:tbl>
    <w:p>
      <w:pPr>
        <w:pBdr>
          <w:bottom w:val="single" w:color="E1F5EE" w:sz="4" w:space="1"/>
        </w:pBdr>
        <w:spacing w:after="200" w:before="200"/>
      </w:pPr>
      <w:r>
        <w:rPr>
          <w:rFonts w:ascii="Arial" w:cs="Arial" w:eastAsia="Arial" w:hAnsi="Arial"/>
          <w:color w:val="2C2C2A"/>
          <w:sz w:val="4"/>
          <w:szCs w:val="4"/>
        </w:rPr>
        <w:t xml:space="preserve"/>
      </w:r>
    </w:p>
    <w:p>
      <w:pPr>
        <w:spacing w:after="140" w:before="360"/>
      </w:pPr>
      <w:r>
        <w:rPr>
          <w:rFonts w:ascii="Arial" w:cs="Arial" w:eastAsia="Arial" w:hAnsi="Arial"/>
          <w:b/>
          <w:bCs/>
          <w:color w:val="0F6E56"/>
          <w:sz w:val="34"/>
          <w:szCs w:val="34"/>
        </w:rPr>
        <w:t xml:space="preserve">Why this session gets selected</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For the innovation panel</w:t>
      </w:r>
    </w:p>
    <w:p>
      <w:pPr>
        <w:pStyle w:val="ListParagraph"/>
        <w:numPr>
          <w:ilvl w:val="0"/>
          <w:numId w:val="2"/>
        </w:numPr>
        <w:spacing w:after="60" w:before="60"/>
      </w:pPr>
      <w:r>
        <w:rPr>
          <w:rFonts w:ascii="Arial" w:cs="Arial" w:eastAsia="Arial" w:hAnsi="Arial"/>
          <w:color w:val="2C2C2A"/>
          <w:sz w:val="22"/>
          <w:szCs w:val="22"/>
        </w:rPr>
        <w:t xml:space="preserve">It challenges an assumption everyone holds but nobody questions: that Salesforce is the right foundation for relationship banking</w:t>
      </w:r>
    </w:p>
    <w:p>
      <w:pPr>
        <w:pStyle w:val="ListParagraph"/>
        <w:numPr>
          <w:ilvl w:val="0"/>
          <w:numId w:val="2"/>
        </w:numPr>
        <w:spacing w:after="60" w:before="60"/>
      </w:pPr>
      <w:r>
        <w:rPr>
          <w:rFonts w:ascii="Arial" w:cs="Arial" w:eastAsia="Arial" w:hAnsi="Arial"/>
          <w:color w:val="2C2C2A"/>
          <w:sz w:val="22"/>
          <w:szCs w:val="22"/>
        </w:rPr>
        <w:t xml:space="preserve">It has a live demo that produces a moment — an RM briefing that sounds like a decade of relationship, built in 0.4 seconds</w:t>
      </w:r>
    </w:p>
    <w:p>
      <w:pPr>
        <w:pStyle w:val="ListParagraph"/>
        <w:numPr>
          <w:ilvl w:val="0"/>
          <w:numId w:val="2"/>
        </w:numPr>
        <w:spacing w:after="60" w:before="60"/>
      </w:pPr>
      <w:r>
        <w:rPr>
          <w:rFonts w:ascii="Arial" w:cs="Arial" w:eastAsia="Arial" w:hAnsi="Arial"/>
          <w:color w:val="2C2C2A"/>
          <w:sz w:val="22"/>
          <w:szCs w:val="22"/>
        </w:rPr>
        <w:t xml:space="preserve">It has a credible migration path, not just a vision — panels select sessions that show how, not just what</w:t>
      </w:r>
    </w:p>
    <w:p>
      <w:pPr>
        <w:pStyle w:val="ListParagraph"/>
        <w:numPr>
          <w:ilvl w:val="0"/>
          <w:numId w:val="2"/>
        </w:numPr>
        <w:spacing w:after="60" w:before="60"/>
      </w:pPr>
      <w:r>
        <w:rPr>
          <w:rFonts w:ascii="Arial" w:cs="Arial" w:eastAsia="Arial" w:hAnsi="Arial"/>
          <w:color w:val="2C2C2A"/>
          <w:sz w:val="22"/>
          <w:szCs w:val="22"/>
        </w:rPr>
        <w:t xml:space="preserve">It spans Customer &amp; Client, Data &amp; AI, and Engineering — multi-pillar reach means broader audience</w:t>
      </w:r>
    </w:p>
    <w:p>
      <w:pPr>
        <w:spacing w:after="0" w:before="0"/>
      </w:pPr>
      <w:r>
        <w:rPr>
          <w:rFonts w:ascii="Arial" w:cs="Arial" w:eastAsia="Arial" w:hAnsi="Arial"/>
          <w:color w:val="2C2C2A"/>
          <w:sz w:val="22"/>
          <w:szCs w:val="22"/>
        </w:rPr>
        <w:t xml:space="preserve"/>
      </w:r>
    </w:p>
    <w:p>
      <w:pPr>
        <w:spacing w:after="80" w:before="200"/>
      </w:pPr>
      <w:r>
        <w:rPr>
          <w:rFonts w:ascii="Arial" w:cs="Arial" w:eastAsia="Arial" w:hAnsi="Arial"/>
          <w:b/>
          <w:bCs/>
          <w:color w:val="1D9E75"/>
          <w:sz w:val="22"/>
          <w:szCs w:val="22"/>
        </w:rPr>
        <w:t xml:space="preserve">For the audience</w:t>
      </w:r>
    </w:p>
    <w:p>
      <w:pPr>
        <w:pStyle w:val="ListParagraph"/>
        <w:numPr>
          <w:ilvl w:val="0"/>
          <w:numId w:val="2"/>
        </w:numPr>
        <w:spacing w:after="60" w:before="60"/>
      </w:pPr>
      <w:r>
        <w:rPr>
          <w:rFonts w:ascii="Arial" w:cs="Arial" w:eastAsia="Arial" w:hAnsi="Arial"/>
          <w:color w:val="2C2C2A"/>
          <w:sz w:val="22"/>
          <w:szCs w:val="22"/>
        </w:rPr>
        <w:t xml:space="preserve">Every relationship banker in the room has felt the customer go cold on the first handover call. This names that experience and proposes an end to it</w:t>
      </w:r>
    </w:p>
    <w:p>
      <w:pPr>
        <w:pStyle w:val="ListParagraph"/>
        <w:numPr>
          <w:ilvl w:val="0"/>
          <w:numId w:val="2"/>
        </w:numPr>
        <w:spacing w:after="60" w:before="60"/>
      </w:pPr>
      <w:r>
        <w:rPr>
          <w:rFonts w:ascii="Arial" w:cs="Arial" w:eastAsia="Arial" w:hAnsi="Arial"/>
          <w:color w:val="2C2C2A"/>
          <w:sz w:val="22"/>
          <w:szCs w:val="22"/>
        </w:rPr>
        <w:t xml:space="preserve">Every technologist has wondered why the CRM data is so bad. This explains why and offers an architectural alternative</w:t>
      </w:r>
    </w:p>
    <w:p>
      <w:pPr>
        <w:pStyle w:val="ListParagraph"/>
        <w:numPr>
          <w:ilvl w:val="0"/>
          <w:numId w:val="2"/>
        </w:numPr>
        <w:spacing w:after="60" w:before="60"/>
      </w:pPr>
      <w:r>
        <w:rPr>
          <w:rFonts w:ascii="Arial" w:cs="Arial" w:eastAsia="Arial" w:hAnsi="Arial"/>
          <w:color w:val="2C2C2A"/>
          <w:sz w:val="22"/>
          <w:szCs w:val="22"/>
        </w:rPr>
        <w:t xml:space="preserve">Every product leader has wanted to contact customers at the right moment but fired campaigns instead. This shows what ‘right moment’ actually means technically</w:t>
      </w:r>
    </w:p>
    <w:p>
      <w:pPr>
        <w:spacing w:after="0" w:before="0"/>
      </w:pPr>
      <w:r>
        <w:rPr>
          <w:rFonts w:ascii="Arial" w:cs="Arial" w:eastAsia="Arial" w:hAnsi="Arial"/>
          <w:color w:val="2C2C2A"/>
          <w:sz w:val="22"/>
          <w:szCs w:val="22"/>
        </w:rPr>
        <w:t xml:space="preserve"/>
      </w:r>
    </w:p>
    <w:p>
      <w:pPr>
        <w:spacing w:after="0" w:before="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240"/>
              <w:left w:type="dxa" w:w="280"/>
              <w:bottom w:type="dxa" w:w="240"/>
              <w:right w:type="dxa" w:w="280"/>
            </w:tcMar>
          </w:tcPr>
          <w:p>
            <w:pPr>
              <w:spacing w:after="80" w:before="0"/>
              <w:jc w:val="center"/>
            </w:pPr>
            <w:r>
              <w:rPr>
                <w:rFonts w:ascii="Arial" w:cs="Arial" w:eastAsia="Arial" w:hAnsi="Arial"/>
                <w:i/>
                <w:iCs/>
                <w:color w:val="E1F5EE"/>
                <w:sz w:val="24"/>
                <w:szCs w:val="24"/>
              </w:rPr>
              <w:t xml:space="preserve">Salesforce is the best system ever built for managing a sales pipeline.</w:t>
            </w:r>
          </w:p>
          <w:p>
            <w:pPr>
              <w:spacing w:after="80" w:before="0"/>
              <w:jc w:val="center"/>
            </w:pPr>
            <w:r>
              <w:rPr>
                <w:rFonts w:ascii="Arial" w:cs="Arial" w:eastAsia="Arial" w:hAnsi="Arial"/>
                <w:b/>
                <w:bCs/>
                <w:i/>
                <w:iCs/>
                <w:color w:val="FFFFFF"/>
                <w:sz w:val="24"/>
                <w:szCs w:val="24"/>
              </w:rPr>
              <w:t xml:space="preserve">It is the worst system ever built for remembering a relationship.</w:t>
            </w:r>
          </w:p>
          <w:p>
            <w:pPr>
              <w:spacing w:after="0" w:before="0"/>
              <w:jc w:val="center"/>
            </w:pPr>
            <w:r>
              <w:rPr>
                <w:rFonts w:ascii="Arial" w:cs="Arial" w:eastAsia="Arial" w:hAnsi="Arial"/>
                <w:color w:val="9FE1CB"/>
                <w:sz w:val="22"/>
                <w:szCs w:val="22"/>
              </w:rPr>
              <w:t xml:space="preserve">We have spent ten years trying to make it do something it was never designed to do.</w:t>
            </w:r>
          </w:p>
        </w:tc>
      </w:tr>
    </w:tbl>
    <w:p>
      <w:pPr>
        <w:spacing w:after="0" w:before="0"/>
      </w:pPr>
      <w:r>
        <w:rPr>
          <w:rFonts w:ascii="Arial" w:cs="Arial" w:eastAsia="Arial" w:hAnsi="Arial"/>
          <w:color w:val="2C2C2A"/>
          <w:sz w:val="22"/>
          <w:szCs w:val="22"/>
        </w:rPr>
        <w:t xml:space="preserve"/>
      </w:r>
    </w:p>
    <w:p>
      <w:pPr>
        <w:spacing w:after="0" w:before="0"/>
        <w:jc w:val="center"/>
      </w:pPr>
      <w:r>
        <w:rPr>
          <w:rFonts w:ascii="Arial" w:cs="Arial" w:eastAsia="Arial" w:hAnsi="Arial"/>
          <w:color w:val="5F5E5A"/>
          <w:sz w:val="19"/>
          <w:szCs w:val="19"/>
        </w:rPr>
        <w:t xml:space="preserve">Innovation Week Pitch · Submitted for Innovative Products &amp; Experiences: Customer &amp; Client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Innovation Week Pitch · Relational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2026-04-19T17:23:43.592Z</dcterms:created>
  <dcterms:modified xsi:type="dcterms:W3CDTF">2026-04-19T17:23:43.594Z</dcterms:modified>
</cp:coreProperties>
</file>

<file path=docProps/custom.xml><?xml version="1.0" encoding="utf-8"?>
<Properties xmlns="http://schemas.openxmlformats.org/officeDocument/2006/custom-properties" xmlns:vt="http://schemas.openxmlformats.org/officeDocument/2006/docPropsVTypes"/>
</file>