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C1614">
      <w:pPr>
        <w:pStyle w:val="5"/>
        <w:spacing w:before="142" w:line="360" w:lineRule="auto"/>
        <w:ind w:left="1469"/>
        <w:jc w:val="both"/>
        <w:outlineLvl w:val="0"/>
        <w:rPr>
          <w:rFonts w:hint="eastAsia" w:ascii="仿宋" w:hAnsi="仿宋" w:eastAsia="仿宋" w:cs="仿宋"/>
          <w:sz w:val="36"/>
          <w:szCs w:val="36"/>
        </w:rPr>
      </w:pPr>
      <w:r>
        <w:rPr>
          <w:rFonts w:hint="eastAsia" w:ascii="仿宋" w:hAnsi="仿宋" w:eastAsia="仿宋" w:cs="仿宋"/>
          <w:b/>
          <w:bCs/>
          <w:spacing w:val="-4"/>
          <w:sz w:val="36"/>
          <w:szCs w:val="36"/>
        </w:rPr>
        <w:t>《产业发展的政治经济学》复习题</w:t>
      </w:r>
    </w:p>
    <w:p w14:paraId="5C1B9C9D">
      <w:pPr>
        <w:spacing w:line="360" w:lineRule="auto"/>
        <w:jc w:val="both"/>
        <w:rPr>
          <w:rFonts w:hint="eastAsia" w:ascii="仿宋" w:hAnsi="仿宋" w:eastAsia="仿宋" w:cs="仿宋"/>
          <w:sz w:val="24"/>
          <w:szCs w:val="24"/>
        </w:rPr>
      </w:pPr>
    </w:p>
    <w:p w14:paraId="3FE851EB">
      <w:pPr>
        <w:pStyle w:val="5"/>
        <w:spacing w:before="136" w:line="360" w:lineRule="auto"/>
        <w:ind w:left="31"/>
        <w:jc w:val="both"/>
        <w:outlineLvl w:val="1"/>
        <w:rPr>
          <w:rFonts w:hint="eastAsia" w:ascii="仿宋" w:hAnsi="仿宋" w:eastAsia="仿宋" w:cs="仿宋"/>
          <w:sz w:val="30"/>
          <w:szCs w:val="30"/>
        </w:rPr>
      </w:pPr>
      <w:r>
        <w:rPr>
          <w:rFonts w:hint="eastAsia" w:ascii="仿宋" w:hAnsi="仿宋" w:eastAsia="仿宋" w:cs="仿宋"/>
          <w:b/>
          <w:bCs/>
          <w:spacing w:val="-9"/>
          <w:sz w:val="30"/>
          <w:szCs w:val="30"/>
        </w:rPr>
        <w:t>一、简答题</w:t>
      </w:r>
    </w:p>
    <w:p w14:paraId="1211BA81">
      <w:pPr>
        <w:pStyle w:val="5"/>
        <w:spacing w:before="299" w:line="360" w:lineRule="auto"/>
        <w:ind w:left="41"/>
        <w:jc w:val="both"/>
        <w:rPr>
          <w:rFonts w:hint="eastAsia" w:ascii="仿宋" w:hAnsi="仿宋" w:eastAsia="仿宋" w:cs="仿宋"/>
          <w:b/>
          <w:bCs/>
          <w:spacing w:val="-2"/>
          <w:sz w:val="24"/>
          <w:szCs w:val="24"/>
        </w:rPr>
      </w:pPr>
      <w:r>
        <w:rPr>
          <w:rFonts w:hint="eastAsia" w:ascii="仿宋" w:hAnsi="仿宋" w:eastAsia="仿宋" w:cs="仿宋"/>
          <w:spacing w:val="-2"/>
          <w:sz w:val="24"/>
          <w:szCs w:val="24"/>
        </w:rPr>
        <w:t>1</w:t>
      </w:r>
      <w:r>
        <w:rPr>
          <w:rFonts w:hint="eastAsia" w:ascii="仿宋" w:hAnsi="仿宋" w:eastAsia="仿宋" w:cs="仿宋"/>
          <w:b/>
          <w:bCs/>
          <w:spacing w:val="-2"/>
          <w:sz w:val="24"/>
          <w:szCs w:val="24"/>
        </w:rPr>
        <w:t>、请论述国际金融危机对国家政治经济的影响。</w:t>
      </w:r>
    </w:p>
    <w:p w14:paraId="1056EEC9">
      <w:pPr>
        <w:pStyle w:val="5"/>
        <w:spacing w:before="299" w:line="360" w:lineRule="auto"/>
        <w:ind w:left="41" w:firstLine="500" w:firstLineChars="0"/>
        <w:jc w:val="both"/>
        <w:rPr>
          <w:rFonts w:hint="eastAsia" w:ascii="仿宋" w:hAnsi="仿宋" w:eastAsia="仿宋" w:cs="仿宋"/>
          <w:spacing w:val="-2"/>
          <w:sz w:val="24"/>
          <w:szCs w:val="24"/>
        </w:rPr>
      </w:pPr>
      <w:r>
        <w:rPr>
          <w:rFonts w:hint="eastAsia" w:ascii="仿宋" w:hAnsi="仿宋" w:eastAsia="仿宋" w:cs="仿宋"/>
          <w:spacing w:val="-2"/>
          <w:sz w:val="24"/>
          <w:szCs w:val="24"/>
        </w:rPr>
        <w:t>国际金融危机对国家政治经济的影响具有多维度和深远性，其作用机制不仅体现在短期冲击上，更通过结构性调整重塑全球格局。以下从政治、经济及社会三个层面展开论述：</w:t>
      </w:r>
    </w:p>
    <w:p w14:paraId="24A41A0D">
      <w:pPr>
        <w:pStyle w:val="5"/>
        <w:spacing w:before="299" w:line="360" w:lineRule="auto"/>
        <w:jc w:val="both"/>
        <w:rPr>
          <w:rFonts w:hint="eastAsia" w:ascii="仿宋" w:hAnsi="仿宋" w:eastAsia="仿宋" w:cs="仿宋"/>
          <w:spacing w:val="-2"/>
          <w:sz w:val="24"/>
          <w:szCs w:val="24"/>
        </w:rPr>
      </w:pPr>
      <w:r>
        <w:rPr>
          <w:rFonts w:hint="eastAsia" w:ascii="仿宋" w:hAnsi="仿宋" w:eastAsia="仿宋" w:cs="仿宋"/>
          <w:spacing w:val="-2"/>
          <w:sz w:val="24"/>
          <w:szCs w:val="24"/>
        </w:rPr>
        <w:t>一、国际政治格局的重构</w:t>
      </w:r>
    </w:p>
    <w:p w14:paraId="46AE052C">
      <w:pPr>
        <w:pStyle w:val="5"/>
        <w:spacing w:before="299" w:line="360" w:lineRule="auto"/>
        <w:ind w:left="41" w:firstLine="500" w:firstLineChars="0"/>
        <w:jc w:val="both"/>
        <w:rPr>
          <w:rFonts w:hint="eastAsia" w:ascii="仿宋" w:hAnsi="仿宋" w:eastAsia="仿宋" w:cs="仿宋"/>
          <w:spacing w:val="-2"/>
          <w:sz w:val="24"/>
          <w:szCs w:val="24"/>
        </w:rPr>
      </w:pPr>
      <w:r>
        <w:rPr>
          <w:rFonts w:hint="eastAsia" w:ascii="仿宋" w:hAnsi="仿宋" w:eastAsia="仿宋" w:cs="仿宋"/>
          <w:spacing w:val="-2"/>
          <w:sz w:val="24"/>
          <w:szCs w:val="24"/>
        </w:rPr>
        <w:t>金融危机加速了全球权力结构的“东升西降”。发达国家因经济实力衰退，单边主导能力下降，如美国在危机后被迫收缩全球战略，转向“离岸平衡”策略，集中资源于东亚地区</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与此同时，新兴市场国家群体崛起，以金砖国家为代表的新兴经济体通过G20等多边机制要求提高国际话语权，推动建立更民主的国际秩序</w:t>
      </w:r>
      <w:r>
        <w:rPr>
          <w:rFonts w:hint="eastAsia" w:ascii="仿宋" w:hAnsi="仿宋" w:eastAsia="仿宋" w:cs="仿宋"/>
          <w:spacing w:val="-2"/>
          <w:sz w:val="24"/>
          <w:szCs w:val="24"/>
          <w:lang w:val="en-US" w:eastAsia="zh-CN"/>
        </w:rPr>
        <w:t>。例如，中国通过快速危机应对和经济增长，成为全球经济治理的重要参与者，其发展模式引发国际广泛讨论。这种权力转移还表现为地缘政治联盟的重组，如“欧亚集团”与“盎格鲁-萨克逊集团”的对抗加剧，以及TPP、TTIP等区域规则制定试图重塑全球分工体系。</w:t>
      </w:r>
    </w:p>
    <w:p w14:paraId="6A945887">
      <w:pPr>
        <w:pStyle w:val="5"/>
        <w:spacing w:before="299" w:line="360" w:lineRule="auto"/>
        <w:ind w:left="41"/>
        <w:jc w:val="both"/>
        <w:rPr>
          <w:rFonts w:hint="eastAsia" w:ascii="仿宋" w:hAnsi="仿宋" w:eastAsia="仿宋" w:cs="仿宋"/>
          <w:spacing w:val="-2"/>
          <w:sz w:val="24"/>
          <w:szCs w:val="24"/>
        </w:rPr>
      </w:pPr>
      <w:r>
        <w:rPr>
          <w:rFonts w:hint="eastAsia" w:ascii="仿宋" w:hAnsi="仿宋" w:eastAsia="仿宋" w:cs="仿宋"/>
          <w:spacing w:val="-2"/>
          <w:sz w:val="24"/>
          <w:szCs w:val="24"/>
        </w:rPr>
        <w:t>二、全球经济体系的深层调整</w:t>
      </w:r>
    </w:p>
    <w:p w14:paraId="29673C9F">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40" w:firstLine="499" w:firstLineChars="0"/>
        <w:jc w:val="both"/>
        <w:textAlignment w:val="baseline"/>
        <w:rPr>
          <w:rFonts w:hint="eastAsia" w:ascii="仿宋" w:hAnsi="仿宋" w:eastAsia="仿宋" w:cs="仿宋"/>
          <w:spacing w:val="-2"/>
          <w:sz w:val="24"/>
          <w:szCs w:val="24"/>
          <w:lang w:val="en-US" w:eastAsia="zh-CN"/>
        </w:rPr>
      </w:pPr>
      <w:r>
        <w:rPr>
          <w:rFonts w:hint="eastAsia" w:ascii="仿宋" w:hAnsi="仿宋" w:eastAsia="仿宋" w:cs="仿宋"/>
          <w:spacing w:val="-2"/>
          <w:sz w:val="24"/>
          <w:szCs w:val="24"/>
        </w:rPr>
        <w:t>金融危机暴露了传统全球化模式的脆弱性，推动国际经济秩序重构。一方面，发达国家实体经济受创，社会消费能力下降，导致全球贸易保护主义抬头，如美国“买美国货”政策加剧贸易摩擦</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另一方面，新兴经济体通过内需驱动实现复苏，如中国扩大内需政策成为全球经济引擎，促使国际分工从“中心-外围”模式向多极化再平衡转变。产业领域则呈现“服务贸易化”趋势，知识密集型服务业可贸易性提升，而发达国家加速向高端制造业和数字经济转型，试图维持技术优势。此外，国际金融体系改革压力增大，发展中国家要求改革IMF和世行投票权结构，但美元霸权短期内仍难被取代。</w:t>
      </w:r>
    </w:p>
    <w:p w14:paraId="44FB9E46">
      <w:pPr>
        <w:pStyle w:val="5"/>
        <w:spacing w:before="299" w:line="360" w:lineRule="auto"/>
        <w:ind w:left="41"/>
        <w:jc w:val="both"/>
        <w:rPr>
          <w:rFonts w:hint="eastAsia" w:ascii="仿宋" w:hAnsi="仿宋" w:eastAsia="仿宋" w:cs="仿宋"/>
          <w:spacing w:val="-2"/>
          <w:sz w:val="24"/>
          <w:szCs w:val="24"/>
        </w:rPr>
      </w:pPr>
      <w:r>
        <w:rPr>
          <w:rFonts w:hint="eastAsia" w:ascii="仿宋" w:hAnsi="仿宋" w:eastAsia="仿宋" w:cs="仿宋"/>
          <w:spacing w:val="-2"/>
          <w:sz w:val="24"/>
          <w:szCs w:val="24"/>
        </w:rPr>
        <w:t>三、社会政治稳定的连锁反应</w:t>
      </w:r>
    </w:p>
    <w:p w14:paraId="6E2EA969">
      <w:pPr>
        <w:pStyle w:val="5"/>
        <w:spacing w:before="299" w:line="360" w:lineRule="auto"/>
        <w:ind w:left="41" w:firstLine="500" w:firstLineChars="0"/>
        <w:jc w:val="both"/>
        <w:rPr>
          <w:rFonts w:hint="eastAsia" w:ascii="仿宋" w:hAnsi="仿宋" w:eastAsia="仿宋" w:cs="仿宋"/>
          <w:spacing w:val="-2"/>
          <w:sz w:val="24"/>
          <w:szCs w:val="24"/>
        </w:rPr>
      </w:pPr>
      <w:r>
        <w:rPr>
          <w:rFonts w:hint="eastAsia" w:ascii="仿宋" w:hAnsi="仿宋" w:eastAsia="仿宋" w:cs="仿宋"/>
          <w:spacing w:val="-2"/>
          <w:sz w:val="24"/>
          <w:szCs w:val="24"/>
        </w:rPr>
        <w:t>经济危机通过“脆弱性传导”引发政治动荡。高失业率（如欧盟失业人数达1740万）和贫富分化激化社会矛盾，法国、希腊等国爆发大规模抗议，政府信任度骤降</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部分国家出现政治更迭，如日本麻生内阁因支持率过低倒台，冰岛、匈牙利政府因危机应对不力辞职。腐败问题与金融危机的叠加效应进一步削弱治理能力，如美国麦道夫骗局、泰国政商勾结加剧系统性风险。这些动荡暴露了新自由主义发展模式的缺陷，促使各国反思经济政策，巴西等国通过扶持制造业实现“再工业化”，以平衡金融过度膨胀的风险。</w:t>
      </w:r>
    </w:p>
    <w:p w14:paraId="0002E437">
      <w:pPr>
        <w:pStyle w:val="5"/>
        <w:spacing w:before="299" w:line="360" w:lineRule="auto"/>
        <w:ind w:left="41"/>
        <w:jc w:val="both"/>
        <w:rPr>
          <w:rFonts w:hint="eastAsia" w:ascii="仿宋" w:hAnsi="仿宋" w:eastAsia="仿宋" w:cs="仿宋"/>
          <w:spacing w:val="-2"/>
          <w:sz w:val="24"/>
          <w:szCs w:val="24"/>
        </w:rPr>
      </w:pPr>
      <w:r>
        <w:rPr>
          <w:rFonts w:hint="eastAsia" w:ascii="仿宋" w:hAnsi="仿宋" w:eastAsia="仿宋" w:cs="仿宋"/>
          <w:spacing w:val="-2"/>
          <w:sz w:val="24"/>
          <w:szCs w:val="24"/>
        </w:rPr>
        <w:t>结论</w:t>
      </w:r>
    </w:p>
    <w:p w14:paraId="04CB7830">
      <w:pPr>
        <w:pStyle w:val="5"/>
        <w:spacing w:before="299" w:line="360" w:lineRule="auto"/>
        <w:ind w:left="41" w:firstLine="500" w:firstLineChars="0"/>
        <w:jc w:val="both"/>
        <w:rPr>
          <w:rFonts w:hint="eastAsia" w:ascii="仿宋" w:hAnsi="仿宋" w:eastAsia="仿宋" w:cs="仿宋"/>
          <w:spacing w:val="-2"/>
          <w:sz w:val="24"/>
          <w:szCs w:val="24"/>
        </w:rPr>
      </w:pPr>
      <w:r>
        <w:rPr>
          <w:rFonts w:hint="eastAsia" w:ascii="仿宋" w:hAnsi="仿宋" w:eastAsia="仿宋" w:cs="仿宋"/>
          <w:spacing w:val="-2"/>
          <w:sz w:val="24"/>
          <w:szCs w:val="24"/>
        </w:rPr>
        <w:t>国际金融危机既是全球权力格局的“压力测试”，也是发展模式转型的催化剂。其长期影响体现为：政治多极化加速、经济治理民主化、产业竞争技术化以及社会治理复杂化。未来，国家需在维护经济韧性、推动包容性增长和参与全球规则重构之间寻求平衡，而新兴经济体的制度创新可能成为重塑国际秩序的关键变量</w:t>
      </w:r>
      <w:r>
        <w:rPr>
          <w:rFonts w:hint="eastAsia" w:ascii="仿宋" w:hAnsi="仿宋" w:eastAsia="仿宋" w:cs="仿宋"/>
          <w:spacing w:val="-2"/>
          <w:sz w:val="24"/>
          <w:szCs w:val="24"/>
          <w:lang w:eastAsia="zh-CN"/>
        </w:rPr>
        <w:t>。</w:t>
      </w:r>
    </w:p>
    <w:p w14:paraId="7FA7BAD8">
      <w:pPr>
        <w:spacing w:line="360" w:lineRule="auto"/>
        <w:jc w:val="both"/>
        <w:rPr>
          <w:rFonts w:hint="eastAsia" w:ascii="仿宋" w:hAnsi="仿宋" w:eastAsia="仿宋" w:cs="仿宋"/>
          <w:sz w:val="24"/>
          <w:szCs w:val="24"/>
        </w:rPr>
      </w:pPr>
    </w:p>
    <w:p w14:paraId="714898C1">
      <w:pPr>
        <w:pStyle w:val="5"/>
        <w:numPr>
          <w:ilvl w:val="0"/>
          <w:numId w:val="1"/>
        </w:numPr>
        <w:spacing w:before="109" w:line="360" w:lineRule="auto"/>
        <w:ind w:left="26"/>
        <w:jc w:val="both"/>
        <w:rPr>
          <w:rFonts w:hint="eastAsia" w:ascii="仿宋" w:hAnsi="仿宋" w:eastAsia="仿宋" w:cs="仿宋"/>
          <w:b/>
          <w:bCs/>
          <w:spacing w:val="-8"/>
          <w:sz w:val="24"/>
          <w:szCs w:val="24"/>
        </w:rPr>
      </w:pPr>
      <w:r>
        <w:rPr>
          <w:rFonts w:hint="eastAsia" w:ascii="仿宋" w:hAnsi="仿宋" w:eastAsia="仿宋" w:cs="仿宋"/>
          <w:b/>
          <w:bCs/>
          <w:spacing w:val="-7"/>
          <w:sz w:val="24"/>
          <w:szCs w:val="24"/>
        </w:rPr>
        <w:t>布雷顿森林体系货币领域运营的前提是什</w:t>
      </w:r>
      <w:r>
        <w:rPr>
          <w:rFonts w:hint="eastAsia" w:ascii="仿宋" w:hAnsi="仿宋" w:eastAsia="仿宋" w:cs="仿宋"/>
          <w:b/>
          <w:bCs/>
          <w:spacing w:val="-8"/>
          <w:sz w:val="24"/>
          <w:szCs w:val="24"/>
        </w:rPr>
        <w:t>么？</w:t>
      </w:r>
    </w:p>
    <w:p w14:paraId="01118BB7">
      <w:pPr>
        <w:pStyle w:val="5"/>
        <w:numPr>
          <w:numId w:val="0"/>
        </w:numPr>
        <w:spacing w:before="109" w:line="360" w:lineRule="auto"/>
        <w:ind w:firstLine="500" w:firstLineChars="0"/>
        <w:jc w:val="both"/>
        <w:rPr>
          <w:rFonts w:hint="eastAsia" w:ascii="仿宋" w:hAnsi="仿宋" w:eastAsia="仿宋" w:cs="仿宋"/>
          <w:spacing w:val="-8"/>
          <w:sz w:val="24"/>
          <w:szCs w:val="24"/>
        </w:rPr>
      </w:pPr>
      <w:r>
        <w:rPr>
          <w:rFonts w:hint="eastAsia" w:ascii="仿宋" w:hAnsi="仿宋" w:eastAsia="仿宋" w:cs="仿宋"/>
          <w:spacing w:val="-8"/>
          <w:sz w:val="24"/>
          <w:szCs w:val="24"/>
        </w:rPr>
        <w:t>布雷顿森林体系在货币领域的运营建立在多重前提条件之上，这些条件既包括经济实力的支撑，也涉及制度设计与国际合作的约束。其核心前提可归纳为以下四个方面：</w:t>
      </w:r>
    </w:p>
    <w:p w14:paraId="6CFBF6C8">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rPr>
        <w:t>一、美国主导的黄金储备体系</w:t>
      </w:r>
    </w:p>
    <w:p w14:paraId="428DC20B">
      <w:pPr>
        <w:pStyle w:val="5"/>
        <w:numPr>
          <w:numId w:val="0"/>
        </w:numPr>
        <w:spacing w:before="109" w:line="360" w:lineRule="auto"/>
        <w:ind w:firstLine="500" w:firstLineChars="0"/>
        <w:jc w:val="both"/>
        <w:rPr>
          <w:rFonts w:hint="eastAsia" w:ascii="仿宋" w:hAnsi="仿宋" w:eastAsia="仿宋" w:cs="仿宋"/>
          <w:spacing w:val="-8"/>
          <w:sz w:val="24"/>
          <w:szCs w:val="24"/>
        </w:rPr>
      </w:pPr>
      <w:r>
        <w:rPr>
          <w:rFonts w:hint="eastAsia" w:ascii="仿宋" w:hAnsi="仿宋" w:eastAsia="仿宋" w:cs="仿宋"/>
          <w:spacing w:val="-8"/>
          <w:sz w:val="24"/>
          <w:szCs w:val="24"/>
        </w:rPr>
        <w:t>布雷顿森林体系的核心是美元与黄金的直接挂钩（35美元兑1盎司黄金），这要求美国必须拥有足以支撑全球美元兑换需求的黄金储备。二战后，美国黄金储备占全球官方储备的75%以上（1945年达200.8亿美元），成为体系运转的物质基础</w:t>
      </w:r>
      <w:r>
        <w:rPr>
          <w:rFonts w:hint="eastAsia" w:ascii="仿宋" w:hAnsi="仿宋" w:eastAsia="仿宋" w:cs="仿宋"/>
          <w:spacing w:val="-8"/>
          <w:sz w:val="24"/>
          <w:szCs w:val="24"/>
          <w:lang w:val="en-US" w:eastAsia="zh-CN"/>
        </w:rPr>
        <w:t>。这种储备优势赋予美元“准黄金”地位，使各国能够通过美元间接持有黄金，解决了金本位制下黄金流动性不足的问题。但这一前提的脆弱性在于，一旦美国黄金储备因国际收支逆差持续流失，体系稳定性将受到根本威胁，这正是1971年尼克松政府宣布美元与黄金脱钩的直接原因。</w:t>
      </w:r>
    </w:p>
    <w:p w14:paraId="0330C79A">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rPr>
        <w:t>二、固定汇率制度的强制约束</w:t>
      </w:r>
    </w:p>
    <w:p w14:paraId="3B9097FF">
      <w:pPr>
        <w:pStyle w:val="5"/>
        <w:numPr>
          <w:numId w:val="0"/>
        </w:numPr>
        <w:spacing w:before="109" w:line="360" w:lineRule="auto"/>
        <w:ind w:firstLine="500" w:firstLineChars="0"/>
        <w:jc w:val="both"/>
        <w:rPr>
          <w:rFonts w:hint="eastAsia" w:ascii="仿宋" w:hAnsi="仿宋" w:eastAsia="仿宋" w:cs="仿宋"/>
          <w:spacing w:val="-8"/>
          <w:sz w:val="24"/>
          <w:szCs w:val="24"/>
        </w:rPr>
      </w:pPr>
      <w:r>
        <w:rPr>
          <w:rFonts w:hint="eastAsia" w:ascii="仿宋" w:hAnsi="仿宋" w:eastAsia="仿宋" w:cs="仿宋"/>
          <w:spacing w:val="-8"/>
          <w:sz w:val="24"/>
          <w:szCs w:val="24"/>
        </w:rPr>
        <w:t>体系要求成员国货币与美元保持固定汇率，波动幅度限制在±1%以内，并通过国际货币基金组织（IMF）监督执行</w:t>
      </w:r>
      <w:r>
        <w:rPr>
          <w:rFonts w:hint="eastAsia" w:ascii="仿宋" w:hAnsi="仿宋" w:eastAsia="仿宋" w:cs="仿宋"/>
          <w:spacing w:val="-8"/>
          <w:sz w:val="24"/>
          <w:szCs w:val="24"/>
          <w:lang w:val="en-US" w:eastAsia="zh-CN"/>
        </w:rPr>
        <w:t>。这种制度设计依赖于三个支撑条件：</w:t>
      </w:r>
    </w:p>
    <w:p w14:paraId="034A63C6">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rPr>
        <w:t>​</w:t>
      </w:r>
      <w:r>
        <w:rPr>
          <w:rFonts w:hint="eastAsia" w:ascii="仿宋" w:hAnsi="仿宋" w:eastAsia="仿宋" w:cs="仿宋"/>
          <w:spacing w:val="-8"/>
          <w:sz w:val="24"/>
          <w:szCs w:val="24"/>
          <w:lang w:val="en-US" w:eastAsia="zh-CN"/>
        </w:rPr>
        <w:tab/>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1）</w:t>
      </w:r>
      <w:r>
        <w:rPr>
          <w:rFonts w:hint="eastAsia" w:ascii="仿宋" w:hAnsi="仿宋" w:eastAsia="仿宋" w:cs="仿宋"/>
          <w:spacing w:val="-8"/>
          <w:sz w:val="24"/>
          <w:szCs w:val="24"/>
        </w:rPr>
        <w:t>汇率干预机制</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各国需建立外汇平准基金，通过买卖外汇维持汇率稳定，例如美国需在外汇市场抛售美元购入黄金以应对挤兑压力；</w:t>
      </w:r>
    </w:p>
    <w:p w14:paraId="2C4F9AB7">
      <w:pPr>
        <w:pStyle w:val="5"/>
        <w:numPr>
          <w:numId w:val="0"/>
        </w:numPr>
        <w:spacing w:before="109" w:line="360" w:lineRule="auto"/>
        <w:jc w:val="both"/>
        <w:rPr>
          <w:rFonts w:hint="eastAsia" w:ascii="仿宋" w:hAnsi="仿宋" w:eastAsia="仿宋" w:cs="仿宋"/>
          <w:spacing w:val="-8"/>
          <w:sz w:val="24"/>
          <w:szCs w:val="24"/>
          <w:lang w:eastAsia="zh-CN"/>
        </w:rPr>
      </w:pPr>
      <w:r>
        <w:rPr>
          <w:rFonts w:hint="eastAsia" w:ascii="仿宋" w:hAnsi="仿宋" w:eastAsia="仿宋" w:cs="仿宋"/>
          <w:spacing w:val="-8"/>
          <w:sz w:val="24"/>
          <w:szCs w:val="24"/>
        </w:rPr>
        <w:t>​</w:t>
      </w:r>
      <w:r>
        <w:rPr>
          <w:rFonts w:hint="eastAsia" w:ascii="仿宋" w:hAnsi="仿宋" w:eastAsia="仿宋" w:cs="仿宋"/>
          <w:spacing w:val="-8"/>
          <w:sz w:val="24"/>
          <w:szCs w:val="24"/>
          <w:lang w:val="en-US" w:eastAsia="zh-CN"/>
        </w:rPr>
        <w:tab/>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2）</w:t>
      </w:r>
      <w:r>
        <w:rPr>
          <w:rFonts w:hint="eastAsia" w:ascii="仿宋" w:hAnsi="仿宋" w:eastAsia="仿宋" w:cs="仿宋"/>
          <w:spacing w:val="-8"/>
          <w:sz w:val="24"/>
          <w:szCs w:val="24"/>
        </w:rPr>
        <w:t>国际收支调节义务</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顺差国需承担维持汇率稳定的责任，逆差国则需通过紧缩政策或申请IMF贷款调整经济结构</w:t>
      </w:r>
      <w:r>
        <w:rPr>
          <w:rFonts w:hint="eastAsia" w:ascii="仿宋" w:hAnsi="仿宋" w:eastAsia="仿宋" w:cs="仿宋"/>
          <w:spacing w:val="-8"/>
          <w:sz w:val="24"/>
          <w:szCs w:val="24"/>
          <w:lang w:eastAsia="zh-CN"/>
        </w:rPr>
        <w:t>；</w:t>
      </w:r>
    </w:p>
    <w:p w14:paraId="34D59B34">
      <w:pPr>
        <w:pStyle w:val="5"/>
        <w:numPr>
          <w:numId w:val="0"/>
        </w:numPr>
        <w:spacing w:before="109" w:line="360" w:lineRule="auto"/>
        <w:ind w:firstLine="500" w:firstLineChars="0"/>
        <w:jc w:val="both"/>
        <w:rPr>
          <w:rFonts w:hint="eastAsia" w:ascii="仿宋" w:hAnsi="仿宋" w:eastAsia="仿宋" w:cs="仿宋"/>
          <w:spacing w:val="-8"/>
          <w:sz w:val="24"/>
          <w:szCs w:val="24"/>
        </w:rPr>
      </w:pP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3）</w:t>
      </w:r>
      <w:r>
        <w:rPr>
          <w:rFonts w:hint="eastAsia" w:ascii="仿宋" w:hAnsi="仿宋" w:eastAsia="仿宋" w:cs="仿宋"/>
          <w:spacing w:val="-8"/>
          <w:sz w:val="24"/>
          <w:szCs w:val="24"/>
        </w:rPr>
        <w:t>资本管制配合</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体系初期严格限制资本流动，避免短期投机冲击汇率，这为固定汇率提供了政策缓冲空间</w:t>
      </w:r>
      <w:r>
        <w:rPr>
          <w:rFonts w:hint="eastAsia" w:ascii="仿宋" w:hAnsi="仿宋" w:eastAsia="仿宋" w:cs="仿宋"/>
          <w:spacing w:val="-8"/>
          <w:sz w:val="24"/>
          <w:szCs w:val="24"/>
          <w:lang w:eastAsia="zh-CN"/>
        </w:rPr>
        <w:t>。</w:t>
      </w:r>
    </w:p>
    <w:p w14:paraId="7C4A0892">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rPr>
        <w:t>三、国际货币合作的制度框架</w:t>
      </w:r>
    </w:p>
    <w:p w14:paraId="5B3B6AAF">
      <w:pPr>
        <w:pStyle w:val="5"/>
        <w:numPr>
          <w:numId w:val="0"/>
        </w:numPr>
        <w:spacing w:before="109" w:line="360" w:lineRule="auto"/>
        <w:ind w:firstLine="500" w:firstLineChars="0"/>
        <w:jc w:val="both"/>
        <w:rPr>
          <w:rFonts w:hint="eastAsia" w:ascii="仿宋" w:hAnsi="仿宋" w:eastAsia="仿宋" w:cs="仿宋"/>
          <w:spacing w:val="-8"/>
          <w:sz w:val="24"/>
          <w:szCs w:val="24"/>
        </w:rPr>
      </w:pPr>
      <w:r>
        <w:rPr>
          <w:rFonts w:hint="eastAsia" w:ascii="仿宋" w:hAnsi="仿宋" w:eastAsia="仿宋" w:cs="仿宋"/>
          <w:spacing w:val="-8"/>
          <w:sz w:val="24"/>
          <w:szCs w:val="24"/>
        </w:rPr>
        <w:t>布雷顿森林体系通过两大机构构建了多边合作机制：</w:t>
      </w:r>
    </w:p>
    <w:p w14:paraId="1FA42BF0">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rPr>
        <w:t>​</w:t>
      </w:r>
      <w:r>
        <w:rPr>
          <w:rFonts w:hint="eastAsia" w:ascii="仿宋" w:hAnsi="仿宋" w:eastAsia="仿宋" w:cs="仿宋"/>
          <w:spacing w:val="-8"/>
          <w:sz w:val="24"/>
          <w:szCs w:val="24"/>
          <w:lang w:val="en-US" w:eastAsia="zh-CN"/>
        </w:rPr>
        <w:tab/>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1）</w:t>
      </w:r>
      <w:r>
        <w:rPr>
          <w:rFonts w:hint="eastAsia" w:ascii="仿宋" w:hAnsi="仿宋" w:eastAsia="仿宋" w:cs="仿宋"/>
          <w:spacing w:val="-8"/>
          <w:sz w:val="24"/>
          <w:szCs w:val="24"/>
        </w:rPr>
        <w:t>国际货币基金组织（IMF）</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负责监督成员国汇率政策，提供短期资金融通（贷款额度与黄金份额挂钩），并协调国际收支失衡调整</w:t>
      </w:r>
    </w:p>
    <w:p w14:paraId="71C4D591">
      <w:pPr>
        <w:pStyle w:val="5"/>
        <w:numPr>
          <w:numId w:val="0"/>
        </w:numPr>
        <w:spacing w:before="109" w:line="360" w:lineRule="auto"/>
        <w:ind w:firstLine="500" w:firstLineChars="0"/>
        <w:jc w:val="both"/>
        <w:rPr>
          <w:rFonts w:hint="eastAsia" w:ascii="仿宋" w:hAnsi="仿宋" w:eastAsia="仿宋" w:cs="仿宋"/>
          <w:spacing w:val="-8"/>
          <w:sz w:val="24"/>
          <w:szCs w:val="24"/>
          <w:lang w:eastAsia="zh-CN"/>
        </w:rPr>
      </w:pP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2）</w:t>
      </w:r>
      <w:r>
        <w:rPr>
          <w:rFonts w:hint="eastAsia" w:ascii="仿宋" w:hAnsi="仿宋" w:eastAsia="仿宋" w:cs="仿宋"/>
          <w:spacing w:val="-8"/>
          <w:sz w:val="24"/>
          <w:szCs w:val="24"/>
        </w:rPr>
        <w:t>世界银行</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通过长期贷款支持战后重建，促进经济增长以增强偿债能力</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br w:type="textWrapping"/>
      </w:r>
      <w:r>
        <w:rPr>
          <w:rFonts w:hint="eastAsia" w:ascii="仿宋" w:hAnsi="仿宋" w:eastAsia="仿宋" w:cs="仿宋"/>
          <w:spacing w:val="-8"/>
          <w:sz w:val="24"/>
          <w:szCs w:val="24"/>
          <w:lang w:val="en-US" w:eastAsia="zh-CN"/>
        </w:rPr>
        <w:tab/>
      </w:r>
      <w:r>
        <w:rPr>
          <w:rFonts w:hint="eastAsia" w:ascii="仿宋" w:hAnsi="仿宋" w:eastAsia="仿宋" w:cs="仿宋"/>
          <w:spacing w:val="-8"/>
          <w:sz w:val="24"/>
          <w:szCs w:val="24"/>
        </w:rPr>
        <w:t>这种制度设计试图平衡“特里芬难题”——即美元作为国际储备货币需同时满足全球流动性供给与币值稳定之间的矛盾。但IMF的贷款能力（初始资金88亿美元）和投票权分配（按黄金份额计算）难以适应战后经济格局变化，导致调节机制失效</w:t>
      </w:r>
      <w:r>
        <w:rPr>
          <w:rFonts w:hint="eastAsia" w:ascii="仿宋" w:hAnsi="仿宋" w:eastAsia="仿宋" w:cs="仿宋"/>
          <w:spacing w:val="-8"/>
          <w:sz w:val="24"/>
          <w:szCs w:val="24"/>
          <w:lang w:eastAsia="zh-CN"/>
        </w:rPr>
        <w:t>。</w:t>
      </w:r>
    </w:p>
    <w:p w14:paraId="1F8EA313">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rPr>
        <w:t>四、美元信用的全球认同</w:t>
      </w:r>
    </w:p>
    <w:p w14:paraId="45C7FBAF">
      <w:pPr>
        <w:pStyle w:val="5"/>
        <w:numPr>
          <w:numId w:val="0"/>
        </w:numPr>
        <w:spacing w:before="109" w:line="360" w:lineRule="auto"/>
        <w:ind w:firstLine="500" w:firstLineChars="0"/>
        <w:jc w:val="both"/>
        <w:rPr>
          <w:rFonts w:hint="eastAsia" w:ascii="仿宋" w:hAnsi="仿宋" w:eastAsia="仿宋" w:cs="仿宋"/>
          <w:spacing w:val="-8"/>
          <w:sz w:val="24"/>
          <w:szCs w:val="24"/>
        </w:rPr>
      </w:pPr>
      <w:r>
        <w:rPr>
          <w:rFonts w:hint="eastAsia" w:ascii="仿宋" w:hAnsi="仿宋" w:eastAsia="仿宋" w:cs="仿宋"/>
          <w:spacing w:val="-8"/>
          <w:sz w:val="24"/>
          <w:szCs w:val="24"/>
        </w:rPr>
        <w:t>体系的存续依赖于各国对美元信用的信任，这种信任建立在美国经济实力与政治稳定的基础之上：</w:t>
      </w:r>
    </w:p>
    <w:p w14:paraId="3F1F9CD0">
      <w:pPr>
        <w:pStyle w:val="5"/>
        <w:numPr>
          <w:numId w:val="0"/>
        </w:numPr>
        <w:spacing w:before="109" w:line="360" w:lineRule="auto"/>
        <w:ind w:firstLine="500" w:firstLineChars="0"/>
        <w:jc w:val="both"/>
        <w:rPr>
          <w:rFonts w:hint="eastAsia" w:ascii="仿宋" w:hAnsi="仿宋" w:eastAsia="仿宋" w:cs="仿宋"/>
          <w:spacing w:val="-8"/>
          <w:sz w:val="24"/>
          <w:szCs w:val="24"/>
          <w:lang w:eastAsia="zh-CN"/>
        </w:rPr>
      </w:pP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1）</w:t>
      </w:r>
      <w:r>
        <w:rPr>
          <w:rFonts w:hint="eastAsia" w:ascii="仿宋" w:hAnsi="仿宋" w:eastAsia="仿宋" w:cs="仿宋"/>
          <w:spacing w:val="-8"/>
          <w:sz w:val="24"/>
          <w:szCs w:val="24"/>
        </w:rPr>
        <w:t>经济主导地位</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美国在1945年GDP占全球53%，工业产出占40%，成为全球最大贸易国和最终产品市场，为美元提供了实体经济支撑</w:t>
      </w:r>
      <w:r>
        <w:rPr>
          <w:rFonts w:hint="eastAsia" w:ascii="仿宋" w:hAnsi="仿宋" w:eastAsia="仿宋" w:cs="仿宋"/>
          <w:spacing w:val="-8"/>
          <w:sz w:val="24"/>
          <w:szCs w:val="24"/>
          <w:lang w:eastAsia="zh-CN"/>
        </w:rPr>
        <w:t>；</w:t>
      </w:r>
    </w:p>
    <w:p w14:paraId="7A235D43">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rPr>
        <w:t>​</w:t>
      </w:r>
      <w:r>
        <w:rPr>
          <w:rFonts w:hint="eastAsia" w:ascii="仿宋" w:hAnsi="仿宋" w:eastAsia="仿宋" w:cs="仿宋"/>
          <w:spacing w:val="-8"/>
          <w:sz w:val="24"/>
          <w:szCs w:val="24"/>
          <w:lang w:val="en-US" w:eastAsia="zh-CN"/>
        </w:rPr>
        <w:tab/>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2）</w:t>
      </w:r>
      <w:r>
        <w:rPr>
          <w:rFonts w:hint="eastAsia" w:ascii="仿宋" w:hAnsi="仿宋" w:eastAsia="仿宋" w:cs="仿宋"/>
          <w:spacing w:val="-8"/>
          <w:sz w:val="24"/>
          <w:szCs w:val="24"/>
        </w:rPr>
        <w:t>政治制度保障</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美国通过布雷顿森林协定将美元霸权制度化，同时借助北约等军事联盟维护全球经济主导权；</w:t>
      </w:r>
    </w:p>
    <w:p w14:paraId="7F87C4A2">
      <w:pPr>
        <w:pStyle w:val="5"/>
        <w:numPr>
          <w:numId w:val="0"/>
        </w:numPr>
        <w:spacing w:before="109" w:line="360" w:lineRule="auto"/>
        <w:jc w:val="both"/>
        <w:rPr>
          <w:rFonts w:hint="eastAsia" w:ascii="仿宋" w:hAnsi="仿宋" w:eastAsia="仿宋" w:cs="仿宋"/>
          <w:spacing w:val="-8"/>
          <w:sz w:val="24"/>
          <w:szCs w:val="24"/>
          <w:lang w:eastAsia="zh-CN"/>
        </w:rPr>
      </w:pPr>
      <w:r>
        <w:rPr>
          <w:rFonts w:hint="eastAsia" w:ascii="仿宋" w:hAnsi="仿宋" w:eastAsia="仿宋" w:cs="仿宋"/>
          <w:spacing w:val="-8"/>
          <w:sz w:val="24"/>
          <w:szCs w:val="24"/>
        </w:rPr>
        <w:t>​</w:t>
      </w:r>
      <w:r>
        <w:rPr>
          <w:rFonts w:hint="eastAsia" w:ascii="仿宋" w:hAnsi="仿宋" w:eastAsia="仿宋" w:cs="仿宋"/>
          <w:spacing w:val="-8"/>
          <w:sz w:val="24"/>
          <w:szCs w:val="24"/>
          <w:lang w:val="en-US" w:eastAsia="zh-CN"/>
        </w:rPr>
        <w:tab/>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lang w:val="en-US" w:eastAsia="zh-CN"/>
        </w:rPr>
        <w:t>3）</w:t>
      </w:r>
      <w:r>
        <w:rPr>
          <w:rFonts w:hint="eastAsia" w:ascii="仿宋" w:hAnsi="仿宋" w:eastAsia="仿宋" w:cs="仿宋"/>
          <w:spacing w:val="-8"/>
          <w:sz w:val="24"/>
          <w:szCs w:val="24"/>
        </w:rPr>
        <w:t>替代机制缺失</w:t>
      </w:r>
      <w:r>
        <w:rPr>
          <w:rFonts w:hint="eastAsia" w:ascii="仿宋" w:hAnsi="仿宋" w:eastAsia="仿宋" w:cs="仿宋"/>
          <w:spacing w:val="-8"/>
          <w:sz w:val="24"/>
          <w:szCs w:val="24"/>
          <w:lang w:eastAsia="zh-CN"/>
        </w:rPr>
        <w:t>：</w:t>
      </w:r>
      <w:r>
        <w:rPr>
          <w:rFonts w:hint="eastAsia" w:ascii="仿宋" w:hAnsi="仿宋" w:eastAsia="仿宋" w:cs="仿宋"/>
          <w:spacing w:val="-8"/>
          <w:sz w:val="24"/>
          <w:szCs w:val="24"/>
        </w:rPr>
        <w:t>在黄金产量有限、其他货币信用不足的情况下，美元成为唯一可行的国际计价与结算货币</w:t>
      </w:r>
      <w:r>
        <w:rPr>
          <w:rFonts w:hint="eastAsia" w:ascii="仿宋" w:hAnsi="仿宋" w:eastAsia="仿宋" w:cs="仿宋"/>
          <w:spacing w:val="-8"/>
          <w:sz w:val="24"/>
          <w:szCs w:val="24"/>
          <w:lang w:eastAsia="zh-CN"/>
        </w:rPr>
        <w:t>。</w:t>
      </w:r>
    </w:p>
    <w:p w14:paraId="7F96643F">
      <w:pPr>
        <w:pStyle w:val="5"/>
        <w:numPr>
          <w:numId w:val="0"/>
        </w:numPr>
        <w:spacing w:before="109" w:line="360" w:lineRule="auto"/>
        <w:jc w:val="both"/>
        <w:rPr>
          <w:rFonts w:hint="eastAsia" w:ascii="仿宋" w:hAnsi="仿宋" w:eastAsia="仿宋" w:cs="仿宋"/>
          <w:spacing w:val="-8"/>
          <w:sz w:val="24"/>
          <w:szCs w:val="24"/>
        </w:rPr>
      </w:pPr>
      <w:r>
        <w:rPr>
          <w:rFonts w:hint="eastAsia" w:ascii="仿宋" w:hAnsi="仿宋" w:eastAsia="仿宋" w:cs="仿宋"/>
          <w:spacing w:val="-8"/>
          <w:sz w:val="24"/>
          <w:szCs w:val="24"/>
          <w:lang w:val="en-US" w:eastAsia="zh-CN"/>
        </w:rPr>
        <w:t>五、</w:t>
      </w:r>
      <w:r>
        <w:rPr>
          <w:rFonts w:hint="eastAsia" w:ascii="仿宋" w:hAnsi="仿宋" w:eastAsia="仿宋" w:cs="仿宋"/>
          <w:spacing w:val="-8"/>
          <w:sz w:val="24"/>
          <w:szCs w:val="24"/>
        </w:rPr>
        <w:t>结论</w:t>
      </w:r>
    </w:p>
    <w:p w14:paraId="34FE328F">
      <w:pPr>
        <w:pStyle w:val="5"/>
        <w:numPr>
          <w:numId w:val="0"/>
        </w:numPr>
        <w:spacing w:before="109" w:line="360" w:lineRule="auto"/>
        <w:ind w:firstLine="500" w:firstLineChars="0"/>
        <w:jc w:val="both"/>
        <w:rPr>
          <w:rFonts w:hint="eastAsia" w:ascii="仿宋" w:hAnsi="仿宋" w:eastAsia="仿宋" w:cs="仿宋"/>
          <w:spacing w:val="-8"/>
          <w:sz w:val="24"/>
          <w:szCs w:val="24"/>
        </w:rPr>
      </w:pPr>
      <w:r>
        <w:rPr>
          <w:rFonts w:hint="eastAsia" w:ascii="仿宋" w:hAnsi="仿宋" w:eastAsia="仿宋" w:cs="仿宋"/>
          <w:spacing w:val="-8"/>
          <w:sz w:val="24"/>
          <w:szCs w:val="24"/>
        </w:rPr>
        <w:t>布雷顿森林体系的运营前提本质上是“美国实力—黄金锚定—制度约束”三位一体的动态平衡。其成功运作依赖于美国持续保持黄金储备优势、维持美元信用以及国际合作机制的有效性。然而，随着欧洲和日本经济复苏带来的美元过剩，以及越南战争导致的财政赤字扩张，这一体系的内在矛盾最终使固定汇率制度难以为继，宣告了以主权货币为锚的国际货币体系时代落幕</w:t>
      </w:r>
      <w:r>
        <w:rPr>
          <w:rFonts w:hint="eastAsia" w:ascii="仿宋" w:hAnsi="仿宋" w:eastAsia="仿宋" w:cs="仿宋"/>
          <w:spacing w:val="-8"/>
          <w:sz w:val="24"/>
          <w:szCs w:val="24"/>
          <w:lang w:eastAsia="zh-CN"/>
        </w:rPr>
        <w:t>。</w:t>
      </w:r>
    </w:p>
    <w:p w14:paraId="6D2AC753">
      <w:pPr>
        <w:spacing w:line="360" w:lineRule="auto"/>
        <w:jc w:val="both"/>
        <w:rPr>
          <w:rFonts w:hint="eastAsia" w:ascii="仿宋" w:hAnsi="仿宋" w:eastAsia="仿宋" w:cs="仿宋"/>
          <w:sz w:val="24"/>
          <w:szCs w:val="24"/>
        </w:rPr>
      </w:pPr>
    </w:p>
    <w:p w14:paraId="431A8277">
      <w:pPr>
        <w:pStyle w:val="5"/>
        <w:numPr>
          <w:ilvl w:val="0"/>
          <w:numId w:val="1"/>
        </w:numPr>
        <w:spacing w:before="110" w:line="360" w:lineRule="auto"/>
        <w:ind w:left="26" w:leftChars="0" w:firstLine="0" w:firstLineChars="0"/>
        <w:jc w:val="both"/>
        <w:rPr>
          <w:rFonts w:hint="eastAsia" w:ascii="仿宋" w:hAnsi="仿宋" w:eastAsia="仿宋" w:cs="仿宋"/>
          <w:b/>
          <w:bCs/>
          <w:spacing w:val="-2"/>
          <w:sz w:val="24"/>
          <w:szCs w:val="24"/>
        </w:rPr>
      </w:pPr>
      <w:r>
        <w:rPr>
          <w:rFonts w:hint="eastAsia" w:ascii="仿宋" w:hAnsi="仿宋" w:eastAsia="仿宋" w:cs="仿宋"/>
          <w:b/>
          <w:bCs/>
          <w:spacing w:val="-2"/>
          <w:sz w:val="24"/>
          <w:szCs w:val="24"/>
        </w:rPr>
        <w:t>说明国际政治经济学的定义以及其主要研究的核心议题？</w:t>
      </w:r>
    </w:p>
    <w:p w14:paraId="351FBA69">
      <w:pPr>
        <w:pStyle w:val="5"/>
        <w:numPr>
          <w:numId w:val="0"/>
        </w:numPr>
        <w:spacing w:before="110" w:line="360" w:lineRule="auto"/>
        <w:ind w:left="26" w:leftChars="0" w:firstLine="500" w:firstLineChars="0"/>
        <w:jc w:val="both"/>
        <w:rPr>
          <w:rFonts w:hint="eastAsia" w:ascii="仿宋" w:hAnsi="仿宋" w:eastAsia="仿宋" w:cs="仿宋"/>
          <w:spacing w:val="-2"/>
          <w:sz w:val="24"/>
          <w:szCs w:val="24"/>
        </w:rPr>
      </w:pPr>
      <w:r>
        <w:rPr>
          <w:rFonts w:hint="eastAsia" w:ascii="仿宋" w:hAnsi="仿宋" w:eastAsia="仿宋" w:cs="仿宋"/>
          <w:spacing w:val="-2"/>
          <w:sz w:val="24"/>
          <w:szCs w:val="24"/>
        </w:rPr>
        <w:t>国际政治经济学（International Political Economy, IPE）是研究国际体系中政治与经济互动关系的交叉学科，其核心在于分析国家、市场、国际组织及非国家行为体在全球经济中的权力分配、利益协调与制度博弈。它既关注国家如何通过经济手段实现政治目标（如贸易政策、国际金融合作），也探讨全球经济结构如何塑造国家主权、社会福利与跨国资本的行为逻辑</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其</w:t>
      </w:r>
      <w:r>
        <w:rPr>
          <w:rFonts w:hint="eastAsia" w:ascii="仿宋" w:hAnsi="仿宋" w:eastAsia="仿宋" w:cs="仿宋"/>
          <w:spacing w:val="-2"/>
          <w:sz w:val="24"/>
          <w:szCs w:val="24"/>
        </w:rPr>
        <w:t>核心研究议题具有多层次、动态演变的特征，主要涵盖以下领域：</w:t>
      </w:r>
    </w:p>
    <w:p w14:paraId="400A6514">
      <w:pPr>
        <w:pStyle w:val="5"/>
        <w:numPr>
          <w:numId w:val="0"/>
        </w:numPr>
        <w:spacing w:before="110" w:line="360" w:lineRule="auto"/>
        <w:ind w:left="26" w:leftChars="0"/>
        <w:jc w:val="both"/>
        <w:rPr>
          <w:rFonts w:hint="eastAsia" w:ascii="仿宋" w:hAnsi="仿宋" w:eastAsia="仿宋" w:cs="仿宋"/>
          <w:spacing w:val="-2"/>
          <w:sz w:val="24"/>
          <w:szCs w:val="24"/>
        </w:rPr>
      </w:pPr>
      <w:r>
        <w:rPr>
          <w:rFonts w:hint="eastAsia" w:ascii="仿宋" w:hAnsi="仿宋" w:eastAsia="仿宋" w:cs="仿宋"/>
          <w:spacing w:val="-2"/>
          <w:sz w:val="24"/>
          <w:szCs w:val="24"/>
          <w:lang w:val="en-US" w:eastAsia="zh-CN"/>
        </w:rPr>
        <w:t>一、</w:t>
      </w:r>
      <w:r>
        <w:rPr>
          <w:rFonts w:hint="eastAsia" w:ascii="仿宋" w:hAnsi="仿宋" w:eastAsia="仿宋" w:cs="仿宋"/>
          <w:spacing w:val="-2"/>
          <w:sz w:val="24"/>
          <w:szCs w:val="24"/>
        </w:rPr>
        <w:t>国家与市场的权力互动​</w:t>
      </w:r>
    </w:p>
    <w:p w14:paraId="4F88A0AF">
      <w:pPr>
        <w:pStyle w:val="5"/>
        <w:numPr>
          <w:numId w:val="0"/>
        </w:numPr>
        <w:spacing w:before="110" w:line="360" w:lineRule="auto"/>
        <w:ind w:left="26" w:leftChars="0" w:firstLine="500" w:firstLineChars="0"/>
        <w:jc w:val="both"/>
        <w:rPr>
          <w:rFonts w:hint="eastAsia" w:ascii="仿宋" w:hAnsi="仿宋" w:eastAsia="仿宋" w:cs="仿宋"/>
          <w:spacing w:val="-2"/>
          <w:sz w:val="24"/>
          <w:szCs w:val="24"/>
          <w:lang w:eastAsia="zh-CN"/>
        </w:rPr>
      </w:pPr>
      <w:r>
        <w:rPr>
          <w:rFonts w:hint="eastAsia" w:ascii="仿宋" w:hAnsi="仿宋" w:eastAsia="仿宋" w:cs="仿宋"/>
          <w:spacing w:val="-2"/>
          <w:sz w:val="24"/>
          <w:szCs w:val="24"/>
        </w:rPr>
        <w:t>这是IPE的核心矛盾，涉及主权国家如何在全球市场中平衡经济开放与政治自主性。例如：</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权力来源</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经济实力（如技术垄断、金融霸权）如何转化为政治影响力（如美国通过美元体系维持全球治理主导权）</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政策冲突</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国家干预经济（如产业政策）与市场自由化的矛盾，典型如中美贸易摩擦中的技术脱钩与供应链重构</w:t>
      </w:r>
      <w:r>
        <w:rPr>
          <w:rFonts w:hint="eastAsia" w:ascii="仿宋" w:hAnsi="仿宋" w:eastAsia="仿宋" w:cs="仿宋"/>
          <w:spacing w:val="-2"/>
          <w:sz w:val="24"/>
          <w:szCs w:val="24"/>
          <w:lang w:eastAsia="zh-CN"/>
        </w:rPr>
        <w:t>。</w:t>
      </w:r>
    </w:p>
    <w:p w14:paraId="7FE05980">
      <w:pPr>
        <w:pStyle w:val="5"/>
        <w:numPr>
          <w:numId w:val="0"/>
        </w:numPr>
        <w:spacing w:before="110" w:line="360" w:lineRule="auto"/>
        <w:ind w:left="26" w:leftChars="0"/>
        <w:jc w:val="both"/>
        <w:rPr>
          <w:rFonts w:hint="eastAsia" w:ascii="仿宋" w:hAnsi="仿宋" w:eastAsia="仿宋" w:cs="仿宋"/>
          <w:spacing w:val="-2"/>
          <w:sz w:val="24"/>
          <w:szCs w:val="24"/>
        </w:rPr>
      </w:pPr>
      <w:r>
        <w:rPr>
          <w:rFonts w:hint="eastAsia" w:ascii="仿宋" w:hAnsi="仿宋" w:eastAsia="仿宋" w:cs="仿宋"/>
          <w:spacing w:val="-2"/>
          <w:sz w:val="24"/>
          <w:szCs w:val="24"/>
          <w:lang w:val="en-US" w:eastAsia="zh-CN"/>
        </w:rPr>
        <w:t>二、</w:t>
      </w:r>
      <w:r>
        <w:rPr>
          <w:rFonts w:hint="eastAsia" w:ascii="仿宋" w:hAnsi="仿宋" w:eastAsia="仿宋" w:cs="仿宋"/>
          <w:spacing w:val="-2"/>
          <w:sz w:val="24"/>
          <w:szCs w:val="24"/>
        </w:rPr>
        <w:t>全球经济治理机制​</w:t>
      </w:r>
    </w:p>
    <w:p w14:paraId="77932486">
      <w:pPr>
        <w:pStyle w:val="5"/>
        <w:numPr>
          <w:numId w:val="0"/>
        </w:numPr>
        <w:spacing w:before="110" w:line="360" w:lineRule="auto"/>
        <w:ind w:firstLine="500" w:firstLineChars="0"/>
        <w:jc w:val="both"/>
        <w:rPr>
          <w:rFonts w:hint="eastAsia" w:ascii="仿宋" w:hAnsi="仿宋" w:eastAsia="仿宋" w:cs="仿宋"/>
          <w:spacing w:val="-2"/>
          <w:sz w:val="24"/>
          <w:szCs w:val="24"/>
          <w:lang w:eastAsia="zh-CN"/>
        </w:rPr>
      </w:pPr>
      <w:r>
        <w:rPr>
          <w:rFonts w:hint="eastAsia" w:ascii="仿宋" w:hAnsi="仿宋" w:eastAsia="仿宋" w:cs="仿宋"/>
          <w:spacing w:val="-2"/>
          <w:sz w:val="24"/>
          <w:szCs w:val="24"/>
        </w:rPr>
        <w:t>研究国际经济秩序的制度设计与改革，包括</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国际金融体系</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IMF与世行的投票权分配争议、数字货币对主权货币体系的冲击；</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贸易规则</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WTO多边框架的困境与区域贸易协定（如RCEP、CPTPP）的兴起</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3）</w:t>
      </w:r>
      <w:r>
        <w:rPr>
          <w:rFonts w:hint="eastAsia" w:ascii="仿宋" w:hAnsi="仿宋" w:eastAsia="仿宋" w:cs="仿宋"/>
          <w:spacing w:val="-2"/>
          <w:sz w:val="24"/>
          <w:szCs w:val="24"/>
        </w:rPr>
        <w:t>发展议题</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国际援助、债务危机与全球减贫的合作困境</w:t>
      </w:r>
      <w:r>
        <w:rPr>
          <w:rFonts w:hint="eastAsia" w:ascii="仿宋" w:hAnsi="仿宋" w:eastAsia="仿宋" w:cs="仿宋"/>
          <w:spacing w:val="-2"/>
          <w:sz w:val="24"/>
          <w:szCs w:val="24"/>
          <w:lang w:eastAsia="zh-CN"/>
        </w:rPr>
        <w:t>。</w:t>
      </w:r>
    </w:p>
    <w:p w14:paraId="561B8198">
      <w:pPr>
        <w:pStyle w:val="5"/>
        <w:numPr>
          <w:numId w:val="0"/>
        </w:numPr>
        <w:spacing w:before="110" w:line="360" w:lineRule="auto"/>
        <w:ind w:left="26" w:leftChars="0"/>
        <w:jc w:val="both"/>
        <w:rPr>
          <w:rFonts w:hint="eastAsia" w:ascii="仿宋" w:hAnsi="仿宋" w:eastAsia="仿宋" w:cs="仿宋"/>
          <w:spacing w:val="-2"/>
          <w:sz w:val="24"/>
          <w:szCs w:val="24"/>
        </w:rPr>
      </w:pPr>
      <w:r>
        <w:rPr>
          <w:rFonts w:hint="eastAsia" w:ascii="仿宋" w:hAnsi="仿宋" w:eastAsia="仿宋" w:cs="仿宋"/>
          <w:spacing w:val="-2"/>
          <w:sz w:val="24"/>
          <w:szCs w:val="24"/>
          <w:lang w:val="en-US" w:eastAsia="zh-CN"/>
        </w:rPr>
        <w:t>三、</w:t>
      </w:r>
      <w:r>
        <w:rPr>
          <w:rFonts w:hint="eastAsia" w:ascii="仿宋" w:hAnsi="仿宋" w:eastAsia="仿宋" w:cs="仿宋"/>
          <w:spacing w:val="-2"/>
          <w:sz w:val="24"/>
          <w:szCs w:val="24"/>
        </w:rPr>
        <w:t>全球化与不平等结构​</w:t>
      </w:r>
    </w:p>
    <w:p w14:paraId="260DC411">
      <w:pPr>
        <w:pStyle w:val="5"/>
        <w:numPr>
          <w:numId w:val="0"/>
        </w:numPr>
        <w:spacing w:before="110" w:line="360" w:lineRule="auto"/>
        <w:ind w:left="26" w:leftChars="0" w:firstLine="500" w:firstLineChars="0"/>
        <w:jc w:val="both"/>
        <w:rPr>
          <w:rFonts w:hint="eastAsia" w:ascii="仿宋" w:hAnsi="仿宋" w:eastAsia="仿宋" w:cs="仿宋"/>
          <w:spacing w:val="-2"/>
          <w:sz w:val="24"/>
          <w:szCs w:val="24"/>
          <w:lang w:eastAsia="zh-CN"/>
        </w:rPr>
      </w:pPr>
      <w:r>
        <w:rPr>
          <w:rFonts w:hint="eastAsia" w:ascii="仿宋" w:hAnsi="仿宋" w:eastAsia="仿宋" w:cs="仿宋"/>
          <w:spacing w:val="-2"/>
          <w:sz w:val="24"/>
          <w:szCs w:val="24"/>
        </w:rPr>
        <w:t>聚焦全球化进程中的分配效应与权力失衡</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包括：</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南北矛盾</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发达国家与发展中国家在技术转移、环境责任上的利益分歧（如碳关税争议）</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国内分化</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经济全球化加剧国内阶层矛盾（如美国“铁锈地带”的民粹主义崛起）</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3）</w:t>
      </w:r>
      <w:r>
        <w:rPr>
          <w:rFonts w:hint="eastAsia" w:ascii="仿宋" w:hAnsi="仿宋" w:eastAsia="仿宋" w:cs="仿宋"/>
          <w:spacing w:val="-2"/>
          <w:sz w:val="24"/>
          <w:szCs w:val="24"/>
        </w:rPr>
        <w:t>新兴经济体角色</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金砖国家、东盟等行为体对全球治理规则的重塑尝试</w:t>
      </w:r>
      <w:r>
        <w:rPr>
          <w:rFonts w:hint="eastAsia" w:ascii="仿宋" w:hAnsi="仿宋" w:eastAsia="仿宋" w:cs="仿宋"/>
          <w:spacing w:val="-2"/>
          <w:sz w:val="24"/>
          <w:szCs w:val="24"/>
          <w:lang w:eastAsia="zh-CN"/>
        </w:rPr>
        <w:t>。</w:t>
      </w:r>
    </w:p>
    <w:p w14:paraId="2E8C4661">
      <w:pPr>
        <w:pStyle w:val="5"/>
        <w:numPr>
          <w:numId w:val="0"/>
        </w:numPr>
        <w:spacing w:before="110" w:line="360" w:lineRule="auto"/>
        <w:ind w:left="26" w:leftChars="0"/>
        <w:jc w:val="both"/>
        <w:rPr>
          <w:rFonts w:hint="eastAsia" w:ascii="仿宋" w:hAnsi="仿宋" w:eastAsia="仿宋" w:cs="仿宋"/>
          <w:spacing w:val="-2"/>
          <w:sz w:val="24"/>
          <w:szCs w:val="24"/>
        </w:rPr>
      </w:pPr>
      <w:r>
        <w:rPr>
          <w:rFonts w:hint="eastAsia" w:ascii="仿宋" w:hAnsi="仿宋" w:eastAsia="仿宋" w:cs="仿宋"/>
          <w:spacing w:val="-2"/>
          <w:sz w:val="24"/>
          <w:szCs w:val="24"/>
          <w:lang w:val="en-US" w:eastAsia="zh-CN"/>
        </w:rPr>
        <w:t>四、</w:t>
      </w:r>
      <w:r>
        <w:rPr>
          <w:rFonts w:hint="eastAsia" w:ascii="仿宋" w:hAnsi="仿宋" w:eastAsia="仿宋" w:cs="仿宋"/>
          <w:spacing w:val="-2"/>
          <w:sz w:val="24"/>
          <w:szCs w:val="24"/>
        </w:rPr>
        <w:t>跨国资本与国家主权的博弈​</w:t>
      </w:r>
    </w:p>
    <w:p w14:paraId="4F4B33D0">
      <w:pPr>
        <w:pStyle w:val="5"/>
        <w:numPr>
          <w:numId w:val="0"/>
        </w:numPr>
        <w:spacing w:before="110" w:line="360" w:lineRule="auto"/>
        <w:ind w:left="26" w:leftChars="0" w:firstLine="500" w:firstLineChars="0"/>
        <w:jc w:val="both"/>
        <w:rPr>
          <w:rFonts w:hint="eastAsia" w:ascii="仿宋" w:hAnsi="仿宋" w:eastAsia="仿宋" w:cs="仿宋"/>
          <w:spacing w:val="-2"/>
          <w:sz w:val="24"/>
          <w:szCs w:val="24"/>
          <w:lang w:eastAsia="zh-CN"/>
        </w:rPr>
      </w:pPr>
      <w:r>
        <w:rPr>
          <w:rFonts w:hint="eastAsia" w:ascii="仿宋" w:hAnsi="仿宋" w:eastAsia="仿宋" w:cs="仿宋"/>
          <w:spacing w:val="-2"/>
          <w:sz w:val="24"/>
          <w:szCs w:val="24"/>
        </w:rPr>
        <w:t>分析跨国公司、国际资本对国家政策的影响：</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投资规则</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双边投资协定与国家主权让渡的边界争议；</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数字霸权</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科技巨头（如谷歌、华为）的数据主权争夺与国家安全审查</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3）</w:t>
      </w:r>
      <w:r>
        <w:rPr>
          <w:rFonts w:hint="eastAsia" w:ascii="仿宋" w:hAnsi="仿宋" w:eastAsia="仿宋" w:cs="仿宋"/>
          <w:spacing w:val="-2"/>
          <w:sz w:val="24"/>
          <w:szCs w:val="24"/>
        </w:rPr>
        <w:t>资源控制</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关键矿产、能源供应链的地缘政治化（如稀土贸易争端）</w:t>
      </w:r>
      <w:r>
        <w:rPr>
          <w:rFonts w:hint="eastAsia" w:ascii="仿宋" w:hAnsi="仿宋" w:eastAsia="仿宋" w:cs="仿宋"/>
          <w:spacing w:val="-2"/>
          <w:sz w:val="24"/>
          <w:szCs w:val="24"/>
          <w:lang w:eastAsia="zh-CN"/>
        </w:rPr>
        <w:t>。</w:t>
      </w:r>
    </w:p>
    <w:p w14:paraId="275E5C67">
      <w:pPr>
        <w:pStyle w:val="5"/>
        <w:numPr>
          <w:numId w:val="0"/>
        </w:numPr>
        <w:spacing w:before="110" w:line="360" w:lineRule="auto"/>
        <w:ind w:left="26" w:leftChars="0"/>
        <w:jc w:val="both"/>
        <w:rPr>
          <w:rFonts w:hint="eastAsia" w:ascii="仿宋" w:hAnsi="仿宋" w:eastAsia="仿宋" w:cs="仿宋"/>
          <w:spacing w:val="-2"/>
          <w:sz w:val="24"/>
          <w:szCs w:val="24"/>
        </w:rPr>
      </w:pPr>
      <w:r>
        <w:rPr>
          <w:rFonts w:hint="eastAsia" w:ascii="仿宋" w:hAnsi="仿宋" w:eastAsia="仿宋" w:cs="仿宋"/>
          <w:spacing w:val="-2"/>
          <w:sz w:val="24"/>
          <w:szCs w:val="24"/>
          <w:lang w:val="en-US" w:eastAsia="zh-CN"/>
        </w:rPr>
        <w:t>五、</w:t>
      </w:r>
      <w:r>
        <w:rPr>
          <w:rFonts w:hint="eastAsia" w:ascii="仿宋" w:hAnsi="仿宋" w:eastAsia="仿宋" w:cs="仿宋"/>
          <w:spacing w:val="-2"/>
          <w:sz w:val="24"/>
          <w:szCs w:val="24"/>
        </w:rPr>
        <w:t>安全与经济的复合交织​</w:t>
      </w:r>
    </w:p>
    <w:p w14:paraId="25E6DEA5">
      <w:pPr>
        <w:pStyle w:val="5"/>
        <w:numPr>
          <w:numId w:val="0"/>
        </w:numPr>
        <w:spacing w:before="110" w:line="360" w:lineRule="auto"/>
        <w:ind w:left="26" w:leftChars="0" w:firstLine="500" w:firstLineChars="0"/>
        <w:jc w:val="both"/>
        <w:rPr>
          <w:rFonts w:hint="eastAsia" w:ascii="仿宋" w:hAnsi="仿宋" w:eastAsia="仿宋" w:cs="仿宋"/>
          <w:spacing w:val="-2"/>
          <w:sz w:val="24"/>
          <w:szCs w:val="24"/>
          <w:lang w:eastAsia="zh-CN"/>
        </w:rPr>
      </w:pPr>
      <w:r>
        <w:rPr>
          <w:rFonts w:hint="eastAsia" w:ascii="仿宋" w:hAnsi="仿宋" w:eastAsia="仿宋" w:cs="仿宋"/>
          <w:spacing w:val="-2"/>
          <w:sz w:val="24"/>
          <w:szCs w:val="24"/>
        </w:rPr>
        <w:t>探讨传统安全议题与非传统安全议题的融合：</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经济武器化</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芯片禁运、能源制裁作为地缘政治博弈工具（如俄乌冲突中的SWIFT系统封锁）</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气候经济</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碳关税、绿色金融对全球产业链的重构效应</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3）</w:t>
      </w:r>
      <w:r>
        <w:rPr>
          <w:rFonts w:hint="eastAsia" w:ascii="仿宋" w:hAnsi="仿宋" w:eastAsia="仿宋" w:cs="仿宋"/>
          <w:spacing w:val="-2"/>
          <w:sz w:val="24"/>
          <w:szCs w:val="24"/>
        </w:rPr>
        <w:t>公共卫生</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疫情冲击下疫苗分配与全球卫生治理的公平性问题</w:t>
      </w:r>
      <w:r>
        <w:rPr>
          <w:rFonts w:hint="eastAsia" w:ascii="仿宋" w:hAnsi="仿宋" w:eastAsia="仿宋" w:cs="仿宋"/>
          <w:spacing w:val="-2"/>
          <w:sz w:val="24"/>
          <w:szCs w:val="24"/>
          <w:lang w:eastAsia="zh-CN"/>
        </w:rPr>
        <w:t>。</w:t>
      </w:r>
    </w:p>
    <w:p w14:paraId="1561EDFC">
      <w:pPr>
        <w:pStyle w:val="5"/>
        <w:numPr>
          <w:numId w:val="0"/>
        </w:numPr>
        <w:spacing w:before="110" w:line="360" w:lineRule="auto"/>
        <w:ind w:left="26" w:leftChars="0"/>
        <w:jc w:val="both"/>
        <w:rPr>
          <w:rFonts w:hint="eastAsia" w:ascii="仿宋" w:hAnsi="仿宋" w:eastAsia="仿宋" w:cs="仿宋"/>
          <w:spacing w:val="-2"/>
          <w:sz w:val="24"/>
          <w:szCs w:val="24"/>
        </w:rPr>
      </w:pPr>
      <w:r>
        <w:rPr>
          <w:rFonts w:hint="eastAsia" w:ascii="仿宋" w:hAnsi="仿宋" w:eastAsia="仿宋" w:cs="仿宋"/>
          <w:spacing w:val="-2"/>
          <w:sz w:val="24"/>
          <w:szCs w:val="24"/>
          <w:lang w:val="en-US" w:eastAsia="zh-CN"/>
        </w:rPr>
        <w:t>六、</w:t>
      </w:r>
      <w:r>
        <w:rPr>
          <w:rFonts w:hint="eastAsia" w:ascii="仿宋" w:hAnsi="仿宋" w:eastAsia="仿宋" w:cs="仿宋"/>
          <w:spacing w:val="-2"/>
          <w:sz w:val="24"/>
          <w:szCs w:val="24"/>
        </w:rPr>
        <w:t>结论</w:t>
      </w:r>
    </w:p>
    <w:p w14:paraId="5CADBFCA">
      <w:pPr>
        <w:pStyle w:val="5"/>
        <w:numPr>
          <w:numId w:val="0"/>
        </w:numPr>
        <w:spacing w:before="110" w:line="360" w:lineRule="auto"/>
        <w:ind w:left="26" w:leftChars="0" w:firstLine="500" w:firstLineChars="0"/>
        <w:jc w:val="both"/>
        <w:rPr>
          <w:rFonts w:hint="eastAsia" w:ascii="仿宋" w:hAnsi="仿宋" w:eastAsia="仿宋" w:cs="仿宋"/>
          <w:spacing w:val="-2"/>
          <w:sz w:val="24"/>
          <w:szCs w:val="24"/>
        </w:rPr>
      </w:pPr>
      <w:r>
        <w:rPr>
          <w:rFonts w:hint="eastAsia" w:ascii="仿宋" w:hAnsi="仿宋" w:eastAsia="仿宋" w:cs="仿宋"/>
          <w:spacing w:val="-2"/>
          <w:sz w:val="24"/>
          <w:szCs w:val="24"/>
        </w:rPr>
        <w:t>国际政治经济学的核心议题始终围绕“权力-财富”关系展开，其研究范畴随全球化进程不断扩展，从传统贸易争端延伸至数字治理、人工智能伦理等新兴领域。在百年变局下，IPE既需回应逆全球化、保护主义等挑战，也需探索多边合作与包容性发展的新路径。</w:t>
      </w:r>
    </w:p>
    <w:p w14:paraId="302114D6">
      <w:pPr>
        <w:pStyle w:val="5"/>
        <w:spacing w:before="109" w:line="360" w:lineRule="auto"/>
        <w:jc w:val="both"/>
        <w:rPr>
          <w:rFonts w:hint="eastAsia" w:ascii="仿宋" w:hAnsi="仿宋" w:eastAsia="仿宋" w:cs="仿宋"/>
          <w:spacing w:val="7"/>
          <w:sz w:val="24"/>
          <w:szCs w:val="24"/>
        </w:rPr>
      </w:pPr>
    </w:p>
    <w:p w14:paraId="4EB71CE2">
      <w:pPr>
        <w:pStyle w:val="5"/>
        <w:numPr>
          <w:ilvl w:val="0"/>
          <w:numId w:val="1"/>
        </w:numPr>
        <w:spacing w:before="109" w:line="360" w:lineRule="auto"/>
        <w:ind w:left="26" w:leftChars="0" w:firstLine="0" w:firstLineChars="0"/>
        <w:jc w:val="both"/>
        <w:rPr>
          <w:rFonts w:hint="eastAsia" w:ascii="仿宋" w:hAnsi="仿宋" w:eastAsia="仿宋" w:cs="仿宋"/>
          <w:b/>
          <w:bCs/>
          <w:spacing w:val="7"/>
          <w:sz w:val="24"/>
          <w:szCs w:val="24"/>
        </w:rPr>
      </w:pPr>
      <w:r>
        <w:rPr>
          <w:rFonts w:hint="eastAsia" w:ascii="仿宋" w:hAnsi="仿宋" w:eastAsia="仿宋" w:cs="仿宋"/>
          <w:b/>
          <w:bCs/>
          <w:spacing w:val="7"/>
          <w:sz w:val="24"/>
          <w:szCs w:val="24"/>
        </w:rPr>
        <w:t>说明“双创”政策及其升级版相关内容。</w:t>
      </w:r>
    </w:p>
    <w:p w14:paraId="2584427B">
      <w:pPr>
        <w:pStyle w:val="5"/>
        <w:numPr>
          <w:numId w:val="0"/>
        </w:numPr>
        <w:spacing w:before="109" w:line="360" w:lineRule="auto"/>
        <w:jc w:val="both"/>
        <w:rPr>
          <w:rFonts w:hint="eastAsia" w:ascii="仿宋" w:hAnsi="仿宋" w:eastAsia="仿宋" w:cs="仿宋"/>
          <w:spacing w:val="7"/>
          <w:sz w:val="24"/>
          <w:szCs w:val="24"/>
        </w:rPr>
      </w:pPr>
      <w:r>
        <w:rPr>
          <w:rFonts w:hint="eastAsia" w:ascii="仿宋" w:hAnsi="仿宋" w:eastAsia="仿宋" w:cs="仿宋"/>
          <w:spacing w:val="7"/>
          <w:sz w:val="24"/>
          <w:szCs w:val="24"/>
        </w:rPr>
        <w:t>一、“双创”政策的定义与背景</w:t>
      </w:r>
    </w:p>
    <w:p w14:paraId="16A790C9">
      <w:pPr>
        <w:pStyle w:val="5"/>
        <w:numPr>
          <w:numId w:val="0"/>
        </w:numPr>
        <w:spacing w:before="109" w:line="360" w:lineRule="auto"/>
        <w:ind w:firstLine="500" w:firstLineChars="0"/>
        <w:jc w:val="both"/>
        <w:rPr>
          <w:rFonts w:hint="eastAsia" w:ascii="仿宋" w:hAnsi="仿宋" w:eastAsia="仿宋" w:cs="仿宋"/>
          <w:spacing w:val="7"/>
          <w:sz w:val="24"/>
          <w:szCs w:val="24"/>
        </w:rPr>
      </w:pPr>
      <w:r>
        <w:rPr>
          <w:rFonts w:hint="eastAsia" w:ascii="仿宋" w:hAnsi="仿宋" w:eastAsia="仿宋" w:cs="仿宋"/>
          <w:spacing w:val="7"/>
          <w:sz w:val="24"/>
          <w:szCs w:val="24"/>
        </w:rPr>
        <w:t>“双创”即“大众创业、万众创新”，是2015年由国务院正式提出的国家战略，旨在通过改革体制机制、优化政策环境，激发全社会创新活力和创业热情，推动经济转型升级。其核心是通过资金链引导创新链、创新链支撑产业链、产业链带动就业链，形成经济增长新动能</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随着经济转向高质量发展阶段，2018年国务院发布《关于推动创新创业高质量展打造“双创”升级版的意见》（国发〔2018〕32号），标志着“双创”政策进入升级阶段，目标是解决原有生态不完善、科技成果转化不足、国际合作不深等问题。</w:t>
      </w:r>
    </w:p>
    <w:p w14:paraId="37252C00">
      <w:pPr>
        <w:pStyle w:val="5"/>
        <w:numPr>
          <w:numId w:val="0"/>
        </w:numPr>
        <w:spacing w:before="109" w:line="360" w:lineRule="auto"/>
        <w:jc w:val="both"/>
        <w:rPr>
          <w:rFonts w:hint="eastAsia" w:ascii="仿宋" w:hAnsi="仿宋" w:eastAsia="仿宋" w:cs="仿宋"/>
          <w:spacing w:val="7"/>
          <w:sz w:val="24"/>
          <w:szCs w:val="24"/>
        </w:rPr>
      </w:pPr>
      <w:r>
        <w:rPr>
          <w:rFonts w:hint="eastAsia" w:ascii="仿宋" w:hAnsi="仿宋" w:eastAsia="仿宋" w:cs="仿宋"/>
          <w:spacing w:val="7"/>
          <w:sz w:val="24"/>
          <w:szCs w:val="24"/>
        </w:rPr>
        <w:t>二、“双创”升级版的核心目标</w:t>
      </w:r>
    </w:p>
    <w:p w14:paraId="0FA609FC">
      <w:pPr>
        <w:pStyle w:val="5"/>
        <w:numPr>
          <w:numId w:val="0"/>
        </w:numPr>
        <w:spacing w:before="109" w:line="360" w:lineRule="auto"/>
        <w:ind w:firstLine="500" w:firstLineChars="0"/>
        <w:jc w:val="both"/>
        <w:rPr>
          <w:rFonts w:hint="eastAsia" w:ascii="仿宋" w:hAnsi="仿宋" w:eastAsia="仿宋" w:cs="仿宋"/>
          <w:spacing w:val="7"/>
          <w:sz w:val="24"/>
          <w:szCs w:val="24"/>
          <w:lang w:eastAsia="zh-CN"/>
        </w:rPr>
      </w:pPr>
      <w:r>
        <w:rPr>
          <w:rFonts w:hint="eastAsia" w:ascii="仿宋" w:hAnsi="仿宋" w:eastAsia="仿宋" w:cs="仿宋"/>
          <w:spacing w:val="7"/>
          <w:sz w:val="24"/>
          <w:szCs w:val="24"/>
        </w:rPr>
        <w:t>升级版政策提出六大目标：</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1）</w:t>
      </w:r>
      <w:r>
        <w:rPr>
          <w:rFonts w:hint="eastAsia" w:ascii="仿宋" w:hAnsi="仿宋" w:eastAsia="仿宋" w:cs="仿宋"/>
          <w:spacing w:val="7"/>
          <w:sz w:val="24"/>
          <w:szCs w:val="24"/>
        </w:rPr>
        <w:t>服务升级</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完善资源共享平台，提升专业化众创空间功能；</w:t>
      </w:r>
      <w:r>
        <w:rPr>
          <w:rFonts w:hint="eastAsia" w:ascii="仿宋" w:hAnsi="仿宋" w:eastAsia="仿宋" w:cs="仿宋"/>
          <w:spacing w:val="7"/>
          <w:sz w:val="24"/>
          <w:szCs w:val="24"/>
          <w:lang w:val="en-US" w:eastAsia="zh-CN"/>
        </w:rPr>
        <w:t xml:space="preserve"> </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2）</w:t>
      </w:r>
      <w:r>
        <w:rPr>
          <w:rFonts w:hint="eastAsia" w:ascii="仿宋" w:hAnsi="仿宋" w:eastAsia="仿宋" w:cs="仿宋"/>
          <w:spacing w:val="7"/>
          <w:sz w:val="24"/>
          <w:szCs w:val="24"/>
        </w:rPr>
        <w:t>就业带动</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培育稳定市场主体，扩大就业岗位；</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3）</w:t>
      </w:r>
      <w:r>
        <w:rPr>
          <w:rFonts w:hint="eastAsia" w:ascii="仿宋" w:hAnsi="仿宋" w:eastAsia="仿宋" w:cs="仿宋"/>
          <w:spacing w:val="7"/>
          <w:sz w:val="24"/>
          <w:szCs w:val="24"/>
        </w:rPr>
        <w:t>科技转化</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增强产学研协同，加速科技成果产业化；</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4）</w:t>
      </w:r>
      <w:r>
        <w:rPr>
          <w:rFonts w:hint="eastAsia" w:ascii="仿宋" w:hAnsi="仿宋" w:eastAsia="仿宋" w:cs="仿宋"/>
          <w:spacing w:val="7"/>
          <w:sz w:val="24"/>
          <w:szCs w:val="24"/>
        </w:rPr>
        <w:t>集聚区建设</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打造“双创”示范基地和国际化高地；</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5）</w:t>
      </w:r>
      <w:r>
        <w:rPr>
          <w:rFonts w:hint="eastAsia" w:ascii="仿宋" w:hAnsi="仿宋" w:eastAsia="仿宋" w:cs="仿宋"/>
          <w:spacing w:val="7"/>
          <w:sz w:val="24"/>
          <w:szCs w:val="24"/>
        </w:rPr>
        <w:t>价值链融合</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推动大中小企业创新资源互通；</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6）</w:t>
      </w:r>
      <w:r>
        <w:rPr>
          <w:rFonts w:hint="eastAsia" w:ascii="仿宋" w:hAnsi="仿宋" w:eastAsia="仿宋" w:cs="仿宋"/>
          <w:spacing w:val="7"/>
          <w:sz w:val="24"/>
          <w:szCs w:val="24"/>
        </w:rPr>
        <w:t>资源融汇</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深化国际国内创新创业合作</w:t>
      </w:r>
      <w:r>
        <w:rPr>
          <w:rFonts w:hint="eastAsia" w:ascii="仿宋" w:hAnsi="仿宋" w:eastAsia="仿宋" w:cs="仿宋"/>
          <w:spacing w:val="7"/>
          <w:sz w:val="24"/>
          <w:szCs w:val="24"/>
          <w:lang w:eastAsia="zh-CN"/>
        </w:rPr>
        <w:t>。</w:t>
      </w:r>
    </w:p>
    <w:p w14:paraId="52B4B5F3">
      <w:pPr>
        <w:pStyle w:val="5"/>
        <w:numPr>
          <w:numId w:val="0"/>
        </w:numPr>
        <w:spacing w:before="109" w:line="360" w:lineRule="auto"/>
        <w:ind w:left="26" w:leftChars="0"/>
        <w:jc w:val="both"/>
        <w:rPr>
          <w:rFonts w:hint="eastAsia" w:ascii="仿宋" w:hAnsi="仿宋" w:eastAsia="仿宋" w:cs="仿宋"/>
          <w:spacing w:val="7"/>
          <w:sz w:val="24"/>
          <w:szCs w:val="24"/>
        </w:rPr>
      </w:pPr>
      <w:r>
        <w:rPr>
          <w:rFonts w:hint="eastAsia" w:ascii="仿宋" w:hAnsi="仿宋" w:eastAsia="仿宋" w:cs="仿宋"/>
          <w:spacing w:val="7"/>
          <w:sz w:val="24"/>
          <w:szCs w:val="24"/>
        </w:rPr>
        <w:t>三、升级版的主要政策举措</w:t>
      </w:r>
    </w:p>
    <w:p w14:paraId="5A45FDBE">
      <w:pPr>
        <w:pStyle w:val="5"/>
        <w:numPr>
          <w:numId w:val="0"/>
        </w:numPr>
        <w:spacing w:before="109" w:line="360" w:lineRule="auto"/>
        <w:ind w:firstLine="500" w:firstLineChars="0"/>
        <w:jc w:val="both"/>
        <w:rPr>
          <w:rFonts w:hint="eastAsia" w:ascii="仿宋" w:hAnsi="仿宋" w:eastAsia="仿宋" w:cs="仿宋"/>
          <w:spacing w:val="7"/>
          <w:sz w:val="24"/>
          <w:szCs w:val="24"/>
          <w:lang w:eastAsia="zh-CN"/>
        </w:rPr>
      </w:pP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1）</w:t>
      </w:r>
      <w:r>
        <w:rPr>
          <w:rFonts w:hint="eastAsia" w:ascii="仿宋" w:hAnsi="仿宋" w:eastAsia="仿宋" w:cs="仿宋"/>
          <w:spacing w:val="7"/>
          <w:sz w:val="24"/>
          <w:szCs w:val="24"/>
        </w:rPr>
        <w:t>优化创新创业环境</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深化“放管服”改革，简化企业开办和注销流程，推广“区域评估”制度</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加强知识产权保护，建立全国统一交易市场，试点知识产权质押融资</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完善新业态监管机制，规范共享经济、数字经济等领域发展</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2）</w:t>
      </w:r>
      <w:r>
        <w:rPr>
          <w:rFonts w:hint="eastAsia" w:ascii="仿宋" w:hAnsi="仿宋" w:eastAsia="仿宋" w:cs="仿宋"/>
          <w:spacing w:val="7"/>
          <w:sz w:val="24"/>
          <w:szCs w:val="24"/>
        </w:rPr>
        <w:t>强化财税金融支持</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将研发费用加计扣除比例提高至75%（覆盖所有企业），扩大新三板股票个税优惠范围</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设立首台（套）重大技术装备示范应用基金，推动军民技术融合</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鼓励转贷款支持重点产业链，降低小微企业融资成本（如天津试点政策性资金定向投放）</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3）</w:t>
      </w:r>
      <w:r>
        <w:rPr>
          <w:rFonts w:hint="eastAsia" w:ascii="仿宋" w:hAnsi="仿宋" w:eastAsia="仿宋" w:cs="仿宋"/>
          <w:spacing w:val="7"/>
          <w:sz w:val="24"/>
          <w:szCs w:val="24"/>
        </w:rPr>
        <w:t>激发多元主体参与</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鼓励科研人员离岗创业，完善农民工、退役军人、归国人才等群体的创业支持政策</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推动高校、科研院所与企业共建技术转化平台，促进职务发明成果产业化</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4）</w:t>
      </w:r>
      <w:r>
        <w:rPr>
          <w:rFonts w:hint="eastAsia" w:ascii="仿宋" w:hAnsi="仿宋" w:eastAsia="仿宋" w:cs="仿宋"/>
          <w:spacing w:val="7"/>
          <w:sz w:val="24"/>
          <w:szCs w:val="24"/>
        </w:rPr>
        <w:t>提升平台服务能力</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建设专业化孵化器和众创空间，搭建工业互联网平台促进大中小企业融通发展</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打造“双创”品牌活动（如路演、财税培训），强化创业导师队伍建设</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lang w:val="en-US" w:eastAsia="zh-CN"/>
        </w:rPr>
        <w:t>5）</w:t>
      </w:r>
      <w:r>
        <w:rPr>
          <w:rFonts w:hint="eastAsia" w:ascii="仿宋" w:hAnsi="仿宋" w:eastAsia="仿宋" w:cs="仿宋"/>
          <w:spacing w:val="7"/>
          <w:sz w:val="24"/>
          <w:szCs w:val="24"/>
        </w:rPr>
        <w:t>深化国际合作与区域协同</w:t>
      </w:r>
      <w:r>
        <w:rPr>
          <w:rFonts w:hint="eastAsia" w:ascii="仿宋" w:hAnsi="仿宋" w:eastAsia="仿宋" w:cs="仿宋"/>
          <w:spacing w:val="7"/>
          <w:sz w:val="24"/>
          <w:szCs w:val="24"/>
          <w:lang w:eastAsia="zh-CN"/>
        </w:rPr>
        <w:t>：</w:t>
      </w:r>
      <w:r>
        <w:rPr>
          <w:rFonts w:hint="eastAsia" w:ascii="仿宋" w:hAnsi="仿宋" w:eastAsia="仿宋" w:cs="仿宋"/>
          <w:spacing w:val="7"/>
          <w:sz w:val="24"/>
          <w:szCs w:val="24"/>
        </w:rPr>
        <w:t>推进“一带一路”创新创业合作，建设国际化孵化基地；在国家级新区、自贸区试点制度创新，形成可复制的经验</w:t>
      </w:r>
      <w:r>
        <w:rPr>
          <w:rFonts w:hint="eastAsia" w:ascii="仿宋" w:hAnsi="仿宋" w:eastAsia="仿宋" w:cs="仿宋"/>
          <w:spacing w:val="7"/>
          <w:sz w:val="24"/>
          <w:szCs w:val="24"/>
          <w:lang w:eastAsia="zh-CN"/>
        </w:rPr>
        <w:t>。</w:t>
      </w:r>
    </w:p>
    <w:p w14:paraId="1B6B99C0">
      <w:pPr>
        <w:pStyle w:val="5"/>
        <w:numPr>
          <w:numId w:val="0"/>
        </w:numPr>
        <w:spacing w:before="109" w:line="360" w:lineRule="auto"/>
        <w:ind w:left="26" w:leftChars="0"/>
        <w:jc w:val="both"/>
        <w:rPr>
          <w:rFonts w:hint="eastAsia" w:ascii="仿宋" w:hAnsi="仿宋" w:eastAsia="仿宋" w:cs="仿宋"/>
          <w:spacing w:val="7"/>
          <w:sz w:val="24"/>
          <w:szCs w:val="24"/>
        </w:rPr>
      </w:pPr>
      <w:r>
        <w:rPr>
          <w:rFonts w:hint="eastAsia" w:ascii="仿宋" w:hAnsi="仿宋" w:eastAsia="仿宋" w:cs="仿宋"/>
          <w:spacing w:val="7"/>
          <w:sz w:val="24"/>
          <w:szCs w:val="24"/>
          <w:lang w:val="en-US" w:eastAsia="zh-CN"/>
        </w:rPr>
        <w:t>五、</w:t>
      </w:r>
      <w:r>
        <w:rPr>
          <w:rFonts w:hint="eastAsia" w:ascii="仿宋" w:hAnsi="仿宋" w:eastAsia="仿宋" w:cs="仿宋"/>
          <w:spacing w:val="7"/>
          <w:sz w:val="24"/>
          <w:szCs w:val="24"/>
        </w:rPr>
        <w:t>结论</w:t>
      </w:r>
    </w:p>
    <w:p w14:paraId="4F20301D">
      <w:pPr>
        <w:pStyle w:val="5"/>
        <w:numPr>
          <w:numId w:val="0"/>
        </w:numPr>
        <w:spacing w:before="109" w:line="360" w:lineRule="auto"/>
        <w:ind w:left="26" w:leftChars="0" w:firstLine="500" w:firstLineChars="0"/>
        <w:jc w:val="both"/>
        <w:rPr>
          <w:rFonts w:hint="eastAsia" w:ascii="仿宋" w:hAnsi="仿宋" w:eastAsia="仿宋" w:cs="仿宋"/>
          <w:spacing w:val="7"/>
          <w:sz w:val="24"/>
          <w:szCs w:val="24"/>
        </w:rPr>
      </w:pPr>
      <w:r>
        <w:rPr>
          <w:rFonts w:hint="eastAsia" w:ascii="仿宋" w:hAnsi="仿宋" w:eastAsia="仿宋" w:cs="仿宋"/>
          <w:spacing w:val="7"/>
          <w:sz w:val="24"/>
          <w:szCs w:val="24"/>
        </w:rPr>
        <w:t>“双创”升级版通过系统性政策设计，从环境优化、动力转换到生态构建，推动创新创业向高质量发展转型。其核心逻辑是通过制度创新释放市场潜力，以科技赋能增强内生动力，最终实现经济增长与民生改善的双重目标。未来需进一步强化政策落实，尤其在知识产权保护、金融精准支持等领域深化突破。</w:t>
      </w:r>
    </w:p>
    <w:p w14:paraId="260CCE6E">
      <w:pPr>
        <w:spacing w:line="360" w:lineRule="auto"/>
        <w:jc w:val="both"/>
        <w:rPr>
          <w:rFonts w:hint="eastAsia" w:ascii="仿宋" w:hAnsi="仿宋" w:eastAsia="仿宋" w:cs="仿宋"/>
          <w:sz w:val="24"/>
          <w:szCs w:val="24"/>
        </w:rPr>
      </w:pPr>
    </w:p>
    <w:p w14:paraId="08AF7E3B">
      <w:pPr>
        <w:pStyle w:val="5"/>
        <w:spacing w:before="110" w:line="360" w:lineRule="auto"/>
        <w:ind w:left="28"/>
        <w:jc w:val="both"/>
        <w:rPr>
          <w:rFonts w:hint="eastAsia" w:ascii="仿宋" w:hAnsi="仿宋" w:eastAsia="仿宋" w:cs="仿宋"/>
          <w:b/>
          <w:bCs/>
          <w:spacing w:val="-8"/>
          <w:sz w:val="24"/>
          <w:szCs w:val="24"/>
        </w:rPr>
      </w:pPr>
    </w:p>
    <w:p w14:paraId="44F83E96">
      <w:pPr>
        <w:pStyle w:val="5"/>
        <w:spacing w:before="110" w:line="360" w:lineRule="auto"/>
        <w:ind w:left="28"/>
        <w:jc w:val="both"/>
        <w:rPr>
          <w:rFonts w:hint="eastAsia" w:ascii="仿宋" w:hAnsi="仿宋" w:eastAsia="仿宋" w:cs="仿宋"/>
          <w:b/>
          <w:bCs/>
          <w:sz w:val="24"/>
          <w:szCs w:val="24"/>
        </w:rPr>
      </w:pPr>
      <w:r>
        <w:rPr>
          <w:rFonts w:hint="eastAsia" w:ascii="仿宋" w:hAnsi="仿宋" w:eastAsia="仿宋" w:cs="仿宋"/>
          <w:b/>
          <w:bCs/>
          <w:spacing w:val="-8"/>
          <w:sz w:val="24"/>
          <w:szCs w:val="24"/>
        </w:rPr>
        <w:t>5、</w:t>
      </w:r>
      <w:r>
        <w:rPr>
          <w:rFonts w:hint="eastAsia" w:ascii="仿宋" w:hAnsi="仿宋" w:eastAsia="仿宋" w:cs="仿宋"/>
          <w:b/>
          <w:bCs/>
          <w:spacing w:val="52"/>
          <w:w w:val="101"/>
          <w:sz w:val="24"/>
          <w:szCs w:val="24"/>
        </w:rPr>
        <w:t xml:space="preserve"> </w:t>
      </w:r>
      <w:r>
        <w:rPr>
          <w:rFonts w:hint="eastAsia" w:ascii="仿宋" w:hAnsi="仿宋" w:eastAsia="仿宋" w:cs="仿宋"/>
          <w:b/>
          <w:bCs/>
          <w:spacing w:val="-8"/>
          <w:sz w:val="24"/>
          <w:szCs w:val="24"/>
        </w:rPr>
        <w:t>请简答如何加快我国传统产业的转型升</w:t>
      </w:r>
      <w:r>
        <w:rPr>
          <w:rFonts w:hint="eastAsia" w:ascii="仿宋" w:hAnsi="仿宋" w:eastAsia="仿宋" w:cs="仿宋"/>
          <w:b/>
          <w:bCs/>
          <w:spacing w:val="-9"/>
          <w:sz w:val="24"/>
          <w:szCs w:val="24"/>
        </w:rPr>
        <w:t>级？</w:t>
      </w:r>
    </w:p>
    <w:p w14:paraId="31A283AA">
      <w:pPr>
        <w:spacing w:line="360" w:lineRule="auto"/>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一、深化数字化转型，重塑生产模式</w:t>
      </w:r>
    </w:p>
    <w:p w14:paraId="5CA8D578">
      <w:pPr>
        <w:spacing w:line="360" w:lineRule="auto"/>
        <w:ind w:firstLine="500" w:firstLineChars="0"/>
        <w:jc w:val="both"/>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推进智能制造</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通过设备更新与工业互联网应用，实现生产流程自动化、智能化。</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构建数字生态</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依托工业互联网平台打通供应链数据链，发展个性化定制、服务型制造等新模式，提升产业链协同效率</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培育数字能力</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支持中小企业上云用数赋智，开展数字化转型试点</w:t>
      </w:r>
      <w:r>
        <w:rPr>
          <w:rFonts w:hint="eastAsia" w:ascii="仿宋" w:hAnsi="仿宋" w:eastAsia="仿宋" w:cs="仿宋"/>
          <w:b w:val="0"/>
          <w:bCs w:val="0"/>
          <w:sz w:val="24"/>
          <w:szCs w:val="24"/>
          <w:lang w:eastAsia="zh-CN"/>
        </w:rPr>
        <w:t>。</w:t>
      </w:r>
    </w:p>
    <w:p w14:paraId="36FEE81D">
      <w:pPr>
        <w:spacing w:line="360" w:lineRule="auto"/>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二、加速绿色低碳转型，提升发展质量</w:t>
      </w:r>
    </w:p>
    <w:p w14:paraId="2E2AC2FF">
      <w:pPr>
        <w:spacing w:line="360" w:lineRule="auto"/>
        <w:jc w:val="both"/>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技术改造升级：推广节能环保技术，实施清洁生产，化工行业绿色化改造，建设循环经济园区</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发展绿色产业：布局新能源、节能环保装备等新兴产业，构建绿色供应链。国务院提出推进传统产业深度减碳，支持光伏、新能源汽车等“新三样”发展</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完善政策激励：落实阶梯电价、税收减免等政策，引导企业采用低碳技术</w:t>
      </w:r>
      <w:r>
        <w:rPr>
          <w:rFonts w:hint="eastAsia" w:ascii="仿宋" w:hAnsi="仿宋" w:eastAsia="仿宋" w:cs="仿宋"/>
          <w:b w:val="0"/>
          <w:bCs w:val="0"/>
          <w:sz w:val="24"/>
          <w:szCs w:val="24"/>
          <w:lang w:eastAsia="zh-CN"/>
        </w:rPr>
        <w:t>。</w:t>
      </w:r>
    </w:p>
    <w:p w14:paraId="4EA2375A">
      <w:pPr>
        <w:spacing w:line="360" w:lineRule="auto"/>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三、强化创新驱动，突破关键瓶颈</w:t>
      </w:r>
    </w:p>
    <w:p w14:paraId="27533827">
      <w:pPr>
        <w:spacing w:line="360" w:lineRule="auto"/>
        <w:ind w:firstLine="500" w:firstLineChars="0"/>
        <w:jc w:val="both"/>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加大研发投入：鼓励企业牵头组建创新联合体，攻关“卡脖子”技术。</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促进成果转化：建立产学研协同机制，推动实验室成果产业化。</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培育“隐形冠军”：聚焦细分领域提升专业化能力</w:t>
      </w:r>
      <w:r>
        <w:rPr>
          <w:rFonts w:hint="eastAsia" w:ascii="仿宋" w:hAnsi="仿宋" w:eastAsia="仿宋" w:cs="仿宋"/>
          <w:b w:val="0"/>
          <w:bCs w:val="0"/>
          <w:sz w:val="24"/>
          <w:szCs w:val="24"/>
          <w:lang w:eastAsia="zh-CN"/>
        </w:rPr>
        <w:t>。</w:t>
      </w:r>
    </w:p>
    <w:p w14:paraId="1D012210">
      <w:pPr>
        <w:spacing w:line="360" w:lineRule="auto"/>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四、优化政策环境，激发市场活力</w:t>
      </w:r>
    </w:p>
    <w:p w14:paraId="62BC74A1">
      <w:pPr>
        <w:spacing w:line="360" w:lineRule="auto"/>
        <w:ind w:firstLine="500" w:firstLineChars="0"/>
        <w:jc w:val="both"/>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深化审批改革：简化技改项目环评、用地审批流程，推行告知承诺制，降低制度性成本。</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强化金融支持​：创新产融结合模式，通过政策性资金定向投放降低融资成本</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推动集群升级：建设国家级先进制造业集群，提升产业链竞争力</w:t>
      </w:r>
      <w:r>
        <w:rPr>
          <w:rFonts w:hint="eastAsia" w:ascii="仿宋" w:hAnsi="仿宋" w:eastAsia="仿宋" w:cs="仿宋"/>
          <w:b w:val="0"/>
          <w:bCs w:val="0"/>
          <w:sz w:val="24"/>
          <w:szCs w:val="24"/>
          <w:lang w:eastAsia="zh-CN"/>
        </w:rPr>
        <w:t>。</w:t>
      </w:r>
    </w:p>
    <w:p w14:paraId="76695047">
      <w:pPr>
        <w:spacing w:line="360" w:lineRule="auto"/>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五、拓展国际市场，提升价值链位势</w:t>
      </w:r>
    </w:p>
    <w:p w14:paraId="0922799D">
      <w:pPr>
        <w:spacing w:line="360" w:lineRule="auto"/>
        <w:ind w:firstLine="500" w:firstLineChars="0"/>
        <w:jc w:val="both"/>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发展跨境电商：依托“跨境电商+产业带”模式，开拓全球市场</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参与国际标准制定：对标国际先进标准，推动绿色技术、产品质量认证互认，增强国际话语权</w:t>
      </w:r>
      <w:r>
        <w:rPr>
          <w:rFonts w:hint="eastAsia" w:ascii="仿宋" w:hAnsi="仿宋" w:eastAsia="仿宋" w:cs="仿宋"/>
          <w:b w:val="0"/>
          <w:bCs w:val="0"/>
          <w:sz w:val="24"/>
          <w:szCs w:val="24"/>
          <w:lang w:eastAsia="zh-CN"/>
        </w:rPr>
        <w:t>。</w:t>
      </w:r>
    </w:p>
    <w:p w14:paraId="3FF8F712">
      <w:pPr>
        <w:spacing w:line="360" w:lineRule="auto"/>
        <w:ind w:firstLine="500" w:firstLineChars="0"/>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通过上述措施，传统产业可逐步实现从“量”的扩张到“质”的跃升，为经济高质量发展注入新动能。</w:t>
      </w:r>
    </w:p>
    <w:p w14:paraId="44BEE3F5">
      <w:pPr>
        <w:spacing w:line="360" w:lineRule="auto"/>
        <w:jc w:val="both"/>
        <w:rPr>
          <w:rFonts w:hint="eastAsia" w:ascii="仿宋" w:hAnsi="仿宋" w:eastAsia="仿宋" w:cs="仿宋"/>
          <w:b w:val="0"/>
          <w:bCs w:val="0"/>
          <w:sz w:val="24"/>
          <w:szCs w:val="24"/>
        </w:rPr>
      </w:pPr>
    </w:p>
    <w:p w14:paraId="0E4D1AB5">
      <w:pPr>
        <w:pStyle w:val="5"/>
        <w:spacing w:before="110" w:line="360" w:lineRule="auto"/>
        <w:ind w:left="25"/>
        <w:jc w:val="both"/>
        <w:rPr>
          <w:rFonts w:hint="eastAsia" w:ascii="仿宋" w:hAnsi="仿宋" w:eastAsia="仿宋" w:cs="仿宋"/>
          <w:b/>
          <w:bCs/>
          <w:sz w:val="24"/>
          <w:szCs w:val="24"/>
        </w:rPr>
      </w:pPr>
      <w:r>
        <w:rPr>
          <w:rFonts w:hint="eastAsia" w:ascii="仿宋" w:hAnsi="仿宋" w:eastAsia="仿宋" w:cs="仿宋"/>
          <w:b/>
          <w:bCs/>
          <w:spacing w:val="-11"/>
          <w:sz w:val="24"/>
          <w:szCs w:val="24"/>
        </w:rPr>
        <w:t>6、</w:t>
      </w:r>
      <w:r>
        <w:rPr>
          <w:rFonts w:hint="eastAsia" w:ascii="仿宋" w:hAnsi="仿宋" w:eastAsia="仿宋" w:cs="仿宋"/>
          <w:b/>
          <w:bCs/>
          <w:spacing w:val="54"/>
          <w:sz w:val="24"/>
          <w:szCs w:val="24"/>
        </w:rPr>
        <w:t xml:space="preserve"> </w:t>
      </w:r>
      <w:r>
        <w:rPr>
          <w:rFonts w:hint="eastAsia" w:ascii="仿宋" w:hAnsi="仿宋" w:eastAsia="仿宋" w:cs="仿宋"/>
          <w:b/>
          <w:bCs/>
          <w:spacing w:val="-11"/>
          <w:sz w:val="24"/>
          <w:szCs w:val="24"/>
        </w:rPr>
        <w:t>请说明什么是量化宽松政策？</w:t>
      </w:r>
    </w:p>
    <w:p w14:paraId="6C240286">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量化宽松政策（Quantitative Easing, QE）是中央银行在传统货币政策失效时采取的非常规干预手段，其核心是通过大规模资产购买向市场注入流动性以刺激经济。以下从定义、机制、目的及影响四个维度展开分析：</w:t>
      </w:r>
    </w:p>
    <w:p w14:paraId="6F9ABA55">
      <w:pPr>
        <w:spacing w:line="360" w:lineRule="auto"/>
        <w:jc w:val="both"/>
        <w:rPr>
          <w:rFonts w:hint="eastAsia" w:ascii="仿宋" w:hAnsi="仿宋" w:eastAsia="仿宋" w:cs="仿宋"/>
          <w:sz w:val="24"/>
          <w:szCs w:val="24"/>
        </w:rPr>
      </w:pPr>
      <w:r>
        <w:rPr>
          <w:rFonts w:hint="eastAsia" w:ascii="仿宋" w:hAnsi="仿宋" w:eastAsia="仿宋" w:cs="仿宋"/>
          <w:sz w:val="24"/>
          <w:szCs w:val="24"/>
        </w:rPr>
        <w:t>一、定义与实施背景</w:t>
      </w:r>
    </w:p>
    <w:p w14:paraId="77E7F017">
      <w:pPr>
        <w:spacing w:line="360" w:lineRule="auto"/>
        <w:ind w:firstLine="50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rPr>
        <w:t>量化宽松指央行在零利率或接近零利率环境下，通过购买国债、抵押贷款支持证券（MBS）等中长期债券，直接增加基础货币供给的操作。其名称中的“量化”指设定明确的货币增发目标，“宽松”则强调降低市场资金压力</w:t>
      </w:r>
      <w:r>
        <w:rPr>
          <w:rFonts w:hint="eastAsia" w:ascii="仿宋" w:hAnsi="仿宋" w:eastAsia="仿宋" w:cs="仿宋"/>
          <w:sz w:val="24"/>
          <w:szCs w:val="24"/>
          <w:lang w:val="en-US" w:eastAsia="zh-CN"/>
        </w:rPr>
        <w:t>。该政策最早由日本央行于2001年提出，用于应对通缩，后因2008年全球金融危机被美联储、欧洲央行等广泛采用。</w:t>
      </w:r>
    </w:p>
    <w:p w14:paraId="199077E8">
      <w:pPr>
        <w:spacing w:line="360" w:lineRule="auto"/>
        <w:jc w:val="both"/>
        <w:rPr>
          <w:rFonts w:hint="eastAsia" w:ascii="仿宋" w:hAnsi="仿宋" w:eastAsia="仿宋" w:cs="仿宋"/>
          <w:sz w:val="24"/>
          <w:szCs w:val="24"/>
        </w:rPr>
      </w:pPr>
      <w:r>
        <w:rPr>
          <w:rFonts w:hint="eastAsia" w:ascii="仿宋" w:hAnsi="仿宋" w:eastAsia="仿宋" w:cs="仿宋"/>
          <w:sz w:val="24"/>
          <w:szCs w:val="24"/>
        </w:rPr>
        <w:t>二、操作机制与工具</w:t>
      </w:r>
    </w:p>
    <w:p w14:paraId="36A3D422">
      <w:pPr>
        <w:spacing w:line="360" w:lineRule="auto"/>
        <w:jc w:val="both"/>
        <w:rPr>
          <w:rFonts w:hint="eastAsia" w:ascii="仿宋" w:hAnsi="仿宋" w:eastAsia="仿宋" w:cs="仿宋"/>
          <w:sz w:val="24"/>
          <w:szCs w:val="24"/>
        </w:rPr>
      </w:pPr>
      <w:r>
        <w:rPr>
          <w:rFonts w:hint="eastAsia" w:ascii="仿宋" w:hAnsi="仿宋" w:eastAsia="仿宋" w:cs="仿宋"/>
          <w:sz w:val="24"/>
          <w:szCs w:val="24"/>
        </w:rPr>
        <w:t>​</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资产购买：央行通过公开市场操作从一级交易商（大型银行）处购入国债等资产，资金直接注入银行体系的准备金账户，形成超额储备。</w:t>
      </w:r>
    </w:p>
    <w:p w14:paraId="46840C0E">
      <w:pPr>
        <w:spacing w:line="360" w:lineRule="auto"/>
        <w:jc w:val="both"/>
        <w:rPr>
          <w:rFonts w:hint="eastAsia" w:ascii="仿宋" w:hAnsi="仿宋" w:eastAsia="仿宋" w:cs="仿宋"/>
          <w:sz w:val="24"/>
          <w:szCs w:val="24"/>
        </w:rPr>
      </w:pPr>
      <w:r>
        <w:rPr>
          <w:rFonts w:hint="eastAsia" w:ascii="仿宋" w:hAnsi="仿宋" w:eastAsia="仿宋" w:cs="仿宋"/>
          <w:sz w:val="24"/>
          <w:szCs w:val="24"/>
        </w:rPr>
        <w:t>​</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分层利率：部分央行对超额准备金实施分级利率，避免银行因流动性过剩而惜贷。</w:t>
      </w:r>
    </w:p>
    <w:p w14:paraId="37436E16">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前瞻指引：央行通过声明承诺维持宽松政策直至特定经济目标达成（如失业率下降至5%），以稳定市场预期</w:t>
      </w:r>
      <w:r>
        <w:rPr>
          <w:rFonts w:hint="eastAsia" w:ascii="仿宋" w:hAnsi="仿宋" w:eastAsia="仿宋" w:cs="仿宋"/>
          <w:sz w:val="24"/>
          <w:szCs w:val="24"/>
          <w:lang w:eastAsia="zh-CN"/>
        </w:rPr>
        <w:t>。</w:t>
      </w:r>
    </w:p>
    <w:p w14:paraId="7AA54629">
      <w:pPr>
        <w:spacing w:line="360" w:lineRule="auto"/>
        <w:jc w:val="both"/>
        <w:rPr>
          <w:rFonts w:hint="eastAsia" w:ascii="仿宋" w:hAnsi="仿宋" w:eastAsia="仿宋" w:cs="仿宋"/>
          <w:sz w:val="24"/>
          <w:szCs w:val="24"/>
        </w:rPr>
      </w:pPr>
      <w:r>
        <w:rPr>
          <w:rFonts w:hint="eastAsia" w:ascii="仿宋" w:hAnsi="仿宋" w:eastAsia="仿宋" w:cs="仿宋"/>
          <w:sz w:val="24"/>
          <w:szCs w:val="24"/>
        </w:rPr>
        <w:t>三、政策目标</w:t>
      </w:r>
    </w:p>
    <w:p w14:paraId="608383D2">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量化宽松旨在解决两大问题：</w:t>
      </w:r>
    </w:p>
    <w:p w14:paraId="7983EF5B">
      <w:pPr>
        <w:numPr>
          <w:ilvl w:val="0"/>
          <w:numId w:val="2"/>
        </w:num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短期目标：压低长期利率，刺激企业投资与居民消费。</w:t>
      </w:r>
    </w:p>
    <w:p w14:paraId="27D125FA">
      <w:pPr>
        <w:numPr>
          <w:ilvl w:val="0"/>
          <w:numId w:val="2"/>
        </w:num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长期目标：缓解债务压力</w:t>
      </w:r>
      <w:r>
        <w:rPr>
          <w:rFonts w:hint="eastAsia" w:ascii="仿宋" w:hAnsi="仿宋" w:eastAsia="仿宋" w:cs="仿宋"/>
          <w:sz w:val="24"/>
          <w:szCs w:val="24"/>
          <w:lang w:eastAsia="zh-CN"/>
        </w:rPr>
        <w:t>，</w:t>
      </w:r>
      <w:r>
        <w:rPr>
          <w:rFonts w:hint="eastAsia" w:ascii="仿宋" w:hAnsi="仿宋" w:eastAsia="仿宋" w:cs="仿宋"/>
          <w:sz w:val="24"/>
          <w:szCs w:val="24"/>
        </w:rPr>
        <w:t>预防通缩螺旋​</w:t>
      </w:r>
    </w:p>
    <w:p w14:paraId="6F0C6D7D">
      <w:pPr>
        <w:spacing w:line="360" w:lineRule="auto"/>
        <w:jc w:val="both"/>
        <w:rPr>
          <w:rFonts w:hint="eastAsia" w:ascii="仿宋" w:hAnsi="仿宋" w:eastAsia="仿宋" w:cs="仿宋"/>
          <w:sz w:val="24"/>
          <w:szCs w:val="24"/>
        </w:rPr>
      </w:pPr>
      <w:r>
        <w:rPr>
          <w:rFonts w:hint="eastAsia" w:ascii="仿宋" w:hAnsi="仿宋" w:eastAsia="仿宋" w:cs="仿宋"/>
          <w:sz w:val="24"/>
          <w:szCs w:val="24"/>
        </w:rPr>
        <w:t>四、政策效果与争议</w:t>
      </w:r>
    </w:p>
    <w:p w14:paraId="22054B41">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正面效应</w:t>
      </w:r>
      <w:r>
        <w:rPr>
          <w:rFonts w:hint="eastAsia" w:ascii="仿宋" w:hAnsi="仿宋" w:eastAsia="仿宋" w:cs="仿宋"/>
          <w:sz w:val="24"/>
          <w:szCs w:val="24"/>
          <w:lang w:eastAsia="zh-CN"/>
        </w:rPr>
        <w:t>：</w:t>
      </w:r>
      <w:r>
        <w:rPr>
          <w:rFonts w:hint="eastAsia" w:ascii="仿宋" w:hAnsi="仿宋" w:eastAsia="仿宋" w:cs="仿宋"/>
          <w:sz w:val="24"/>
          <w:szCs w:val="24"/>
        </w:rPr>
        <w:t>美国在2008年QE后实现10年经济扩张，股市上涨超400%</w:t>
      </w:r>
      <w:r>
        <w:rPr>
          <w:rFonts w:hint="eastAsia" w:ascii="仿宋" w:hAnsi="仿宋" w:eastAsia="仿宋" w:cs="仿宋"/>
          <w:sz w:val="24"/>
          <w:szCs w:val="24"/>
          <w:lang w:eastAsia="zh-CN"/>
        </w:rPr>
        <w:t>，</w:t>
      </w:r>
      <w:r>
        <w:rPr>
          <w:rFonts w:hint="eastAsia" w:ascii="仿宋" w:hAnsi="仿宋" w:eastAsia="仿宋" w:cs="仿宋"/>
          <w:sz w:val="24"/>
          <w:szCs w:val="24"/>
        </w:rPr>
        <w:t>日本2013年QQE政策使核心CPI从-0.4%回升至1%以上</w:t>
      </w:r>
      <w:r>
        <w:rPr>
          <w:rFonts w:hint="eastAsia" w:ascii="仿宋" w:hAnsi="仿宋" w:eastAsia="仿宋" w:cs="仿宋"/>
          <w:sz w:val="24"/>
          <w:szCs w:val="24"/>
          <w:lang w:eastAsia="zh-CN"/>
        </w:rPr>
        <w:t>。</w:t>
      </w:r>
    </w:p>
    <w:p w14:paraId="546CE566">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负面风险：资产泡沫</w:t>
      </w:r>
      <w:r>
        <w:rPr>
          <w:rFonts w:hint="eastAsia" w:ascii="仿宋" w:hAnsi="仿宋" w:eastAsia="仿宋" w:cs="仿宋"/>
          <w:sz w:val="24"/>
          <w:szCs w:val="24"/>
          <w:lang w:eastAsia="zh-CN"/>
        </w:rPr>
        <w:t>，</w:t>
      </w:r>
      <w:r>
        <w:rPr>
          <w:rFonts w:hint="eastAsia" w:ascii="仿宋" w:hAnsi="仿宋" w:eastAsia="仿宋" w:cs="仿宋"/>
          <w:sz w:val="24"/>
          <w:szCs w:val="24"/>
        </w:rPr>
        <w:t>过量流动性推高股市、房地产价格，2020年美联储资产负债表扩张至7.2万亿美元，同期美股估值达历史高位</w:t>
      </w:r>
      <w:r>
        <w:rPr>
          <w:rFonts w:hint="eastAsia" w:ascii="仿宋" w:hAnsi="仿宋" w:eastAsia="仿宋" w:cs="仿宋"/>
          <w:sz w:val="24"/>
          <w:szCs w:val="24"/>
          <w:lang w:eastAsia="zh-CN"/>
        </w:rPr>
        <w:t>；</w:t>
      </w:r>
      <w:r>
        <w:rPr>
          <w:rFonts w:hint="eastAsia" w:ascii="仿宋" w:hAnsi="仿宋" w:eastAsia="仿宋" w:cs="仿宋"/>
          <w:sz w:val="24"/>
          <w:szCs w:val="24"/>
        </w:rPr>
        <w:t>通胀失控</w:t>
      </w:r>
      <w:r>
        <w:rPr>
          <w:rFonts w:hint="eastAsia" w:ascii="仿宋" w:hAnsi="仿宋" w:eastAsia="仿宋" w:cs="仿宋"/>
          <w:sz w:val="24"/>
          <w:szCs w:val="24"/>
          <w:lang w:eastAsia="zh-CN"/>
        </w:rPr>
        <w:t>，</w:t>
      </w:r>
      <w:r>
        <w:rPr>
          <w:rFonts w:hint="eastAsia" w:ascii="仿宋" w:hAnsi="仿宋" w:eastAsia="仿宋" w:cs="仿宋"/>
          <w:sz w:val="24"/>
          <w:szCs w:val="24"/>
        </w:rPr>
        <w:t>2022年美国CPI同比达9.1%，创40年新高，迫使美联储激进加息</w:t>
      </w:r>
      <w:r>
        <w:rPr>
          <w:rFonts w:hint="eastAsia" w:ascii="仿宋" w:hAnsi="仿宋" w:eastAsia="仿宋" w:cs="仿宋"/>
          <w:sz w:val="24"/>
          <w:szCs w:val="24"/>
          <w:lang w:eastAsia="zh-CN"/>
        </w:rPr>
        <w:t>；</w:t>
      </w:r>
      <w:r>
        <w:rPr>
          <w:rFonts w:hint="eastAsia" w:ascii="仿宋" w:hAnsi="仿宋" w:eastAsia="仿宋" w:cs="仿宋"/>
          <w:sz w:val="24"/>
          <w:szCs w:val="24"/>
        </w:rPr>
        <w:t>汇率波动</w:t>
      </w:r>
      <w:r>
        <w:rPr>
          <w:rFonts w:hint="eastAsia" w:ascii="仿宋" w:hAnsi="仿宋" w:eastAsia="仿宋" w:cs="仿宋"/>
          <w:sz w:val="24"/>
          <w:szCs w:val="24"/>
          <w:lang w:eastAsia="zh-CN"/>
        </w:rPr>
        <w:t>，</w:t>
      </w:r>
      <w:r>
        <w:rPr>
          <w:rFonts w:hint="eastAsia" w:ascii="仿宋" w:hAnsi="仿宋" w:eastAsia="仿宋" w:cs="仿宋"/>
          <w:sz w:val="24"/>
          <w:szCs w:val="24"/>
        </w:rPr>
        <w:t>美元贬值引发“汇率战”</w:t>
      </w:r>
      <w:r>
        <w:rPr>
          <w:rFonts w:hint="eastAsia" w:ascii="仿宋" w:hAnsi="仿宋" w:eastAsia="仿宋" w:cs="仿宋"/>
          <w:sz w:val="24"/>
          <w:szCs w:val="24"/>
          <w:lang w:eastAsia="zh-CN"/>
        </w:rPr>
        <w:t>；</w:t>
      </w:r>
      <w:r>
        <w:rPr>
          <w:rFonts w:hint="eastAsia" w:ascii="仿宋" w:hAnsi="仿宋" w:eastAsia="仿宋" w:cs="仿宋"/>
          <w:sz w:val="24"/>
          <w:szCs w:val="24"/>
        </w:rPr>
        <w:t>全球溢出效应</w:t>
      </w:r>
      <w:r>
        <w:rPr>
          <w:rFonts w:hint="eastAsia" w:ascii="仿宋" w:hAnsi="仿宋" w:eastAsia="仿宋" w:cs="仿宋"/>
          <w:sz w:val="24"/>
          <w:szCs w:val="24"/>
          <w:lang w:eastAsia="zh-CN"/>
        </w:rPr>
        <w:t>，</w:t>
      </w:r>
      <w:r>
        <w:rPr>
          <w:rFonts w:hint="eastAsia" w:ascii="仿宋" w:hAnsi="仿宋" w:eastAsia="仿宋" w:cs="仿宋"/>
          <w:sz w:val="24"/>
          <w:szCs w:val="24"/>
        </w:rPr>
        <w:t>新兴市场面临“热钱流入—资产价格泡沫—资本外逃”的恶性循环</w:t>
      </w:r>
      <w:r>
        <w:rPr>
          <w:rFonts w:hint="eastAsia" w:ascii="仿宋" w:hAnsi="仿宋" w:eastAsia="仿宋" w:cs="仿宋"/>
          <w:sz w:val="24"/>
          <w:szCs w:val="24"/>
          <w:lang w:eastAsia="zh-CN"/>
        </w:rPr>
        <w:t>。</w:t>
      </w:r>
    </w:p>
    <w:p w14:paraId="6D63DB5E">
      <w:pPr>
        <w:spacing w:line="360" w:lineRule="auto"/>
        <w:jc w:val="both"/>
        <w:rPr>
          <w:rFonts w:hint="eastAsia" w:ascii="仿宋" w:hAnsi="仿宋" w:eastAsia="仿宋" w:cs="仿宋"/>
          <w:sz w:val="24"/>
          <w:szCs w:val="24"/>
        </w:rPr>
      </w:pPr>
      <w:r>
        <w:rPr>
          <w:rFonts w:hint="eastAsia" w:ascii="仿宋" w:hAnsi="仿宋" w:eastAsia="仿宋" w:cs="仿宋"/>
          <w:sz w:val="24"/>
          <w:szCs w:val="24"/>
        </w:rPr>
        <w:t>结论</w:t>
      </w:r>
    </w:p>
    <w:p w14:paraId="47F6CD58">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量化宽松作为“金融核武器”，在危机应对中具有短期有效性，但其副作用要求政策制定者精准把握退出时机。未来，央行需在维持物价稳定、促进充分就业与防范系统性风险之间寻求更优平衡，同时加强国际政策协调以缓解负面溢出效应。</w:t>
      </w:r>
    </w:p>
    <w:p w14:paraId="65411FAD">
      <w:pPr>
        <w:spacing w:line="360" w:lineRule="auto"/>
        <w:jc w:val="both"/>
        <w:rPr>
          <w:rFonts w:hint="eastAsia" w:ascii="仿宋" w:hAnsi="仿宋" w:eastAsia="仿宋" w:cs="仿宋"/>
          <w:sz w:val="24"/>
          <w:szCs w:val="24"/>
        </w:rPr>
      </w:pPr>
    </w:p>
    <w:p w14:paraId="387D44B9">
      <w:pPr>
        <w:pStyle w:val="5"/>
        <w:spacing w:before="136" w:line="360" w:lineRule="auto"/>
        <w:ind w:left="31"/>
        <w:jc w:val="both"/>
        <w:outlineLvl w:val="1"/>
        <w:rPr>
          <w:rFonts w:hint="eastAsia" w:ascii="仿宋" w:hAnsi="仿宋" w:eastAsia="仿宋" w:cs="仿宋"/>
          <w:sz w:val="30"/>
          <w:szCs w:val="30"/>
        </w:rPr>
      </w:pPr>
      <w:r>
        <w:rPr>
          <w:rFonts w:hint="eastAsia" w:ascii="仿宋" w:hAnsi="仿宋" w:eastAsia="仿宋" w:cs="仿宋"/>
          <w:b/>
          <w:bCs/>
          <w:spacing w:val="-6"/>
          <w:sz w:val="30"/>
          <w:szCs w:val="30"/>
        </w:rPr>
        <w:t>二、论述题</w:t>
      </w:r>
    </w:p>
    <w:p w14:paraId="75264B80">
      <w:pPr>
        <w:pStyle w:val="5"/>
        <w:spacing w:before="300" w:line="360" w:lineRule="auto"/>
        <w:ind w:left="41"/>
        <w:jc w:val="both"/>
        <w:rPr>
          <w:rFonts w:hint="eastAsia" w:ascii="仿宋" w:hAnsi="仿宋" w:eastAsia="仿宋" w:cs="仿宋"/>
          <w:b/>
          <w:bCs/>
          <w:spacing w:val="-2"/>
          <w:sz w:val="24"/>
          <w:szCs w:val="24"/>
        </w:rPr>
      </w:pPr>
      <w:r>
        <w:rPr>
          <w:rFonts w:hint="eastAsia" w:ascii="仿宋" w:hAnsi="仿宋" w:eastAsia="仿宋" w:cs="仿宋"/>
          <w:b/>
          <w:bCs/>
          <w:spacing w:val="-2"/>
          <w:sz w:val="24"/>
          <w:szCs w:val="24"/>
        </w:rPr>
        <w:t>1、请论述国际政治经济学的三大学术意识形态。</w:t>
      </w:r>
    </w:p>
    <w:p w14:paraId="21CAAD69">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国际政治经济学（IPE）作为研究国际体系中政治与经济互动关系的学科，其理论发展始终围绕三种核心意识形态展开：现实主义、自由主义和马克思主义。这三大范式不仅塑造了学科的基本分析框架，也对全球政治经济秩序的演变提供了截然不同的解释路径。以下从核心假设、价值观、理论内涵及政策主张等方面展开论述。</w:t>
      </w:r>
    </w:p>
    <w:p w14:paraId="6059676A">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一、现实主义意识形态：权力统制市场</w:t>
      </w:r>
    </w:p>
    <w:p w14:paraId="61031604">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核心假设​</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现实主义认为，国际政治经济的本质是权力与利益的零和博弈。国家作为主权实体，在无政府状态下优先追求安全与权力最大化，经济活动从属于政治目标。罗伯特·吉尔平提出的“霸权稳定论”是现实主义的典型代表，强调霸权国通过提供国际公共产品（如自由贸易体系）维持秩序，但其主导地位会因权力转移而衰落</w:t>
      </w:r>
      <w:r>
        <w:rPr>
          <w:rFonts w:hint="eastAsia" w:ascii="仿宋" w:hAnsi="仿宋" w:eastAsia="仿宋" w:cs="仿宋"/>
          <w:sz w:val="24"/>
          <w:szCs w:val="24"/>
          <w:lang w:eastAsia="zh-CN"/>
        </w:rPr>
        <w:t>。</w:t>
      </w:r>
    </w:p>
    <w:p w14:paraId="0298AC24">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价值观与分析单元​</w:t>
      </w:r>
    </w:p>
    <w:p w14:paraId="087295A7">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价值观：国家权力至上，安全与主权优先于经济效率。分析单元</w:t>
      </w:r>
      <w:r>
        <w:rPr>
          <w:rFonts w:hint="eastAsia" w:ascii="仿宋" w:hAnsi="仿宋" w:eastAsia="仿宋" w:cs="仿宋"/>
          <w:sz w:val="24"/>
          <w:szCs w:val="24"/>
          <w:lang w:eastAsia="zh-CN"/>
        </w:rPr>
        <w:t>：</w:t>
      </w:r>
      <w:r>
        <w:rPr>
          <w:rFonts w:hint="eastAsia" w:ascii="仿宋" w:hAnsi="仿宋" w:eastAsia="仿宋" w:cs="仿宋"/>
          <w:sz w:val="24"/>
          <w:szCs w:val="24"/>
        </w:rPr>
        <w:t>以民族国家为核心，关注国家间的权力分配与战略竞争。</w:t>
      </w:r>
    </w:p>
    <w:p w14:paraId="40DA6F30">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理论内涵​</w:t>
      </w:r>
    </w:p>
    <w:p w14:paraId="77FD5F73">
      <w:pPr>
        <w:spacing w:line="360" w:lineRule="auto"/>
        <w:jc w:val="both"/>
        <w:rPr>
          <w:rFonts w:hint="eastAsia" w:ascii="仿宋" w:hAnsi="仿宋" w:eastAsia="仿宋" w:cs="仿宋"/>
          <w:sz w:val="24"/>
          <w:szCs w:val="24"/>
        </w:rPr>
      </w:pPr>
      <w:r>
        <w:rPr>
          <w:rFonts w:hint="eastAsia" w:ascii="仿宋" w:hAnsi="仿宋" w:eastAsia="仿宋" w:cs="仿宋"/>
          <w:sz w:val="24"/>
          <w:szCs w:val="24"/>
        </w:rPr>
        <w:t>​重商主义传统：主张通过贸易保护、产业政策增强国家经济实力，如17世纪欧洲的重商主义政策。</w:t>
      </w:r>
    </w:p>
    <w:p w14:paraId="499D1652">
      <w:pPr>
        <w:spacing w:line="360" w:lineRule="auto"/>
        <w:jc w:val="both"/>
        <w:rPr>
          <w:rFonts w:hint="eastAsia" w:ascii="仿宋" w:hAnsi="仿宋" w:eastAsia="仿宋" w:cs="仿宋"/>
          <w:sz w:val="24"/>
          <w:szCs w:val="24"/>
        </w:rPr>
      </w:pPr>
      <w:r>
        <w:rPr>
          <w:rFonts w:hint="eastAsia" w:ascii="仿宋" w:hAnsi="仿宋" w:eastAsia="仿宋" w:cs="仿宋"/>
          <w:sz w:val="24"/>
          <w:szCs w:val="24"/>
        </w:rPr>
        <w:t>​霸权稳定论：认为国际经济秩序的稳定依赖于霸权国的领导，例如二战后美国主导的布雷顿森林体系</w:t>
      </w:r>
    </w:p>
    <w:p w14:paraId="519A6E46">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政策倾向​</w:t>
      </w:r>
    </w:p>
    <w:p w14:paraId="48A95CFB">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主张国家干预经济，通过关税壁垒、补贴等手段保护本国产业。反对过度经济自由化，强调经济主权的重要性。</w:t>
      </w:r>
    </w:p>
    <w:p w14:paraId="7D1FF43E">
      <w:pPr>
        <w:numPr>
          <w:ilvl w:val="0"/>
          <w:numId w:val="3"/>
        </w:num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典型案例​</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美国在冷战期间通过“马歇尔计划”重建欧洲，既巩固盟友关系，又扩大市场控制，体现了政治目标对经济政策的支配</w:t>
      </w:r>
      <w:r>
        <w:rPr>
          <w:rFonts w:hint="eastAsia" w:ascii="仿宋" w:hAnsi="仿宋" w:eastAsia="仿宋" w:cs="仿宋"/>
          <w:sz w:val="24"/>
          <w:szCs w:val="24"/>
          <w:lang w:eastAsia="zh-CN"/>
        </w:rPr>
        <w:t>。</w:t>
      </w:r>
    </w:p>
    <w:p w14:paraId="3C74B38B">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二、自由主义意识形态：市场自治与制度合作</w:t>
      </w:r>
    </w:p>
    <w:p w14:paraId="6423D5C0">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核心假设​</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自由主义认为，政治与经济是相互独立且自治的领域，市场机制能够自发调节资源配置，国际合作通过制度设计可实现互利共赢。约瑟夫·奈和罗伯特·基欧汉提出的“复合相互依存理论”强调，非国家行为体（如跨国公司）和跨国议题（如气候变化）的作用上升，削弱了传统权力政治的逻辑</w:t>
      </w:r>
      <w:r>
        <w:rPr>
          <w:rFonts w:hint="eastAsia" w:ascii="仿宋" w:hAnsi="仿宋" w:eastAsia="仿宋" w:cs="仿宋"/>
          <w:sz w:val="24"/>
          <w:szCs w:val="24"/>
          <w:lang w:eastAsia="zh-CN"/>
        </w:rPr>
        <w:t>。</w:t>
      </w:r>
    </w:p>
    <w:p w14:paraId="35F0F3A1">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价值观与分析单元​</w:t>
      </w:r>
    </w:p>
    <w:p w14:paraId="3F9080DD">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价值观：个体自由、财富增长与制度效率优先。分析单元：以个人或企业为基本单位，关注市场机制与全球化的互动。</w:t>
      </w:r>
    </w:p>
    <w:p w14:paraId="4DE8DD16">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理论内涵​</w:t>
      </w:r>
    </w:p>
    <w:p w14:paraId="0AF17331">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​相互依存论：主张国家间经济相互渗透会降低冲突概率，如欧盟通过单一市场促进和平</w:t>
      </w:r>
      <w:r>
        <w:rPr>
          <w:rFonts w:hint="eastAsia" w:ascii="仿宋" w:hAnsi="仿宋" w:eastAsia="仿宋" w:cs="仿宋"/>
          <w:sz w:val="24"/>
          <w:szCs w:val="24"/>
          <w:lang w:eastAsia="zh-CN"/>
        </w:rPr>
        <w:t>。</w:t>
      </w:r>
    </w:p>
    <w:p w14:paraId="6646773E">
      <w:pPr>
        <w:spacing w:line="360" w:lineRule="auto"/>
        <w:jc w:val="both"/>
        <w:rPr>
          <w:rFonts w:hint="eastAsia" w:ascii="仿宋" w:hAnsi="仿宋" w:eastAsia="仿宋" w:cs="仿宋"/>
          <w:sz w:val="24"/>
          <w:szCs w:val="24"/>
        </w:rPr>
      </w:pPr>
      <w:r>
        <w:rPr>
          <w:rFonts w:hint="eastAsia" w:ascii="仿宋" w:hAnsi="仿宋" w:eastAsia="仿宋" w:cs="仿宋"/>
          <w:sz w:val="24"/>
          <w:szCs w:val="24"/>
        </w:rPr>
        <w:t>​制度主义：强调国际制度（如WTO、IMF）在降低交易成本、促进合作中的作用。</w:t>
      </w:r>
    </w:p>
    <w:p w14:paraId="1935D8B0">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政策倾向​</w:t>
      </w:r>
    </w:p>
    <w:p w14:paraId="01EE1075">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推动贸易自由化与投资便利化，反对保护主义。主张通过国际制度约束国家行为，例如碳关税机制应对全球变暖。</w:t>
      </w:r>
    </w:p>
    <w:p w14:paraId="1EDE9C4A">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5）</w:t>
      </w:r>
      <w:r>
        <w:rPr>
          <w:rFonts w:hint="eastAsia" w:ascii="仿宋" w:hAnsi="仿宋" w:eastAsia="仿宋" w:cs="仿宋"/>
          <w:sz w:val="24"/>
          <w:szCs w:val="24"/>
        </w:rPr>
        <w:t>典型案例​</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亚太经合组织（APEC）通过非约束性承诺推动贸易投资自由化，体现了自由主义对制度合作的偏好</w:t>
      </w:r>
    </w:p>
    <w:p w14:paraId="2FB4DD53">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三、马克思主义意识形态：经济基础决定上层建筑</w:t>
      </w:r>
    </w:p>
    <w:p w14:paraId="1CEA2104">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核心假设​</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马克思主义认为，经济结构是政治关系的根本动力，资本主义体系内在的剥削性导致国际不平等与阶级矛盾。依附理论和世界体系理论揭示了核心国家通过不平等交换剥削外围国家的机制</w:t>
      </w:r>
    </w:p>
    <w:p w14:paraId="721E8C8A">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价值观与分析单元​</w:t>
      </w:r>
    </w:p>
    <w:p w14:paraId="3CD0C0B1">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价值观：追求社会公正与阶级解放，批判资本主义异化。分析单元：以阶级和全球生产链为核心，关注资本积累的全球分布。</w:t>
      </w:r>
    </w:p>
    <w:p w14:paraId="7ECABB8D">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理论内涵​</w:t>
      </w:r>
    </w:p>
    <w:p w14:paraId="1706A118">
      <w:pPr>
        <w:spacing w:line="360" w:lineRule="auto"/>
        <w:jc w:val="both"/>
        <w:rPr>
          <w:rFonts w:hint="eastAsia" w:ascii="仿宋" w:hAnsi="仿宋" w:eastAsia="仿宋" w:cs="仿宋"/>
          <w:sz w:val="24"/>
          <w:szCs w:val="24"/>
        </w:rPr>
      </w:pPr>
      <w:r>
        <w:rPr>
          <w:rFonts w:hint="eastAsia" w:ascii="仿宋" w:hAnsi="仿宋" w:eastAsia="仿宋" w:cs="仿宋"/>
          <w:sz w:val="24"/>
          <w:szCs w:val="24"/>
        </w:rPr>
        <w:t>​依附理论：拉美学者弗兰克提出“中心-外围”模型，指出外围国家因技术依赖陷入低水平发展陷阱</w:t>
      </w:r>
    </w:p>
    <w:p w14:paraId="437E0CFE">
      <w:pPr>
        <w:spacing w:line="360" w:lineRule="auto"/>
        <w:jc w:val="both"/>
        <w:rPr>
          <w:rFonts w:hint="eastAsia" w:ascii="仿宋" w:hAnsi="仿宋" w:eastAsia="仿宋" w:cs="仿宋"/>
          <w:sz w:val="24"/>
          <w:szCs w:val="24"/>
        </w:rPr>
      </w:pPr>
      <w:r>
        <w:rPr>
          <w:rFonts w:hint="eastAsia" w:ascii="仿宋" w:hAnsi="仿宋" w:eastAsia="仿宋" w:cs="仿宋"/>
          <w:sz w:val="24"/>
          <w:szCs w:val="24"/>
        </w:rPr>
        <w:t>​世界体系理论：沃勒斯坦将全球划分为核心、半外围和外围区域，分析资本主义积累的周期性危机。</w:t>
      </w:r>
    </w:p>
    <w:p w14:paraId="526C877E">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政策倾向​</w:t>
      </w:r>
    </w:p>
    <w:p w14:paraId="76A06D3B">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主张打破资本主义体系，推动社会主义替代方案。倡导国际经济新秩序，例如改革布雷顿森林体系以增强发展中国家话语权。</w:t>
      </w:r>
    </w:p>
    <w:p w14:paraId="18FD7640">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5）</w:t>
      </w:r>
      <w:r>
        <w:rPr>
          <w:rFonts w:hint="eastAsia" w:ascii="仿宋" w:hAnsi="仿宋" w:eastAsia="仿宋" w:cs="仿宋"/>
          <w:sz w:val="24"/>
          <w:szCs w:val="24"/>
        </w:rPr>
        <w:t>典型案例​</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20世纪70年代石油输出国组织（OPEC）通过限产提价挑战西方能源霸权，反映了外围国家对经济依附的反抗</w:t>
      </w:r>
      <w:r>
        <w:rPr>
          <w:rFonts w:hint="eastAsia" w:ascii="仿宋" w:hAnsi="仿宋" w:eastAsia="仿宋" w:cs="仿宋"/>
          <w:sz w:val="24"/>
          <w:szCs w:val="24"/>
          <w:lang w:eastAsia="zh-CN"/>
        </w:rPr>
        <w:t>。</w:t>
      </w:r>
    </w:p>
    <w:p w14:paraId="7447E45A">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lang w:val="en-US" w:eastAsia="zh-CN"/>
        </w:rPr>
        <w:t>四</w:t>
      </w:r>
      <w:r>
        <w:rPr>
          <w:rFonts w:hint="eastAsia" w:ascii="仿宋" w:hAnsi="仿宋" w:eastAsia="仿宋" w:cs="仿宋"/>
          <w:b/>
          <w:bCs/>
          <w:sz w:val="24"/>
          <w:szCs w:val="24"/>
        </w:rPr>
        <w:t>、</w:t>
      </w:r>
      <w:r>
        <w:rPr>
          <w:rFonts w:hint="eastAsia" w:ascii="仿宋" w:hAnsi="仿宋" w:eastAsia="仿宋" w:cs="仿宋"/>
          <w:b/>
          <w:bCs/>
          <w:sz w:val="24"/>
          <w:szCs w:val="24"/>
        </w:rPr>
        <w:t>当代争议与融合趋势</w:t>
      </w:r>
    </w:p>
    <w:p w14:paraId="2242D5C0">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现实主义与自由主义的调和​</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新现实主义与新自由制度主义的争论（如“霸权之后”合作是否可能）推动了对国际制度功能的重新评估</w:t>
      </w:r>
      <w:r>
        <w:rPr>
          <w:rFonts w:hint="eastAsia" w:ascii="仿宋" w:hAnsi="仿宋" w:eastAsia="仿宋" w:cs="仿宋"/>
          <w:sz w:val="24"/>
          <w:szCs w:val="24"/>
          <w:lang w:eastAsia="zh-CN"/>
        </w:rPr>
        <w:t>。</w:t>
      </w:r>
    </w:p>
    <w:p w14:paraId="7B1ADA7E">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马克思主义的当代转型​</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全球化背景下，依附理论学者提出“新帝国主义”概念，分析金融资本与跨国公司的全球统治</w:t>
      </w:r>
      <w:r>
        <w:rPr>
          <w:rFonts w:hint="eastAsia" w:ascii="仿宋" w:hAnsi="仿宋" w:eastAsia="仿宋" w:cs="仿宋"/>
          <w:sz w:val="24"/>
          <w:szCs w:val="24"/>
          <w:lang w:eastAsia="zh-CN"/>
        </w:rPr>
        <w:t>。</w:t>
      </w:r>
    </w:p>
    <w:p w14:paraId="5E24F1FB">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交叉领域的兴起​</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比较政治经济学与IPE的融合，促使学者关注国内制度如何塑造国家在全球经济中的策略选择</w:t>
      </w:r>
    </w:p>
    <w:p w14:paraId="5AAFC3F0">
      <w:pPr>
        <w:spacing w:line="360" w:lineRule="auto"/>
        <w:ind w:firstLine="723" w:firstLineChars="300"/>
        <w:jc w:val="both"/>
        <w:rPr>
          <w:rFonts w:hint="eastAsia" w:ascii="仿宋" w:hAnsi="仿宋" w:eastAsia="仿宋" w:cs="仿宋"/>
          <w:b/>
          <w:bCs/>
          <w:sz w:val="24"/>
          <w:szCs w:val="24"/>
        </w:rPr>
      </w:pPr>
      <w:r>
        <w:rPr>
          <w:rFonts w:hint="eastAsia" w:ascii="仿宋" w:hAnsi="仿宋" w:eastAsia="仿宋" w:cs="仿宋"/>
          <w:b/>
          <w:bCs/>
          <w:sz w:val="24"/>
          <w:szCs w:val="24"/>
        </w:rPr>
        <w:t>结论</w:t>
      </w:r>
    </w:p>
    <w:p w14:paraId="54F35C18">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三大意识形态为理解国际政治经济提供了多元视角：现实主义揭示权力竞争的本质，自由主义强调制度合作的可能，马克思主义批判结构性不平等。尽管存在根本分歧，但三者共同构成了IPE的理论基石。在全球化与逆全球化交织的当下，意识形态的碰撞将持续影响国际经济规则的制定与全球治理的未来走向。</w:t>
      </w:r>
    </w:p>
    <w:p w14:paraId="03A475C4">
      <w:pPr>
        <w:spacing w:line="360" w:lineRule="auto"/>
        <w:jc w:val="both"/>
        <w:rPr>
          <w:rFonts w:hint="eastAsia" w:ascii="仿宋" w:hAnsi="仿宋" w:eastAsia="仿宋" w:cs="仿宋"/>
          <w:sz w:val="24"/>
          <w:szCs w:val="24"/>
        </w:rPr>
      </w:pPr>
    </w:p>
    <w:p w14:paraId="138F078B">
      <w:pPr>
        <w:spacing w:line="360" w:lineRule="auto"/>
        <w:jc w:val="both"/>
        <w:rPr>
          <w:rFonts w:hint="eastAsia" w:ascii="仿宋" w:hAnsi="仿宋" w:eastAsia="仿宋" w:cs="仿宋"/>
          <w:b/>
          <w:bCs/>
          <w:sz w:val="24"/>
          <w:szCs w:val="24"/>
        </w:rPr>
      </w:pPr>
    </w:p>
    <w:p w14:paraId="3A3A8F29">
      <w:pPr>
        <w:pStyle w:val="5"/>
        <w:spacing w:before="109" w:line="360" w:lineRule="auto"/>
        <w:ind w:left="26"/>
        <w:jc w:val="both"/>
        <w:rPr>
          <w:rFonts w:hint="eastAsia" w:ascii="仿宋" w:hAnsi="仿宋" w:eastAsia="仿宋" w:cs="仿宋"/>
          <w:b/>
          <w:bCs/>
          <w:sz w:val="24"/>
          <w:szCs w:val="24"/>
        </w:rPr>
      </w:pPr>
      <w:r>
        <w:rPr>
          <w:rFonts w:hint="eastAsia" w:ascii="仿宋" w:hAnsi="仿宋" w:eastAsia="仿宋" w:cs="仿宋"/>
          <w:b/>
          <w:bCs/>
          <w:spacing w:val="-2"/>
          <w:sz w:val="24"/>
          <w:szCs w:val="24"/>
        </w:rPr>
        <w:t>2、请说明国际政治经济学和国际关系学、经济学以及比较政治学的相关联性。</w:t>
      </w:r>
    </w:p>
    <w:p w14:paraId="5F4F8D71">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国际政治经济学（International Political Economy, IPE）作为一门交叉学科，其理论框架与研究方法深刻融合了国际关系学、经济学及比较政治学的核心要素。以下从学科渊源、理论互补性、方法论交叉及现实议题四个维度展开论述。</w:t>
      </w:r>
    </w:p>
    <w:p w14:paraId="23772D18">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一、学科渊源：从国际关系学的分化到跨学科整合</w:t>
      </w:r>
    </w:p>
    <w:p w14:paraId="67B75416">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国际关系学的理论延伸​</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IPE最初是国际关系学应对全球化挑战的产物。20世纪70年代，布雷顿森林体系崩溃、石油危机等事件暴露了传统国际关系理论对经济议题的忽视，学者开始将经济要素纳入安全、权力等经典分析框架。例如，罗伯特·吉尔平的“霸权稳定论”将经济实力与霸权国领导力结合，解释国际经济秩序的兴衰</w:t>
      </w:r>
      <w:r>
        <w:rPr>
          <w:rFonts w:hint="eastAsia" w:ascii="仿宋" w:hAnsi="仿宋" w:eastAsia="仿宋" w:cs="仿宋"/>
          <w:sz w:val="24"/>
          <w:szCs w:val="24"/>
          <w:lang w:eastAsia="zh-CN"/>
        </w:rPr>
        <w:t>。</w:t>
      </w:r>
    </w:p>
    <w:p w14:paraId="6F8C7E0A">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​理论继承：IPE延续了国际关系学对权力、制度、秩序的关注，但将分析对象从“高政治”（军事、外交）扩展至“低政治”（贸易、金融）</w:t>
      </w:r>
      <w:r>
        <w:rPr>
          <w:rFonts w:hint="eastAsia" w:ascii="仿宋" w:hAnsi="仿宋" w:eastAsia="仿宋" w:cs="仿宋"/>
          <w:sz w:val="24"/>
          <w:szCs w:val="24"/>
          <w:lang w:eastAsia="zh-CN"/>
        </w:rPr>
        <w:t>。</w:t>
      </w:r>
    </w:p>
    <w:p w14:paraId="60751539">
      <w:pPr>
        <w:spacing w:line="360" w:lineRule="auto"/>
        <w:jc w:val="both"/>
        <w:rPr>
          <w:rFonts w:hint="eastAsia" w:ascii="仿宋" w:hAnsi="仿宋" w:eastAsia="仿宋" w:cs="仿宋"/>
          <w:sz w:val="24"/>
          <w:szCs w:val="24"/>
        </w:rPr>
      </w:pPr>
      <w:r>
        <w:rPr>
          <w:rFonts w:hint="eastAsia" w:ascii="仿宋" w:hAnsi="仿宋" w:eastAsia="仿宋" w:cs="仿宋"/>
          <w:sz w:val="24"/>
          <w:szCs w:val="24"/>
        </w:rPr>
        <w:t>​学科分化：20世纪90年代后，IPE逐渐脱离国际关系学的“融入”阶段，形成独立学科，但其理论根基仍植根于国际关系学的现实主义、自由主义等范式</w:t>
      </w:r>
      <w:r>
        <w:rPr>
          <w:rFonts w:hint="eastAsia" w:ascii="仿宋" w:hAnsi="仿宋" w:eastAsia="仿宋" w:cs="仿宋"/>
          <w:sz w:val="24"/>
          <w:szCs w:val="24"/>
          <w:lang w:eastAsia="zh-CN"/>
        </w:rPr>
        <w:t>。</w:t>
      </w:r>
    </w:p>
    <w:p w14:paraId="57500973">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经济学的工具性贡献​</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IPE大量吸收经济学理论和方法，尤其是新古典经济学、制度经济学和博弈论：</w:t>
      </w:r>
    </w:p>
    <w:p w14:paraId="4A13B9CA">
      <w:pPr>
        <w:spacing w:line="360" w:lineRule="auto"/>
        <w:jc w:val="both"/>
        <w:rPr>
          <w:rFonts w:hint="eastAsia" w:ascii="仿宋" w:hAnsi="仿宋" w:eastAsia="仿宋" w:cs="仿宋"/>
          <w:sz w:val="24"/>
          <w:szCs w:val="24"/>
        </w:rPr>
      </w:pPr>
    </w:p>
    <w:p w14:paraId="2FA5936E">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​理性选择模型：用于分析国家政策制定中的利益权衡（如关税博弈中的策略选择）</w:t>
      </w:r>
      <w:r>
        <w:rPr>
          <w:rFonts w:hint="eastAsia" w:ascii="仿宋" w:hAnsi="仿宋" w:eastAsia="仿宋" w:cs="仿宋"/>
          <w:sz w:val="24"/>
          <w:szCs w:val="24"/>
          <w:lang w:eastAsia="zh-CN"/>
        </w:rPr>
        <w:t>。</w:t>
      </w:r>
    </w:p>
    <w:p w14:paraId="60701E90">
      <w:pPr>
        <w:spacing w:line="360" w:lineRule="auto"/>
        <w:jc w:val="both"/>
        <w:rPr>
          <w:rFonts w:hint="eastAsia" w:ascii="仿宋" w:hAnsi="仿宋" w:eastAsia="仿宋" w:cs="仿宋"/>
          <w:sz w:val="24"/>
          <w:szCs w:val="24"/>
        </w:rPr>
      </w:pPr>
      <w:r>
        <w:rPr>
          <w:rFonts w:hint="eastAsia" w:ascii="仿宋" w:hAnsi="仿宋" w:eastAsia="仿宋" w:cs="仿宋"/>
          <w:sz w:val="24"/>
          <w:szCs w:val="24"/>
        </w:rPr>
        <w:t>​市场分析框架：解释跨国资本流动、全球价值链分工等现象，例如用投入产出模型测算国家在全球生产网络中的结构性权力</w:t>
      </w:r>
      <w:r>
        <w:rPr>
          <w:rFonts w:hint="eastAsia" w:ascii="仿宋" w:hAnsi="仿宋" w:eastAsia="仿宋" w:cs="仿宋"/>
          <w:sz w:val="24"/>
          <w:szCs w:val="24"/>
          <w:lang w:eastAsia="zh-CN"/>
        </w:rPr>
        <w:t>。</w:t>
      </w:r>
    </w:p>
    <w:p w14:paraId="7725DF07">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​制度经济学：研究国际制度（如WTO）如何降低交易成本、促进合作，同时批判其分配效应（如新自由制度主义对霸权国主导的质疑）</w:t>
      </w:r>
      <w:r>
        <w:rPr>
          <w:rFonts w:hint="eastAsia" w:ascii="仿宋" w:hAnsi="仿宋" w:eastAsia="仿宋" w:cs="仿宋"/>
          <w:sz w:val="24"/>
          <w:szCs w:val="24"/>
          <w:lang w:eastAsia="zh-CN"/>
        </w:rPr>
        <w:t>。</w:t>
      </w:r>
    </w:p>
    <w:p w14:paraId="40144B74">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二、理论互补性：政治逻辑与经济机制的交织</w:t>
      </w:r>
    </w:p>
    <w:p w14:paraId="281A49BF">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权力与市场的辩证关系​</w:t>
      </w:r>
    </w:p>
    <w:p w14:paraId="0ACECF63">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现实主义视角​：强调政治权力对经济规则的主导，如美国通过美元霸权维持国际金融体系的主导权</w:t>
      </w:r>
      <w:r>
        <w:rPr>
          <w:rFonts w:hint="eastAsia" w:ascii="仿宋" w:hAnsi="仿宋" w:eastAsia="仿宋" w:cs="仿宋"/>
          <w:sz w:val="24"/>
          <w:szCs w:val="24"/>
          <w:lang w:eastAsia="zh-CN"/>
        </w:rPr>
        <w:t>。</w:t>
      </w:r>
    </w:p>
    <w:p w14:paraId="19FC0111">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自由主义视角​：主张市场逻辑超越政治边界，如跨国公司通过投资重塑东道国政策偏好</w:t>
      </w:r>
      <w:r>
        <w:rPr>
          <w:rFonts w:hint="eastAsia" w:ascii="仿宋" w:hAnsi="仿宋" w:eastAsia="仿宋" w:cs="仿宋"/>
          <w:sz w:val="24"/>
          <w:szCs w:val="24"/>
          <w:lang w:eastAsia="zh-CN"/>
        </w:rPr>
        <w:t>。</w:t>
      </w:r>
    </w:p>
    <w:p w14:paraId="6D52A955">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马克思主义视角​：批判资本主义体系的内在矛盾，揭示核心国家通过不平等交换剥削外围国家的机制</w:t>
      </w:r>
      <w:r>
        <w:rPr>
          <w:rFonts w:hint="eastAsia" w:ascii="仿宋" w:hAnsi="仿宋" w:eastAsia="仿宋" w:cs="仿宋"/>
          <w:sz w:val="24"/>
          <w:szCs w:val="24"/>
          <w:lang w:eastAsia="zh-CN"/>
        </w:rPr>
        <w:t>。</w:t>
      </w:r>
    </w:p>
    <w:p w14:paraId="31E15792">
      <w:pPr>
        <w:numPr>
          <w:numId w:val="0"/>
        </w:num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制度设计的政治经济学​</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IPE与政治学共同关注制度如何平衡效率与公平</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包括：</w:t>
      </w:r>
      <w:r>
        <w:rPr>
          <w:rFonts w:hint="eastAsia" w:ascii="仿宋" w:hAnsi="仿宋" w:eastAsia="仿宋" w:cs="仿宋"/>
          <w:sz w:val="24"/>
          <w:szCs w:val="24"/>
        </w:rPr>
        <w:t>国际制度</w:t>
      </w:r>
      <w:r>
        <w:rPr>
          <w:rFonts w:hint="eastAsia" w:ascii="仿宋" w:hAnsi="仿宋" w:eastAsia="仿宋" w:cs="仿宋"/>
          <w:sz w:val="24"/>
          <w:szCs w:val="24"/>
          <w:lang w:eastAsia="zh-CN"/>
        </w:rPr>
        <w:t>，</w:t>
      </w:r>
      <w:r>
        <w:rPr>
          <w:rFonts w:hint="eastAsia" w:ascii="仿宋" w:hAnsi="仿宋" w:eastAsia="仿宋" w:cs="仿宋"/>
          <w:sz w:val="24"/>
          <w:szCs w:val="24"/>
        </w:rPr>
        <w:t>分析IMF投票权改革中发达国家与发展中国家的博弈，体现权力分配对制度效能的影响</w:t>
      </w:r>
      <w:r>
        <w:rPr>
          <w:rFonts w:hint="eastAsia" w:ascii="仿宋" w:hAnsi="仿宋" w:eastAsia="仿宋" w:cs="仿宋"/>
          <w:sz w:val="24"/>
          <w:szCs w:val="24"/>
          <w:lang w:eastAsia="zh-CN"/>
        </w:rPr>
        <w:t>；</w:t>
      </w:r>
      <w:r>
        <w:rPr>
          <w:rFonts w:hint="eastAsia" w:ascii="仿宋" w:hAnsi="仿宋" w:eastAsia="仿宋" w:cs="仿宋"/>
          <w:sz w:val="24"/>
          <w:szCs w:val="24"/>
        </w:rPr>
        <w:t>国内政治</w:t>
      </w:r>
      <w:r>
        <w:rPr>
          <w:rFonts w:hint="eastAsia" w:ascii="仿宋" w:hAnsi="仿宋" w:eastAsia="仿宋" w:cs="仿宋"/>
          <w:sz w:val="24"/>
          <w:szCs w:val="24"/>
          <w:lang w:eastAsia="zh-CN"/>
        </w:rPr>
        <w:t>，</w:t>
      </w:r>
      <w:r>
        <w:rPr>
          <w:rFonts w:hint="eastAsia" w:ascii="仿宋" w:hAnsi="仿宋" w:eastAsia="仿宋" w:cs="仿宋"/>
          <w:sz w:val="24"/>
          <w:szCs w:val="24"/>
        </w:rPr>
        <w:t>借鉴比较政治学方法，研究利益集团、官僚体系如何塑造对外经济政策（如美国国会游说集团对贸易协定条款的干预）</w:t>
      </w:r>
      <w:r>
        <w:rPr>
          <w:rFonts w:hint="eastAsia" w:ascii="仿宋" w:hAnsi="仿宋" w:eastAsia="仿宋" w:cs="仿宋"/>
          <w:sz w:val="24"/>
          <w:szCs w:val="24"/>
          <w:lang w:eastAsia="zh-CN"/>
        </w:rPr>
        <w:t>。</w:t>
      </w:r>
    </w:p>
    <w:p w14:paraId="422328CB">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三、方法论交叉：多元工具的综合运用</w:t>
      </w:r>
    </w:p>
    <w:p w14:paraId="05F8C62E">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政治学方法的渗透​</w:t>
      </w:r>
    </w:p>
    <w:p w14:paraId="2B63A614">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案例研究：通过历史分析揭示经济危机的政治根源（如1997年亚洲金融危机中的政府政策失误）</w:t>
      </w:r>
      <w:r>
        <w:rPr>
          <w:rFonts w:hint="eastAsia" w:ascii="仿宋" w:hAnsi="仿宋" w:eastAsia="仿宋" w:cs="仿宋"/>
          <w:sz w:val="24"/>
          <w:szCs w:val="24"/>
          <w:lang w:eastAsia="zh-CN"/>
        </w:rPr>
        <w:t>。</w:t>
      </w:r>
    </w:p>
    <w:p w14:paraId="25EE7889">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定性比较分析：对比不同国家应对全球化的策略差异（如德国产业政策与美国的自由市场模式）</w:t>
      </w:r>
      <w:r>
        <w:rPr>
          <w:rFonts w:hint="eastAsia" w:ascii="仿宋" w:hAnsi="仿宋" w:eastAsia="仿宋" w:cs="仿宋"/>
          <w:sz w:val="24"/>
          <w:szCs w:val="24"/>
          <w:lang w:eastAsia="zh-CN"/>
        </w:rPr>
        <w:t>。</w:t>
      </w:r>
    </w:p>
    <w:p w14:paraId="0505E4E7">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经济学方法的引入​</w:t>
      </w:r>
    </w:p>
    <w:p w14:paraId="598B8AB9">
      <w:pPr>
        <w:spacing w:line="360" w:lineRule="auto"/>
        <w:jc w:val="both"/>
        <w:rPr>
          <w:rFonts w:hint="eastAsia" w:ascii="仿宋" w:hAnsi="仿宋" w:eastAsia="仿宋" w:cs="仿宋"/>
          <w:sz w:val="24"/>
          <w:szCs w:val="24"/>
        </w:rPr>
      </w:pPr>
    </w:p>
    <w:p w14:paraId="01578762">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​量化模型：运用面板数据验证贸易协定对经济增长的影响，或通过社会网络分析识别全球价值链中的权力节点</w:t>
      </w:r>
      <w:r>
        <w:rPr>
          <w:rFonts w:hint="eastAsia" w:ascii="仿宋" w:hAnsi="仿宋" w:eastAsia="仿宋" w:cs="仿宋"/>
          <w:sz w:val="24"/>
          <w:szCs w:val="24"/>
          <w:lang w:eastAsia="zh-CN"/>
        </w:rPr>
        <w:t>。</w:t>
      </w:r>
    </w:p>
    <w:p w14:paraId="471B7415">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​实验方法：在区域合作研究中模拟政策冲击效应（如碳关税对贸易流量的模拟）</w:t>
      </w:r>
      <w:r>
        <w:rPr>
          <w:rFonts w:hint="eastAsia" w:ascii="仿宋" w:hAnsi="仿宋" w:eastAsia="仿宋" w:cs="仿宋"/>
          <w:sz w:val="24"/>
          <w:szCs w:val="24"/>
          <w:lang w:eastAsia="zh-CN"/>
        </w:rPr>
        <w:t>。</w:t>
      </w:r>
    </w:p>
    <w:p w14:paraId="0C8A9FF8">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比较政治学的桥梁作用​</w:t>
      </w:r>
    </w:p>
    <w:p w14:paraId="68006B20">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跨国比较：分析不同政体（民主/威权）对经济开放度的差异化影响，揭示制度环境与经济绩效的关联</w:t>
      </w:r>
      <w:r>
        <w:rPr>
          <w:rFonts w:hint="eastAsia" w:ascii="仿宋" w:hAnsi="仿宋" w:eastAsia="仿宋" w:cs="仿宋"/>
          <w:sz w:val="24"/>
          <w:szCs w:val="24"/>
          <w:lang w:eastAsia="zh-CN"/>
        </w:rPr>
        <w:t>。</w:t>
      </w:r>
    </w:p>
    <w:p w14:paraId="6781C59D">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历史制度主义：追溯国家经济政策的路径依赖（如拉美债务危机与进口替代工业化模式的历史关联）</w:t>
      </w:r>
      <w:r>
        <w:rPr>
          <w:rFonts w:hint="eastAsia" w:ascii="仿宋" w:hAnsi="仿宋" w:eastAsia="仿宋" w:cs="仿宋"/>
          <w:sz w:val="24"/>
          <w:szCs w:val="24"/>
          <w:lang w:eastAsia="zh-CN"/>
        </w:rPr>
        <w:t>。</w:t>
      </w:r>
    </w:p>
    <w:p w14:paraId="5F0A3BF3">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四、现实议题的协同回应</w:t>
      </w:r>
    </w:p>
    <w:p w14:paraId="2BD01C65">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全球化与逆全球化的张力​</w:t>
      </w:r>
    </w:p>
    <w:p w14:paraId="36F9F34F">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IPE从权力结构解释贸易保护主义兴起（如美国蓝领工人因全球价值链重构失去就业机会）；比较政治学分析各国政策差异（如英国脱欧与欧盟内部治理矛盾）；经济学评估贸易战对全球供应链的冲击（如芯片禁运对半导体产业的影响）</w:t>
      </w:r>
      <w:r>
        <w:rPr>
          <w:rFonts w:hint="eastAsia" w:ascii="仿宋" w:hAnsi="仿宋" w:eastAsia="仿宋" w:cs="仿宋"/>
          <w:sz w:val="24"/>
          <w:szCs w:val="24"/>
          <w:lang w:eastAsia="zh-CN"/>
        </w:rPr>
        <w:t>。</w:t>
      </w:r>
    </w:p>
    <w:p w14:paraId="020FFCC3">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发展中国家的经济主权挑战​</w:t>
      </w:r>
    </w:p>
    <w:p w14:paraId="1BB3AD8E">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IPE批判“新殖民主义”金融霸权（如美元债务陷阱）；比较政治学研究拉美“粉红浪潮”政府的经济改革困境；经济学提出替代方案（如区域货币合作、数字主权货币）。</w:t>
      </w:r>
    </w:p>
    <w:p w14:paraId="67C4946D">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气候经济的全球治理​</w:t>
      </w:r>
    </w:p>
    <w:p w14:paraId="441A38E7">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IPE分析碳关税的分配效应与南北矛盾；比较政治学对比各国碳中和路径（如欧盟碳市场与中国双碳政策）；经济学设计碳定价机制与绿色金融工具。</w:t>
      </w:r>
    </w:p>
    <w:p w14:paraId="31F85967">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五、学科边界与未来融合方向</w:t>
      </w:r>
    </w:p>
    <w:p w14:paraId="1BCC1E45">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理论整合的挑战​</w:t>
      </w:r>
    </w:p>
    <w:p w14:paraId="1886BAD7">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IPE需平衡政治学“国家中心”与经济学“市场中心”的张力，例如在数字经济中界定数据主权的归属</w:t>
      </w:r>
      <w:r>
        <w:rPr>
          <w:rFonts w:hint="eastAsia" w:ascii="仿宋" w:hAnsi="仿宋" w:eastAsia="仿宋" w:cs="仿宋"/>
          <w:sz w:val="24"/>
          <w:szCs w:val="24"/>
          <w:lang w:eastAsia="zh-CN"/>
        </w:rPr>
        <w:t>。</w:t>
      </w:r>
      <w:r>
        <w:rPr>
          <w:rFonts w:hint="eastAsia" w:ascii="仿宋" w:hAnsi="仿宋" w:eastAsia="仿宋" w:cs="仿宋"/>
          <w:sz w:val="24"/>
          <w:szCs w:val="24"/>
        </w:rPr>
        <w:t>比较政治经济学推动IPE从“西方中心”向全球南方视角转型，关注非对称权力结构下的发展议题</w:t>
      </w:r>
      <w:r>
        <w:rPr>
          <w:rFonts w:hint="eastAsia" w:ascii="仿宋" w:hAnsi="仿宋" w:eastAsia="仿宋" w:cs="仿宋"/>
          <w:sz w:val="24"/>
          <w:szCs w:val="24"/>
          <w:lang w:eastAsia="zh-CN"/>
        </w:rPr>
        <w:t>。</w:t>
      </w:r>
    </w:p>
    <w:p w14:paraId="5BB82F2F">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新兴领域的交叉创新​</w:t>
      </w:r>
    </w:p>
    <w:p w14:paraId="5FA14136">
      <w:pPr>
        <w:spacing w:line="360" w:lineRule="auto"/>
        <w:jc w:val="both"/>
        <w:rPr>
          <w:rFonts w:hint="eastAsia" w:ascii="仿宋" w:hAnsi="仿宋" w:eastAsia="仿宋" w:cs="仿宋"/>
          <w:sz w:val="24"/>
          <w:szCs w:val="24"/>
        </w:rPr>
      </w:pPr>
    </w:p>
    <w:p w14:paraId="2932CEDE">
      <w:pPr>
        <w:spacing w:line="360" w:lineRule="auto"/>
        <w:jc w:val="both"/>
        <w:rPr>
          <w:rFonts w:hint="eastAsia" w:ascii="仿宋" w:hAnsi="仿宋" w:eastAsia="仿宋" w:cs="仿宋"/>
          <w:sz w:val="24"/>
          <w:szCs w:val="24"/>
        </w:rPr>
      </w:pPr>
      <w:r>
        <w:rPr>
          <w:rFonts w:hint="eastAsia" w:ascii="仿宋" w:hAnsi="仿宋" w:eastAsia="仿宋" w:cs="仿宋"/>
          <w:sz w:val="24"/>
          <w:szCs w:val="24"/>
        </w:rPr>
        <w:t>​数字政治经济学：研究平台经济对全球价值链的重构（如亚马逊对发展中国家中小企业的支配）</w:t>
      </w:r>
    </w:p>
    <w:p w14:paraId="0D3714C5">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rPr>
        <w:t>​人工智能与地缘经济：分析算法合谋、AI监管对国际竞争规则的影响</w:t>
      </w:r>
      <w:r>
        <w:rPr>
          <w:rFonts w:hint="eastAsia" w:ascii="仿宋" w:hAnsi="仿宋" w:eastAsia="仿宋" w:cs="仿宋"/>
          <w:sz w:val="24"/>
          <w:szCs w:val="24"/>
          <w:lang w:eastAsia="zh-CN"/>
        </w:rPr>
        <w:t>。</w:t>
      </w:r>
    </w:p>
    <w:p w14:paraId="1DB62E77">
      <w:pPr>
        <w:spacing w:line="360" w:lineRule="auto"/>
        <w:jc w:val="both"/>
        <w:rPr>
          <w:rFonts w:hint="eastAsia" w:ascii="仿宋" w:hAnsi="仿宋" w:eastAsia="仿宋" w:cs="仿宋"/>
          <w:sz w:val="24"/>
          <w:szCs w:val="24"/>
        </w:rPr>
      </w:pPr>
      <w:r>
        <w:rPr>
          <w:rFonts w:hint="eastAsia" w:ascii="仿宋" w:hAnsi="仿宋" w:eastAsia="仿宋" w:cs="仿宋"/>
          <w:sz w:val="24"/>
          <w:szCs w:val="24"/>
        </w:rPr>
        <w:t>​全球南方崛起：探索金砖国家扩容、区域全面经济伙伴关系（RCEP）对既有秩序的挑战</w:t>
      </w:r>
    </w:p>
    <w:p w14:paraId="0F95EAD9">
      <w:pPr>
        <w:spacing w:line="360" w:lineRule="auto"/>
        <w:ind w:firstLine="723" w:firstLineChars="300"/>
        <w:jc w:val="both"/>
        <w:rPr>
          <w:rFonts w:hint="eastAsia" w:ascii="仿宋" w:hAnsi="仿宋" w:eastAsia="仿宋" w:cs="仿宋"/>
          <w:b/>
          <w:bCs/>
          <w:sz w:val="24"/>
          <w:szCs w:val="24"/>
        </w:rPr>
      </w:pPr>
      <w:r>
        <w:rPr>
          <w:rFonts w:hint="eastAsia" w:ascii="仿宋" w:hAnsi="仿宋" w:eastAsia="仿宋" w:cs="仿宋"/>
          <w:b/>
          <w:bCs/>
          <w:sz w:val="24"/>
          <w:szCs w:val="24"/>
        </w:rPr>
        <w:t>结论</w:t>
      </w:r>
    </w:p>
    <w:p w14:paraId="7AD25ADA">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国际政治经济学作为国际关系学、经济学与比较政治学的交汇点，通过整合政治权力逻辑、经济效率机制与制度比较分析，为理解全球化时代的复杂议题提供了独特框架。其学科生命力在于持续突破单一学科的局限，在权力-财富-制度的动态互动中探索人类命运共同体的构建路径。未来，随着数字技术、气候变化等新挑战的涌现，三大学科的深度融合将进一步推动IPE的理论创新与实践价值。</w:t>
      </w:r>
    </w:p>
    <w:p w14:paraId="009AB21A">
      <w:pPr>
        <w:spacing w:line="360" w:lineRule="auto"/>
        <w:jc w:val="both"/>
        <w:rPr>
          <w:rFonts w:hint="eastAsia" w:ascii="仿宋" w:hAnsi="仿宋" w:eastAsia="仿宋" w:cs="仿宋"/>
          <w:sz w:val="24"/>
          <w:szCs w:val="24"/>
        </w:rPr>
      </w:pPr>
    </w:p>
    <w:p w14:paraId="2D8A0DA3">
      <w:pPr>
        <w:pStyle w:val="5"/>
        <w:spacing w:before="109" w:line="360" w:lineRule="auto"/>
        <w:ind w:left="28"/>
        <w:jc w:val="both"/>
        <w:rPr>
          <w:rFonts w:hint="eastAsia" w:ascii="仿宋" w:hAnsi="仿宋" w:eastAsia="仿宋" w:cs="仿宋"/>
          <w:b/>
          <w:bCs/>
          <w:sz w:val="24"/>
          <w:szCs w:val="24"/>
        </w:rPr>
      </w:pPr>
      <w:r>
        <w:rPr>
          <w:rFonts w:hint="eastAsia" w:ascii="仿宋" w:hAnsi="仿宋" w:eastAsia="仿宋" w:cs="仿宋"/>
          <w:b/>
          <w:bCs/>
          <w:spacing w:val="-2"/>
          <w:sz w:val="24"/>
          <w:szCs w:val="24"/>
        </w:rPr>
        <w:t>3、说明十三五规划的主要战略产业及其与我</w:t>
      </w:r>
      <w:r>
        <w:rPr>
          <w:rFonts w:hint="eastAsia" w:ascii="仿宋" w:hAnsi="仿宋" w:eastAsia="仿宋" w:cs="仿宋"/>
          <w:b/>
          <w:bCs/>
          <w:spacing w:val="-3"/>
          <w:sz w:val="24"/>
          <w:szCs w:val="24"/>
        </w:rPr>
        <w:t>国产业经济发展的关系。</w:t>
      </w:r>
    </w:p>
    <w:p w14:paraId="39F9D7B4">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十三五”规划（2016-2020年）将战略性新兴产业定位为推动经济转型升级的核心引擎，明确提出重点发展新一代信息技术、高端装备、新材料、生物、新能源汽车、新能源、节能环保、数字创意等产业，并规划形成新一代信息技术、高端制造、生物、绿色低碳、数字创意等5个产值规模达10万亿元级的新支柱</w:t>
      </w:r>
      <w:r>
        <w:rPr>
          <w:rFonts w:hint="eastAsia" w:ascii="仿宋" w:hAnsi="仿宋" w:eastAsia="仿宋" w:cs="仿宋"/>
          <w:sz w:val="24"/>
          <w:szCs w:val="24"/>
          <w:lang w:val="en-US" w:eastAsia="zh-CN"/>
        </w:rPr>
        <w:t>。这些产业不仅代表全球科技革命方向，更与我国产业结构优化、创新驱动发展及可持续发展目标深度绑定，具体关系如下：</w:t>
      </w:r>
    </w:p>
    <w:p w14:paraId="7046097A">
      <w:pPr>
        <w:numPr>
          <w:ilvl w:val="0"/>
          <w:numId w:val="4"/>
        </w:num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战略产业构成与核心定位</w:t>
      </w:r>
    </w:p>
    <w:p w14:paraId="0DDBED54">
      <w:pPr>
        <w:numPr>
          <w:numId w:val="0"/>
        </w:num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新一代信息技术​</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涵盖5G、大数据、人工智能、物联网等领域，目标是构建万物互联的智能经济体系。规划提出到2020年总产值超12万亿元，通过“宽带中国”战略强化数字基建，推动“中国制造+互联网”融合，加速工业互联网应用</w:t>
      </w:r>
      <w:r>
        <w:rPr>
          <w:rFonts w:hint="eastAsia" w:ascii="仿宋" w:hAnsi="仿宋" w:eastAsia="仿宋" w:cs="仿宋"/>
          <w:sz w:val="24"/>
          <w:szCs w:val="24"/>
          <w:lang w:eastAsia="zh-CN"/>
        </w:rPr>
        <w:t>。</w:t>
      </w:r>
    </w:p>
    <w:p w14:paraId="3E7FD9A6">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高端装备与新材料​</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聚焦智能制造、机器人、航空航天装备及高性能材料，目标是产值突破12万亿元。通过突破关键核心技术（如航空发动机、工业机器人），推动制造业向智能化、绿色化转型，支撑“中国制造2025”战略</w:t>
      </w:r>
      <w:r>
        <w:rPr>
          <w:rFonts w:hint="eastAsia" w:ascii="仿宋" w:hAnsi="仿宋" w:eastAsia="仿宋" w:cs="仿宋"/>
          <w:sz w:val="24"/>
          <w:szCs w:val="24"/>
          <w:lang w:eastAsia="zh-CN"/>
        </w:rPr>
        <w:t>。</w:t>
      </w:r>
    </w:p>
    <w:p w14:paraId="74B6C17D">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生物产业​</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包括生物医药、医疗器械、生物农业等，旨在构建生命科学创新体系。规划提出生物医药产值达2000亿元，推动精准医疗、现代中药标准化，例如安徽省布局基因测序、创新药研发</w:t>
      </w:r>
      <w:r>
        <w:rPr>
          <w:rFonts w:hint="eastAsia" w:ascii="仿宋" w:hAnsi="仿宋" w:eastAsia="仿宋" w:cs="仿宋"/>
          <w:sz w:val="24"/>
          <w:szCs w:val="24"/>
          <w:lang w:eastAsia="zh-CN"/>
        </w:rPr>
        <w:t>。</w:t>
      </w:r>
    </w:p>
    <w:p w14:paraId="507B881C">
      <w:pPr>
        <w:spacing w:line="360" w:lineRule="auto"/>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绿色低碳产业​</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以新能源汽车、新能源（光伏、风电）、节能环保为核心，目标是产值4000亿元。通过技术突破（如高能量密度电池）和规模化应用，推动能源结构转型</w:t>
      </w:r>
      <w:r>
        <w:rPr>
          <w:rFonts w:hint="eastAsia" w:ascii="仿宋" w:hAnsi="仿宋" w:eastAsia="仿宋" w:cs="仿宋"/>
          <w:sz w:val="24"/>
          <w:szCs w:val="24"/>
          <w:lang w:eastAsia="zh-CN"/>
        </w:rPr>
        <w:t>。</w:t>
      </w:r>
    </w:p>
    <w:p w14:paraId="11E9AE54">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5）</w:t>
      </w:r>
      <w:r>
        <w:rPr>
          <w:rFonts w:hint="eastAsia" w:ascii="仿宋" w:hAnsi="仿宋" w:eastAsia="仿宋" w:cs="仿宋"/>
          <w:sz w:val="24"/>
          <w:szCs w:val="24"/>
        </w:rPr>
        <w:t>数字创意产业​</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rPr>
        <w:t>涉及数字内容制作、虚拟现实（VR）、文化IP开发等，目标是形成4000亿元产值。通过“互联网+”模式培育新消费场景，如数字博物馆、在线教育等</w:t>
      </w:r>
      <w:r>
        <w:rPr>
          <w:rFonts w:hint="eastAsia" w:ascii="仿宋" w:hAnsi="仿宋" w:eastAsia="仿宋" w:cs="仿宋"/>
          <w:sz w:val="24"/>
          <w:szCs w:val="24"/>
          <w:lang w:eastAsia="zh-CN"/>
        </w:rPr>
        <w:t>。</w:t>
      </w:r>
    </w:p>
    <w:p w14:paraId="49EF7795">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二、产业</w:t>
      </w:r>
      <w:r>
        <w:rPr>
          <w:rFonts w:hint="eastAsia" w:ascii="仿宋" w:hAnsi="仿宋" w:eastAsia="仿宋" w:cs="仿宋"/>
          <w:b/>
          <w:bCs/>
          <w:sz w:val="24"/>
          <w:szCs w:val="24"/>
          <w:lang w:val="en-US" w:eastAsia="zh-CN"/>
        </w:rPr>
        <w:t>与</w:t>
      </w:r>
      <w:r>
        <w:rPr>
          <w:rFonts w:hint="eastAsia" w:ascii="仿宋" w:hAnsi="仿宋" w:eastAsia="仿宋" w:cs="仿宋"/>
          <w:b/>
          <w:bCs/>
          <w:sz w:val="24"/>
          <w:szCs w:val="24"/>
        </w:rPr>
        <w:t>经济发展的关联机制</w:t>
      </w:r>
    </w:p>
    <w:p w14:paraId="5C04325F">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驱动经济结构优化​</w:t>
      </w:r>
    </w:p>
    <w:p w14:paraId="3012C486">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替代传统动能：新兴产业增加值占GDP比重从2015年的8%提升至2020年的15%，减少对钢铁、煤炭等传统产业的依赖</w:t>
      </w:r>
      <w:r>
        <w:rPr>
          <w:rFonts w:hint="eastAsia" w:ascii="仿宋" w:hAnsi="仿宋" w:eastAsia="仿宋" w:cs="仿宋"/>
          <w:sz w:val="24"/>
          <w:szCs w:val="24"/>
          <w:lang w:val="en-US" w:eastAsia="zh-CN"/>
        </w:rPr>
        <w:t>。</w:t>
      </w:r>
      <w:r>
        <w:rPr>
          <w:rFonts w:hint="eastAsia" w:ascii="仿宋" w:hAnsi="仿宋" w:eastAsia="仿宋" w:cs="仿宋"/>
          <w:sz w:val="24"/>
          <w:szCs w:val="24"/>
        </w:rPr>
        <w:t>​</w:t>
      </w:r>
    </w:p>
    <w:p w14:paraId="4DA59EF8">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促进价值链升级：高端装备、新材料等产业推动制造业向“微笑曲线”两端延伸，提升附加值。例如，国产大飞机C919带动航空产业链升级。</w:t>
      </w:r>
    </w:p>
    <w:p w14:paraId="6D3C6197">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创新要素集聚与溢出​</w:t>
      </w:r>
    </w:p>
    <w:p w14:paraId="3565E1EB">
      <w:pPr>
        <w:spacing w:line="360" w:lineRule="auto"/>
        <w:jc w:val="both"/>
        <w:rPr>
          <w:rFonts w:hint="eastAsia" w:ascii="仿宋" w:hAnsi="仿宋" w:eastAsia="仿宋" w:cs="仿宋"/>
          <w:sz w:val="24"/>
          <w:szCs w:val="24"/>
        </w:rPr>
      </w:pPr>
      <w:r>
        <w:rPr>
          <w:rFonts w:hint="eastAsia" w:ascii="仿宋" w:hAnsi="仿宋" w:eastAsia="仿宋" w:cs="仿宋"/>
          <w:sz w:val="24"/>
          <w:szCs w:val="24"/>
        </w:rPr>
        <w:t>​技术扩散效应：新一代信息技术向传统制造业渗透，催生智能制造、服务型制造等新模式。</w:t>
      </w:r>
    </w:p>
    <w:p w14:paraId="45C056B7">
      <w:pPr>
        <w:spacing w:line="360" w:lineRule="auto"/>
        <w:jc w:val="both"/>
        <w:rPr>
          <w:rFonts w:hint="eastAsia" w:ascii="仿宋" w:hAnsi="仿宋" w:eastAsia="仿宋" w:cs="仿宋"/>
          <w:sz w:val="24"/>
          <w:szCs w:val="24"/>
        </w:rPr>
      </w:pPr>
      <w:r>
        <w:rPr>
          <w:rFonts w:hint="eastAsia" w:ascii="仿宋" w:hAnsi="仿宋" w:eastAsia="仿宋" w:cs="仿宋"/>
          <w:sz w:val="24"/>
          <w:szCs w:val="24"/>
        </w:rPr>
        <w:t>​区域协同发展：战略性新兴产业集聚区（如长三角、珠三角）形成跨区域产业链分工</w:t>
      </w:r>
      <w:r>
        <w:rPr>
          <w:rFonts w:hint="eastAsia" w:ascii="仿宋" w:hAnsi="仿宋" w:eastAsia="仿宋" w:cs="仿宋"/>
          <w:sz w:val="24"/>
          <w:szCs w:val="24"/>
          <w:lang w:eastAsia="zh-CN"/>
        </w:rPr>
        <w:t>。</w:t>
      </w:r>
    </w:p>
    <w:p w14:paraId="06432643">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就业与消费升级​</w:t>
      </w:r>
    </w:p>
    <w:p w14:paraId="37380242">
      <w:pPr>
        <w:spacing w:line="360" w:lineRule="auto"/>
        <w:jc w:val="both"/>
        <w:rPr>
          <w:rFonts w:hint="eastAsia" w:ascii="仿宋" w:hAnsi="仿宋" w:eastAsia="仿宋" w:cs="仿宋"/>
          <w:sz w:val="24"/>
          <w:szCs w:val="24"/>
        </w:rPr>
      </w:pPr>
      <w:r>
        <w:rPr>
          <w:rFonts w:hint="eastAsia" w:ascii="仿宋" w:hAnsi="仿宋" w:eastAsia="仿宋" w:cs="仿宋"/>
          <w:sz w:val="24"/>
          <w:szCs w:val="24"/>
        </w:rPr>
        <w:t>​创造高质量就业：新兴产业年均新增就业超100万人，如大数据、人工智能领域吸纳高技能人才。</w:t>
      </w:r>
    </w:p>
    <w:p w14:paraId="6E064A5F">
      <w:pPr>
        <w:spacing w:line="360" w:lineRule="auto"/>
        <w:jc w:val="both"/>
        <w:rPr>
          <w:rFonts w:hint="eastAsia" w:ascii="仿宋" w:hAnsi="仿宋" w:eastAsia="仿宋" w:cs="仿宋"/>
          <w:sz w:val="24"/>
          <w:szCs w:val="24"/>
        </w:rPr>
      </w:pPr>
      <w:r>
        <w:rPr>
          <w:rFonts w:hint="eastAsia" w:ascii="仿宋" w:hAnsi="仿宋" w:eastAsia="仿宋" w:cs="仿宋"/>
          <w:sz w:val="24"/>
          <w:szCs w:val="24"/>
        </w:rPr>
        <w:t>​培育新消费需求：数字创意产业推动文娱消费升级，2020年网络视听市场规模突破2000亿元。</w:t>
      </w:r>
    </w:p>
    <w:p w14:paraId="26547B91">
      <w:pPr>
        <w:spacing w:line="360" w:lineRule="auto"/>
        <w:jc w:val="both"/>
        <w:rPr>
          <w:rFonts w:hint="eastAsia" w:ascii="仿宋" w:hAnsi="仿宋" w:eastAsia="仿宋" w:cs="仿宋"/>
          <w:sz w:val="24"/>
          <w:szCs w:val="24"/>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可持续发展支撑​</w:t>
      </w:r>
    </w:p>
    <w:p w14:paraId="06D5EAA9">
      <w:pPr>
        <w:spacing w:line="360" w:lineRule="auto"/>
        <w:jc w:val="both"/>
        <w:rPr>
          <w:rFonts w:hint="eastAsia" w:ascii="仿宋" w:hAnsi="仿宋" w:eastAsia="仿宋" w:cs="仿宋"/>
          <w:sz w:val="24"/>
          <w:szCs w:val="24"/>
        </w:rPr>
      </w:pPr>
    </w:p>
    <w:p w14:paraId="5FC37D50">
      <w:pPr>
        <w:spacing w:line="360" w:lineRule="auto"/>
        <w:jc w:val="both"/>
        <w:rPr>
          <w:rFonts w:hint="eastAsia" w:ascii="仿宋" w:hAnsi="仿宋" w:eastAsia="仿宋" w:cs="仿宋"/>
          <w:sz w:val="24"/>
          <w:szCs w:val="24"/>
        </w:rPr>
      </w:pPr>
      <w:r>
        <w:rPr>
          <w:rFonts w:hint="eastAsia" w:ascii="仿宋" w:hAnsi="仿宋" w:eastAsia="仿宋" w:cs="仿宋"/>
          <w:sz w:val="24"/>
          <w:szCs w:val="24"/>
        </w:rPr>
        <w:t>​绿色技术应用：新能源汽车推广减少碳排放，2020年保有量达492万辆；节能环保技术助力单位GDP能耗下降15%。</w:t>
      </w:r>
    </w:p>
    <w:p w14:paraId="079B9798">
      <w:pPr>
        <w:spacing w:line="360" w:lineRule="auto"/>
        <w:jc w:val="both"/>
        <w:rPr>
          <w:rFonts w:hint="eastAsia" w:ascii="仿宋" w:hAnsi="仿宋" w:eastAsia="仿宋" w:cs="仿宋"/>
          <w:sz w:val="24"/>
          <w:szCs w:val="24"/>
        </w:rPr>
      </w:pPr>
      <w:r>
        <w:rPr>
          <w:rFonts w:hint="eastAsia" w:ascii="仿宋" w:hAnsi="仿宋" w:eastAsia="仿宋" w:cs="仿宋"/>
          <w:sz w:val="24"/>
          <w:szCs w:val="24"/>
        </w:rPr>
        <w:t>​循环经济模式：资源综合利用产业年产值超3万亿元，如动力电池梯次利用、再生资源回收体系</w:t>
      </w:r>
      <w:r>
        <w:rPr>
          <w:rFonts w:hint="eastAsia" w:ascii="仿宋" w:hAnsi="仿宋" w:eastAsia="仿宋" w:cs="仿宋"/>
          <w:sz w:val="24"/>
          <w:szCs w:val="24"/>
          <w:lang w:eastAsia="zh-CN"/>
        </w:rPr>
        <w:t>。</w:t>
      </w:r>
    </w:p>
    <w:p w14:paraId="09887937">
      <w:p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lang w:val="en-US" w:eastAsia="zh-CN"/>
        </w:rPr>
        <w:t>三</w:t>
      </w:r>
      <w:r>
        <w:rPr>
          <w:rFonts w:hint="eastAsia" w:ascii="仿宋" w:hAnsi="仿宋" w:eastAsia="仿宋" w:cs="仿宋"/>
          <w:b/>
          <w:bCs/>
          <w:sz w:val="24"/>
          <w:szCs w:val="24"/>
        </w:rPr>
        <w:t>、挑战与未来方向</w:t>
      </w:r>
    </w:p>
    <w:p w14:paraId="1074C8E0">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尽管“十三五”规划取得显著成效，但仍面临核心技术“卡脖子”（如高端芯片）、区域发展不平衡等问题。未来需进一步强化基础研究投入（如量子计算）、完善产业生态（如产学研协同），并推动新兴产业与传统产业深度融合，为“十四五”期间构建现代化产业体系奠定基础。</w:t>
      </w:r>
    </w:p>
    <w:p w14:paraId="04FCA238">
      <w:pPr>
        <w:spacing w:line="360" w:lineRule="auto"/>
        <w:jc w:val="both"/>
        <w:rPr>
          <w:rFonts w:hint="eastAsia" w:ascii="仿宋" w:hAnsi="仿宋" w:eastAsia="仿宋" w:cs="仿宋"/>
          <w:sz w:val="24"/>
          <w:szCs w:val="24"/>
        </w:rPr>
      </w:pPr>
    </w:p>
    <w:p w14:paraId="1ACDFF51">
      <w:pPr>
        <w:pStyle w:val="5"/>
        <w:spacing w:before="110" w:line="360" w:lineRule="auto"/>
        <w:ind w:left="22"/>
        <w:jc w:val="both"/>
        <w:rPr>
          <w:rFonts w:hint="eastAsia" w:ascii="仿宋" w:hAnsi="仿宋" w:eastAsia="仿宋" w:cs="仿宋"/>
          <w:b/>
          <w:bCs/>
          <w:spacing w:val="-5"/>
          <w:sz w:val="24"/>
          <w:szCs w:val="24"/>
        </w:rPr>
      </w:pPr>
      <w:r>
        <w:rPr>
          <w:rFonts w:hint="eastAsia" w:ascii="仿宋" w:hAnsi="仿宋" w:eastAsia="仿宋" w:cs="仿宋"/>
          <w:b/>
          <w:bCs/>
          <w:spacing w:val="-5"/>
          <w:sz w:val="24"/>
          <w:szCs w:val="24"/>
        </w:rPr>
        <w:t>4、</w:t>
      </w:r>
      <w:r>
        <w:rPr>
          <w:rFonts w:hint="eastAsia" w:ascii="仿宋" w:hAnsi="仿宋" w:eastAsia="仿宋" w:cs="仿宋"/>
          <w:b/>
          <w:bCs/>
          <w:spacing w:val="-5"/>
          <w:sz w:val="24"/>
          <w:szCs w:val="24"/>
        </w:rPr>
        <w:t>说明布雷顿森林体系的宗旨以及在贸易、金融以及货币领域的主要内容？</w:t>
      </w:r>
    </w:p>
    <w:p w14:paraId="2F9363C2">
      <w:pPr>
        <w:pStyle w:val="5"/>
        <w:spacing w:before="110" w:line="360" w:lineRule="auto"/>
        <w:ind w:left="22" w:leftChars="0" w:firstLine="500" w:firstLineChars="0"/>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rPr>
        <w:t>布雷顿森林体系是二战后重建国际经济秩序的基石，其宗旨在于通过稳定货币体系、促进国际贸易和投资、推动全球经济复苏。1944年7月，44个国家在美国新罕布什尔州布雷顿森林召开会议，签署《布雷顿森林协定》，确立了以美元为中心的国际货币制度，并创建了国际货币基金组织（IMF）和世界银行（WB）两大机构</w:t>
      </w:r>
      <w:r>
        <w:rPr>
          <w:rFonts w:hint="eastAsia" w:ascii="仿宋" w:hAnsi="仿宋" w:eastAsia="仿宋" w:cs="仿宋"/>
          <w:b w:val="0"/>
          <w:bCs w:val="0"/>
          <w:spacing w:val="-5"/>
          <w:sz w:val="24"/>
          <w:szCs w:val="24"/>
          <w:lang w:val="en-US" w:eastAsia="zh-CN"/>
        </w:rPr>
        <w:t>。以下从宗旨和三大领域（贸易、金融、货币）展开分析。</w:t>
      </w:r>
    </w:p>
    <w:p w14:paraId="74C72F76">
      <w:pPr>
        <w:pStyle w:val="5"/>
        <w:spacing w:before="110" w:line="360" w:lineRule="auto"/>
        <w:ind w:left="22"/>
        <w:jc w:val="both"/>
        <w:rPr>
          <w:rFonts w:hint="eastAsia" w:ascii="仿宋" w:hAnsi="仿宋" w:eastAsia="仿宋" w:cs="仿宋"/>
          <w:b/>
          <w:bCs/>
          <w:spacing w:val="-5"/>
          <w:sz w:val="24"/>
          <w:szCs w:val="24"/>
        </w:rPr>
      </w:pPr>
      <w:r>
        <w:rPr>
          <w:rFonts w:hint="eastAsia" w:ascii="仿宋" w:hAnsi="仿宋" w:eastAsia="仿宋" w:cs="仿宋"/>
          <w:b/>
          <w:bCs/>
          <w:spacing w:val="-5"/>
          <w:sz w:val="24"/>
          <w:szCs w:val="24"/>
        </w:rPr>
        <w:t>一、宗旨：构建战后经济新秩序</w:t>
      </w:r>
    </w:p>
    <w:p w14:paraId="1C837FD5">
      <w:pPr>
        <w:pStyle w:val="5"/>
        <w:spacing w:before="110" w:line="360" w:lineRule="auto"/>
        <w:ind w:left="22"/>
        <w:jc w:val="both"/>
        <w:rPr>
          <w:rFonts w:hint="eastAsia" w:ascii="仿宋" w:hAnsi="仿宋" w:eastAsia="仿宋" w:cs="仿宋"/>
          <w:b w:val="0"/>
          <w:bCs w:val="0"/>
          <w:spacing w:val="-5"/>
          <w:sz w:val="24"/>
          <w:szCs w:val="24"/>
          <w:lang w:eastAsia="zh-CN"/>
        </w:rPr>
      </w:pP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1）</w:t>
      </w:r>
      <w:r>
        <w:rPr>
          <w:rFonts w:hint="eastAsia" w:ascii="仿宋" w:hAnsi="仿宋" w:eastAsia="仿宋" w:cs="仿宋"/>
          <w:b w:val="0"/>
          <w:bCs w:val="0"/>
          <w:spacing w:val="-5"/>
          <w:sz w:val="24"/>
          <w:szCs w:val="24"/>
        </w:rPr>
        <w:t>终结货币混乱：结束二战前各国货币竞相贬值、汇率剧烈波动的局面，避免重蹈1929年大萧条的覆辙</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2）</w:t>
      </w:r>
      <w:r>
        <w:rPr>
          <w:rFonts w:hint="eastAsia" w:ascii="仿宋" w:hAnsi="仿宋" w:eastAsia="仿宋" w:cs="仿宋"/>
          <w:b w:val="0"/>
          <w:bCs w:val="0"/>
          <w:spacing w:val="-5"/>
          <w:sz w:val="24"/>
          <w:szCs w:val="24"/>
        </w:rPr>
        <w:t>促进国际合作：通过国际金融机构协调各国政策，维护全球金融稳定。</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3）</w:t>
      </w:r>
      <w:r>
        <w:rPr>
          <w:rFonts w:hint="eastAsia" w:ascii="仿宋" w:hAnsi="仿宋" w:eastAsia="仿宋" w:cs="仿宋"/>
          <w:b w:val="0"/>
          <w:bCs w:val="0"/>
          <w:spacing w:val="-5"/>
          <w:sz w:val="24"/>
          <w:szCs w:val="24"/>
        </w:rPr>
        <w:t>支持战后重建：为欧洲和日本提供资金援助，推动经济复苏，并为发展中国家创造发展机遇</w:t>
      </w:r>
      <w:r>
        <w:rPr>
          <w:rFonts w:hint="eastAsia" w:ascii="仿宋" w:hAnsi="仿宋" w:eastAsia="仿宋" w:cs="仿宋"/>
          <w:b w:val="0"/>
          <w:bCs w:val="0"/>
          <w:spacing w:val="-5"/>
          <w:sz w:val="24"/>
          <w:szCs w:val="24"/>
          <w:lang w:eastAsia="zh-CN"/>
        </w:rPr>
        <w:t>。</w:t>
      </w:r>
    </w:p>
    <w:p w14:paraId="670E29D8">
      <w:pPr>
        <w:pStyle w:val="5"/>
        <w:spacing w:before="110" w:line="360" w:lineRule="auto"/>
        <w:ind w:left="22"/>
        <w:jc w:val="both"/>
        <w:rPr>
          <w:rFonts w:hint="eastAsia" w:ascii="仿宋" w:hAnsi="仿宋" w:eastAsia="仿宋" w:cs="仿宋"/>
          <w:b/>
          <w:bCs/>
          <w:spacing w:val="-5"/>
          <w:sz w:val="24"/>
          <w:szCs w:val="24"/>
        </w:rPr>
      </w:pPr>
      <w:r>
        <w:rPr>
          <w:rFonts w:hint="eastAsia" w:ascii="仿宋" w:hAnsi="仿宋" w:eastAsia="仿宋" w:cs="仿宋"/>
          <w:b/>
          <w:bCs/>
          <w:spacing w:val="-5"/>
          <w:sz w:val="24"/>
          <w:szCs w:val="24"/>
        </w:rPr>
        <w:t>二、核心内容：三大领域机制设计</w:t>
      </w:r>
    </w:p>
    <w:p w14:paraId="712DF9B2">
      <w:pPr>
        <w:pStyle w:val="5"/>
        <w:spacing w:before="110" w:line="360" w:lineRule="auto"/>
        <w:ind w:left="22"/>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rPr>
        <w:t>（一）货币领域：双挂钩与固定汇率​</w:t>
      </w:r>
    </w:p>
    <w:p w14:paraId="214AE791">
      <w:pPr>
        <w:pStyle w:val="5"/>
        <w:spacing w:before="110" w:line="360" w:lineRule="auto"/>
        <w:ind w:firstLine="500" w:firstLineChars="0"/>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lang w:val="en-US" w:eastAsia="zh-CN"/>
        </w:rPr>
        <w:t>1、</w:t>
      </w:r>
      <w:r>
        <w:rPr>
          <w:rFonts w:hint="eastAsia" w:ascii="仿宋" w:hAnsi="仿宋" w:eastAsia="仿宋" w:cs="仿宋"/>
          <w:b w:val="0"/>
          <w:bCs w:val="0"/>
          <w:spacing w:val="-5"/>
          <w:sz w:val="24"/>
          <w:szCs w:val="24"/>
        </w:rPr>
        <w:t>美元与黄金挂钩</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规定1盎司黄金=35美元，美国承诺按官价兑换黄金，确立美元的“准黄金”地位</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其他国家需将美元作为主要储备资产，形成“黄金-美元”本位制。</w:t>
      </w:r>
    </w:p>
    <w:p w14:paraId="401CAA9E">
      <w:pPr>
        <w:pStyle w:val="5"/>
        <w:spacing w:before="110" w:line="360" w:lineRule="auto"/>
        <w:ind w:left="22" w:leftChars="0" w:firstLine="500" w:firstLineChars="0"/>
        <w:jc w:val="both"/>
        <w:rPr>
          <w:rFonts w:hint="eastAsia" w:ascii="仿宋" w:hAnsi="仿宋" w:eastAsia="仿宋" w:cs="仿宋"/>
          <w:b w:val="0"/>
          <w:bCs w:val="0"/>
          <w:spacing w:val="-5"/>
          <w:sz w:val="24"/>
          <w:szCs w:val="24"/>
          <w:lang w:eastAsia="zh-CN"/>
        </w:rPr>
      </w:pPr>
      <w:r>
        <w:rPr>
          <w:rFonts w:hint="eastAsia" w:ascii="仿宋" w:hAnsi="仿宋" w:eastAsia="仿宋" w:cs="仿宋"/>
          <w:b w:val="0"/>
          <w:bCs w:val="0"/>
          <w:spacing w:val="-5"/>
          <w:sz w:val="24"/>
          <w:szCs w:val="24"/>
          <w:lang w:val="en-US" w:eastAsia="zh-CN"/>
        </w:rPr>
        <w:t>2、</w:t>
      </w:r>
      <w:r>
        <w:rPr>
          <w:rFonts w:hint="eastAsia" w:ascii="仿宋" w:hAnsi="仿宋" w:eastAsia="仿宋" w:cs="仿宋"/>
          <w:b w:val="0"/>
          <w:bCs w:val="0"/>
          <w:spacing w:val="-5"/>
          <w:sz w:val="24"/>
          <w:szCs w:val="24"/>
        </w:rPr>
        <w:t>固定汇率制度</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各国货币与美元汇率波动幅度限制在±1%（后扩大至±2.25%），政府需通过干预维持汇率稳定</w:t>
      </w:r>
      <w:r>
        <w:rPr>
          <w:rFonts w:hint="eastAsia" w:ascii="仿宋" w:hAnsi="仿宋" w:eastAsia="仿宋" w:cs="仿宋"/>
          <w:b w:val="0"/>
          <w:bCs w:val="0"/>
          <w:spacing w:val="-5"/>
          <w:sz w:val="24"/>
          <w:szCs w:val="24"/>
          <w:lang w:eastAsia="zh-CN"/>
        </w:rPr>
        <w:t>。</w:t>
      </w:r>
    </w:p>
    <w:p w14:paraId="09FACFA2">
      <w:pPr>
        <w:pStyle w:val="5"/>
        <w:spacing w:before="110" w:line="360" w:lineRule="auto"/>
        <w:ind w:firstLine="500" w:firstLineChars="0"/>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lang w:val="en-US" w:eastAsia="zh-CN"/>
        </w:rPr>
        <w:t>3、</w:t>
      </w:r>
      <w:r>
        <w:rPr>
          <w:rFonts w:hint="eastAsia" w:ascii="仿宋" w:hAnsi="仿宋" w:eastAsia="仿宋" w:cs="仿宋"/>
          <w:b w:val="0"/>
          <w:bCs w:val="0"/>
          <w:spacing w:val="-5"/>
          <w:sz w:val="24"/>
          <w:szCs w:val="24"/>
        </w:rPr>
        <w:t>取消外汇管制</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允许经常账户自由兑换，促进国际贸易结算</w:t>
      </w:r>
      <w:r>
        <w:rPr>
          <w:rFonts w:hint="eastAsia" w:ascii="仿宋" w:hAnsi="仿宋" w:eastAsia="仿宋" w:cs="仿宋"/>
          <w:b w:val="0"/>
          <w:bCs w:val="0"/>
          <w:spacing w:val="-5"/>
          <w:sz w:val="24"/>
          <w:szCs w:val="24"/>
          <w:lang w:eastAsia="zh-CN"/>
        </w:rPr>
        <w:t>。</w:t>
      </w:r>
    </w:p>
    <w:p w14:paraId="577510D5">
      <w:pPr>
        <w:pStyle w:val="5"/>
        <w:spacing w:before="110" w:line="360" w:lineRule="auto"/>
        <w:ind w:left="22"/>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rPr>
        <w:t>（二）金融领域：IMF与世界银行的职能​</w:t>
      </w:r>
    </w:p>
    <w:p w14:paraId="19015695">
      <w:pPr>
        <w:pStyle w:val="5"/>
        <w:spacing w:before="110" w:line="360" w:lineRule="auto"/>
        <w:ind w:left="22" w:leftChars="0" w:firstLine="500" w:firstLineChars="0"/>
        <w:jc w:val="both"/>
        <w:rPr>
          <w:rFonts w:hint="eastAsia" w:ascii="仿宋" w:hAnsi="仿宋" w:eastAsia="仿宋" w:cs="仿宋"/>
          <w:b w:val="0"/>
          <w:bCs w:val="0"/>
          <w:spacing w:val="-5"/>
          <w:sz w:val="24"/>
          <w:szCs w:val="24"/>
          <w:lang w:eastAsia="zh-CN"/>
        </w:rPr>
      </w:pPr>
      <w:r>
        <w:rPr>
          <w:rFonts w:hint="eastAsia" w:ascii="仿宋" w:hAnsi="仿宋" w:eastAsia="仿宋" w:cs="仿宋"/>
          <w:b w:val="0"/>
          <w:bCs w:val="0"/>
          <w:spacing w:val="-5"/>
          <w:sz w:val="24"/>
          <w:szCs w:val="24"/>
          <w:lang w:val="en-US" w:eastAsia="zh-CN"/>
        </w:rPr>
        <w:t>1、</w:t>
      </w:r>
      <w:r>
        <w:rPr>
          <w:rFonts w:hint="eastAsia" w:ascii="仿宋" w:hAnsi="仿宋" w:eastAsia="仿宋" w:cs="仿宋"/>
          <w:b w:val="0"/>
          <w:bCs w:val="0"/>
          <w:spacing w:val="-5"/>
          <w:sz w:val="24"/>
          <w:szCs w:val="24"/>
        </w:rPr>
        <w:t>国际货币基金组织（IMF）</w:t>
      </w:r>
      <w:r>
        <w:rPr>
          <w:rFonts w:hint="eastAsia" w:ascii="仿宋" w:hAnsi="仿宋" w:eastAsia="仿宋" w:cs="仿宋"/>
          <w:b w:val="0"/>
          <w:bCs w:val="0"/>
          <w:spacing w:val="-5"/>
          <w:sz w:val="24"/>
          <w:szCs w:val="24"/>
          <w:lang w:val="en-US" w:eastAsia="zh-CN"/>
        </w:rPr>
        <w:t>的职能</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监督与稳定：监测成员国汇率政策，提供短期贷款（如缓冲库存贷款）应对国际收支危机</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资金融通：成员国按认缴份额缴纳资金，投票权与份额挂钩（如美国占27%投票权，具有一票否决权）</w:t>
      </w:r>
      <w:r>
        <w:rPr>
          <w:rFonts w:hint="eastAsia" w:ascii="仿宋" w:hAnsi="仿宋" w:eastAsia="仿宋" w:cs="仿宋"/>
          <w:b w:val="0"/>
          <w:bCs w:val="0"/>
          <w:spacing w:val="-5"/>
          <w:sz w:val="24"/>
          <w:szCs w:val="24"/>
          <w:lang w:eastAsia="zh-CN"/>
        </w:rPr>
        <w:t>。</w:t>
      </w:r>
    </w:p>
    <w:p w14:paraId="2E1DF582">
      <w:pPr>
        <w:pStyle w:val="5"/>
        <w:spacing w:before="110" w:line="360" w:lineRule="auto"/>
        <w:ind w:firstLine="500" w:firstLineChars="0"/>
        <w:jc w:val="both"/>
        <w:rPr>
          <w:rFonts w:hint="eastAsia" w:ascii="仿宋" w:hAnsi="仿宋" w:eastAsia="仿宋" w:cs="仿宋"/>
          <w:b w:val="0"/>
          <w:bCs w:val="0"/>
          <w:spacing w:val="-5"/>
          <w:sz w:val="24"/>
          <w:szCs w:val="24"/>
          <w:lang w:eastAsia="zh-CN"/>
        </w:rPr>
      </w:pPr>
      <w:r>
        <w:rPr>
          <w:rFonts w:hint="eastAsia" w:ascii="仿宋" w:hAnsi="仿宋" w:eastAsia="仿宋" w:cs="仿宋"/>
          <w:b w:val="0"/>
          <w:bCs w:val="0"/>
          <w:spacing w:val="-5"/>
          <w:sz w:val="24"/>
          <w:szCs w:val="24"/>
          <w:lang w:val="en-US" w:eastAsia="zh-CN"/>
        </w:rPr>
        <w:t>2、</w:t>
      </w:r>
      <w:r>
        <w:rPr>
          <w:rFonts w:hint="eastAsia" w:ascii="仿宋" w:hAnsi="仿宋" w:eastAsia="仿宋" w:cs="仿宋"/>
          <w:b w:val="0"/>
          <w:bCs w:val="0"/>
          <w:spacing w:val="-5"/>
          <w:sz w:val="24"/>
          <w:szCs w:val="24"/>
        </w:rPr>
        <w:t>世界银行（WB）</w:t>
      </w:r>
      <w:r>
        <w:rPr>
          <w:rFonts w:hint="eastAsia" w:ascii="仿宋" w:hAnsi="仿宋" w:eastAsia="仿宋" w:cs="仿宋"/>
          <w:b w:val="0"/>
          <w:bCs w:val="0"/>
          <w:spacing w:val="-5"/>
          <w:sz w:val="24"/>
          <w:szCs w:val="24"/>
          <w:lang w:val="en-US" w:eastAsia="zh-CN"/>
        </w:rPr>
        <w:t>的职能</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长期发展援助：提供低息贷款和技术支持，推动基础设施建设和减贫（如战后欧洲复兴计划）</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结构调整：20世纪80年代后转向发展中国家债务重组和市场化改革</w:t>
      </w:r>
      <w:r>
        <w:rPr>
          <w:rFonts w:hint="eastAsia" w:ascii="仿宋" w:hAnsi="仿宋" w:eastAsia="仿宋" w:cs="仿宋"/>
          <w:b w:val="0"/>
          <w:bCs w:val="0"/>
          <w:spacing w:val="-5"/>
          <w:sz w:val="24"/>
          <w:szCs w:val="24"/>
          <w:lang w:eastAsia="zh-CN"/>
        </w:rPr>
        <w:t>。</w:t>
      </w:r>
    </w:p>
    <w:p w14:paraId="426838D4">
      <w:pPr>
        <w:pStyle w:val="5"/>
        <w:spacing w:before="110" w:line="360" w:lineRule="auto"/>
        <w:ind w:firstLine="500" w:firstLineChars="0"/>
        <w:jc w:val="both"/>
        <w:rPr>
          <w:rFonts w:hint="eastAsia" w:ascii="仿宋" w:hAnsi="仿宋" w:eastAsia="仿宋" w:cs="仿宋"/>
          <w:b w:val="0"/>
          <w:bCs w:val="0"/>
          <w:spacing w:val="-5"/>
          <w:sz w:val="24"/>
          <w:szCs w:val="24"/>
          <w:lang w:eastAsia="zh-CN"/>
        </w:rPr>
      </w:pPr>
      <w:r>
        <w:rPr>
          <w:rFonts w:hint="eastAsia" w:ascii="仿宋" w:hAnsi="仿宋" w:eastAsia="仿宋" w:cs="仿宋"/>
          <w:b w:val="0"/>
          <w:bCs w:val="0"/>
          <w:spacing w:val="-5"/>
          <w:sz w:val="24"/>
          <w:szCs w:val="24"/>
          <w:lang w:val="en-US" w:eastAsia="zh-CN"/>
        </w:rPr>
        <w:t>3、</w:t>
      </w:r>
      <w:r>
        <w:rPr>
          <w:rFonts w:hint="eastAsia" w:ascii="仿宋" w:hAnsi="仿宋" w:eastAsia="仿宋" w:cs="仿宋"/>
          <w:b w:val="0"/>
          <w:bCs w:val="0"/>
          <w:spacing w:val="-5"/>
          <w:sz w:val="24"/>
          <w:szCs w:val="24"/>
        </w:rPr>
        <w:t>局限性：IMF的贷款条件常附带紧缩政策（如削减公共支出），加剧受援国经济困境；世界银行项目常忽视本地实际需求</w:t>
      </w:r>
      <w:r>
        <w:rPr>
          <w:rFonts w:hint="eastAsia" w:ascii="仿宋" w:hAnsi="仿宋" w:eastAsia="仿宋" w:cs="仿宋"/>
          <w:b w:val="0"/>
          <w:bCs w:val="0"/>
          <w:spacing w:val="-5"/>
          <w:sz w:val="24"/>
          <w:szCs w:val="24"/>
          <w:lang w:eastAsia="zh-CN"/>
        </w:rPr>
        <w:t>。</w:t>
      </w:r>
    </w:p>
    <w:p w14:paraId="152DAE20">
      <w:pPr>
        <w:pStyle w:val="5"/>
        <w:spacing w:before="110" w:line="360" w:lineRule="auto"/>
        <w:ind w:left="22"/>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rPr>
        <w:t>（三）贸易领域：间接推动多边贸易体系​</w:t>
      </w:r>
    </w:p>
    <w:p w14:paraId="499C057C">
      <w:pPr>
        <w:pStyle w:val="5"/>
        <w:spacing w:before="110" w:line="360" w:lineRule="auto"/>
        <w:ind w:firstLine="500" w:firstLineChars="0"/>
        <w:jc w:val="both"/>
        <w:rPr>
          <w:rFonts w:hint="eastAsia" w:ascii="仿宋" w:hAnsi="仿宋" w:eastAsia="仿宋" w:cs="仿宋"/>
          <w:b w:val="0"/>
          <w:bCs w:val="0"/>
          <w:spacing w:val="-5"/>
          <w:sz w:val="24"/>
          <w:szCs w:val="24"/>
        </w:rPr>
      </w:pPr>
      <w:bookmarkStart w:id="0" w:name="_GoBack"/>
      <w:bookmarkEnd w:id="0"/>
      <w:r>
        <w:rPr>
          <w:rFonts w:hint="eastAsia" w:ascii="仿宋" w:hAnsi="仿宋" w:eastAsia="仿宋" w:cs="仿宋"/>
          <w:b w:val="0"/>
          <w:bCs w:val="0"/>
          <w:spacing w:val="-5"/>
          <w:sz w:val="24"/>
          <w:szCs w:val="24"/>
          <w:lang w:val="en-US" w:eastAsia="zh-CN"/>
        </w:rPr>
        <w:t>1、</w:t>
      </w:r>
      <w:r>
        <w:rPr>
          <w:rFonts w:hint="eastAsia" w:ascii="仿宋" w:hAnsi="仿宋" w:eastAsia="仿宋" w:cs="仿宋"/>
          <w:b w:val="0"/>
          <w:bCs w:val="0"/>
          <w:spacing w:val="-5"/>
          <w:sz w:val="24"/>
          <w:szCs w:val="24"/>
        </w:rPr>
        <w:t>汇率稳定降低交易风险</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固定汇率减少汇率波动对进出口的影响，1950-1970年全球贸易额年均增长8%，远超战前水平</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2、</w:t>
      </w:r>
      <w:r>
        <w:rPr>
          <w:rFonts w:hint="eastAsia" w:ascii="仿宋" w:hAnsi="仿宋" w:eastAsia="仿宋" w:cs="仿宋"/>
          <w:b w:val="0"/>
          <w:bCs w:val="0"/>
          <w:spacing w:val="-5"/>
          <w:sz w:val="24"/>
          <w:szCs w:val="24"/>
        </w:rPr>
        <w:t>与关贸总协定（GATT）协同</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布雷顿森林体系提供货币稳定框架，GATT（后演变为WTO）推动关税削减，共同促进贸易自由化</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3、</w:t>
      </w:r>
      <w:r>
        <w:rPr>
          <w:rFonts w:hint="eastAsia" w:ascii="仿宋" w:hAnsi="仿宋" w:eastAsia="仿宋" w:cs="仿宋"/>
          <w:b w:val="0"/>
          <w:bCs w:val="0"/>
          <w:spacing w:val="-5"/>
          <w:sz w:val="24"/>
          <w:szCs w:val="24"/>
        </w:rPr>
        <w:t>美元流动性支撑贸易结算</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rPr>
        <w:t>美元作为主要国际支付手段，解决了黄金储备不足的问题，1945年全球美元储备占比超70%</w:t>
      </w:r>
      <w:r>
        <w:rPr>
          <w:rFonts w:hint="eastAsia" w:ascii="仿宋" w:hAnsi="仿宋" w:eastAsia="仿宋" w:cs="仿宋"/>
          <w:b w:val="0"/>
          <w:bCs w:val="0"/>
          <w:spacing w:val="-5"/>
          <w:sz w:val="24"/>
          <w:szCs w:val="24"/>
          <w:lang w:eastAsia="zh-CN"/>
        </w:rPr>
        <w:t>。</w:t>
      </w:r>
    </w:p>
    <w:p w14:paraId="26714F18">
      <w:pPr>
        <w:pStyle w:val="5"/>
        <w:spacing w:before="110" w:line="360" w:lineRule="auto"/>
        <w:ind w:left="22"/>
        <w:jc w:val="both"/>
        <w:rPr>
          <w:rFonts w:hint="eastAsia" w:ascii="仿宋" w:hAnsi="仿宋" w:eastAsia="仿宋" w:cs="仿宋"/>
          <w:b/>
          <w:bCs/>
          <w:spacing w:val="-5"/>
          <w:sz w:val="24"/>
          <w:szCs w:val="24"/>
        </w:rPr>
      </w:pPr>
      <w:r>
        <w:rPr>
          <w:rFonts w:hint="eastAsia" w:ascii="仿宋" w:hAnsi="仿宋" w:eastAsia="仿宋" w:cs="仿宋"/>
          <w:b/>
          <w:bCs/>
          <w:spacing w:val="-5"/>
          <w:sz w:val="24"/>
          <w:szCs w:val="24"/>
        </w:rPr>
        <w:t>三、历史作用与崩溃原因</w:t>
      </w:r>
    </w:p>
    <w:p w14:paraId="2127CCC0">
      <w:pPr>
        <w:pStyle w:val="5"/>
        <w:spacing w:before="110" w:line="360" w:lineRule="auto"/>
        <w:ind w:left="22"/>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rPr>
        <w:t>（一）积极影响</w:t>
      </w:r>
    </w:p>
    <w:p w14:paraId="629E778E">
      <w:pPr>
        <w:pStyle w:val="5"/>
        <w:spacing w:before="110" w:line="360" w:lineRule="auto"/>
        <w:ind w:left="22" w:leftChars="0" w:firstLine="500" w:firstLineChars="0"/>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lang w:val="en-US" w:eastAsia="zh-CN"/>
        </w:rPr>
        <w:t>1、</w:t>
      </w:r>
      <w:r>
        <w:rPr>
          <w:rFonts w:hint="eastAsia" w:ascii="仿宋" w:hAnsi="仿宋" w:eastAsia="仿宋" w:cs="仿宋"/>
          <w:b w:val="0"/>
          <w:bCs w:val="0"/>
          <w:spacing w:val="-5"/>
          <w:sz w:val="24"/>
          <w:szCs w:val="24"/>
        </w:rPr>
        <w:t>战后经济复苏：通过马歇尔计划等向欧洲注入130亿美元（现值约1.5万亿美元），推动1950年代西欧GDP年均增长4.5%</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2、</w:t>
      </w:r>
      <w:r>
        <w:rPr>
          <w:rFonts w:hint="eastAsia" w:ascii="仿宋" w:hAnsi="仿宋" w:eastAsia="仿宋" w:cs="仿宋"/>
          <w:b w:val="0"/>
          <w:bCs w:val="0"/>
          <w:spacing w:val="-5"/>
          <w:sz w:val="24"/>
          <w:szCs w:val="24"/>
        </w:rPr>
        <w:t>金融秩序重建：终结货币战争，1945-1971年国际资本流动规模增长超10倍</w:t>
      </w:r>
    </w:p>
    <w:p w14:paraId="3290D670">
      <w:pPr>
        <w:pStyle w:val="5"/>
        <w:spacing w:before="110" w:line="360" w:lineRule="auto"/>
        <w:ind w:left="22"/>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rPr>
        <w:t>（二）体系崩溃（1971-1973年）</w:t>
      </w:r>
    </w:p>
    <w:p w14:paraId="17AE571C">
      <w:pPr>
        <w:pStyle w:val="5"/>
        <w:spacing w:before="110" w:line="360" w:lineRule="auto"/>
        <w:ind w:left="22" w:leftChars="0" w:firstLine="500" w:firstLineChars="0"/>
        <w:jc w:val="both"/>
        <w:rPr>
          <w:rFonts w:hint="eastAsia" w:ascii="仿宋" w:hAnsi="仿宋" w:eastAsia="仿宋" w:cs="仿宋"/>
          <w:b w:val="0"/>
          <w:bCs w:val="0"/>
          <w:spacing w:val="-5"/>
          <w:sz w:val="24"/>
          <w:szCs w:val="24"/>
          <w:lang w:eastAsia="zh-CN"/>
        </w:rPr>
      </w:pPr>
      <w:r>
        <w:rPr>
          <w:rFonts w:hint="eastAsia" w:ascii="仿宋" w:hAnsi="仿宋" w:eastAsia="仿宋" w:cs="仿宋"/>
          <w:b w:val="0"/>
          <w:bCs w:val="0"/>
          <w:spacing w:val="-5"/>
          <w:sz w:val="24"/>
          <w:szCs w:val="24"/>
          <w:lang w:val="en-US" w:eastAsia="zh-CN"/>
        </w:rPr>
        <w:t>1、</w:t>
      </w:r>
      <w:r>
        <w:rPr>
          <w:rFonts w:hint="eastAsia" w:ascii="仿宋" w:hAnsi="仿宋" w:eastAsia="仿宋" w:cs="仿宋"/>
          <w:b w:val="0"/>
          <w:bCs w:val="0"/>
          <w:spacing w:val="-5"/>
          <w:sz w:val="24"/>
          <w:szCs w:val="24"/>
        </w:rPr>
        <w:t>美元危机频发：1960年代美国黄金储备从2万吨降至不足1万吨，1971年尼克松宣布美元与黄金脱钩</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2、</w:t>
      </w:r>
      <w:r>
        <w:rPr>
          <w:rFonts w:hint="eastAsia" w:ascii="仿宋" w:hAnsi="仿宋" w:eastAsia="仿宋" w:cs="仿宋"/>
          <w:b w:val="0"/>
          <w:bCs w:val="0"/>
          <w:spacing w:val="-5"/>
          <w:sz w:val="24"/>
          <w:szCs w:val="24"/>
        </w:rPr>
        <w:t>特里芬难题爆发：全球美元需求激增与美国黄金储备不足的矛盾不可调和</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3、</w:t>
      </w:r>
      <w:r>
        <w:rPr>
          <w:rFonts w:hint="eastAsia" w:ascii="仿宋" w:hAnsi="仿宋" w:eastAsia="仿宋" w:cs="仿宋"/>
          <w:b w:val="0"/>
          <w:bCs w:val="0"/>
          <w:spacing w:val="-5"/>
          <w:sz w:val="24"/>
          <w:szCs w:val="24"/>
        </w:rPr>
        <w:t>浮动汇率时代开启：1973年主要国家转向浮动汇率制，布雷顿森林体系终结</w:t>
      </w:r>
      <w:r>
        <w:rPr>
          <w:rFonts w:hint="eastAsia" w:ascii="仿宋" w:hAnsi="仿宋" w:eastAsia="仿宋" w:cs="仿宋"/>
          <w:b w:val="0"/>
          <w:bCs w:val="0"/>
          <w:spacing w:val="-5"/>
          <w:sz w:val="24"/>
          <w:szCs w:val="24"/>
          <w:lang w:eastAsia="zh-CN"/>
        </w:rPr>
        <w:t>。</w:t>
      </w:r>
    </w:p>
    <w:p w14:paraId="49DCF2AB">
      <w:pPr>
        <w:pStyle w:val="5"/>
        <w:spacing w:before="110" w:line="360" w:lineRule="auto"/>
        <w:ind w:left="22"/>
        <w:jc w:val="both"/>
        <w:rPr>
          <w:rFonts w:hint="eastAsia" w:ascii="仿宋" w:hAnsi="仿宋" w:eastAsia="仿宋" w:cs="仿宋"/>
          <w:b/>
          <w:bCs/>
          <w:spacing w:val="-5"/>
          <w:sz w:val="24"/>
          <w:szCs w:val="24"/>
        </w:rPr>
      </w:pPr>
      <w:r>
        <w:rPr>
          <w:rFonts w:hint="eastAsia" w:ascii="仿宋" w:hAnsi="仿宋" w:eastAsia="仿宋" w:cs="仿宋"/>
          <w:b/>
          <w:bCs/>
          <w:spacing w:val="-5"/>
          <w:sz w:val="24"/>
          <w:szCs w:val="24"/>
        </w:rPr>
        <w:t>四、遗产与启示</w:t>
      </w:r>
    </w:p>
    <w:p w14:paraId="171D283F">
      <w:pPr>
        <w:pStyle w:val="5"/>
        <w:spacing w:before="110" w:line="360" w:lineRule="auto"/>
        <w:ind w:left="22" w:leftChars="0" w:firstLine="500" w:firstLineChars="0"/>
        <w:jc w:val="both"/>
        <w:rPr>
          <w:rFonts w:hint="eastAsia" w:ascii="仿宋" w:hAnsi="仿宋" w:eastAsia="仿宋" w:cs="仿宋"/>
          <w:b w:val="0"/>
          <w:bCs w:val="0"/>
          <w:spacing w:val="-5"/>
          <w:sz w:val="24"/>
          <w:szCs w:val="24"/>
          <w:lang w:eastAsia="zh-CN"/>
        </w:rPr>
      </w:pPr>
      <w:r>
        <w:rPr>
          <w:rFonts w:hint="eastAsia" w:ascii="仿宋" w:hAnsi="仿宋" w:eastAsia="仿宋" w:cs="仿宋"/>
          <w:b w:val="0"/>
          <w:bCs w:val="0"/>
          <w:spacing w:val="-5"/>
          <w:sz w:val="24"/>
          <w:szCs w:val="24"/>
          <w:lang w:val="en-US" w:eastAsia="zh-CN"/>
        </w:rPr>
        <w:t>1、</w:t>
      </w:r>
      <w:r>
        <w:rPr>
          <w:rFonts w:hint="eastAsia" w:ascii="仿宋" w:hAnsi="仿宋" w:eastAsia="仿宋" w:cs="仿宋"/>
          <w:b w:val="0"/>
          <w:bCs w:val="0"/>
          <w:spacing w:val="-5"/>
          <w:sz w:val="24"/>
          <w:szCs w:val="24"/>
        </w:rPr>
        <w:t>机构延续性：IMF和世界银行至今仍是全球经济治理核心，2023年IMF份额改革后新兴经济体话语权提升</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2、</w:t>
      </w:r>
      <w:r>
        <w:rPr>
          <w:rFonts w:hint="eastAsia" w:ascii="仿宋" w:hAnsi="仿宋" w:eastAsia="仿宋" w:cs="仿宋"/>
          <w:b w:val="0"/>
          <w:bCs w:val="0"/>
          <w:spacing w:val="-5"/>
          <w:sz w:val="24"/>
          <w:szCs w:val="24"/>
        </w:rPr>
        <w:t>制度设计反思：单一主权货币主导的体系存在脆弱性，推动多元储备货币（如SDR）和区域货币合作（如欧元）</w:t>
      </w:r>
      <w:r>
        <w:rPr>
          <w:rFonts w:hint="eastAsia" w:ascii="仿宋" w:hAnsi="仿宋" w:eastAsia="仿宋" w:cs="仿宋"/>
          <w:b w:val="0"/>
          <w:bCs w:val="0"/>
          <w:spacing w:val="-5"/>
          <w:sz w:val="24"/>
          <w:szCs w:val="24"/>
          <w:lang w:eastAsia="zh-CN"/>
        </w:rPr>
        <w:t>。</w:t>
      </w:r>
      <w:r>
        <w:rPr>
          <w:rFonts w:hint="eastAsia" w:ascii="仿宋" w:hAnsi="仿宋" w:eastAsia="仿宋" w:cs="仿宋"/>
          <w:b w:val="0"/>
          <w:bCs w:val="0"/>
          <w:spacing w:val="-5"/>
          <w:sz w:val="24"/>
          <w:szCs w:val="24"/>
          <w:lang w:val="en-US" w:eastAsia="zh-CN"/>
        </w:rPr>
        <w:t>3、</w:t>
      </w:r>
      <w:r>
        <w:rPr>
          <w:rFonts w:hint="eastAsia" w:ascii="仿宋" w:hAnsi="仿宋" w:eastAsia="仿宋" w:cs="仿宋"/>
          <w:b w:val="0"/>
          <w:bCs w:val="0"/>
          <w:spacing w:val="-5"/>
          <w:sz w:val="24"/>
          <w:szCs w:val="24"/>
        </w:rPr>
        <w:t>全球化挑战：当前数字货币（如CBDC）和去美元化趋势，可能重塑未来国际货币体系</w:t>
      </w:r>
      <w:r>
        <w:rPr>
          <w:rFonts w:hint="eastAsia" w:ascii="仿宋" w:hAnsi="仿宋" w:eastAsia="仿宋" w:cs="仿宋"/>
          <w:b w:val="0"/>
          <w:bCs w:val="0"/>
          <w:spacing w:val="-5"/>
          <w:sz w:val="24"/>
          <w:szCs w:val="24"/>
          <w:lang w:eastAsia="zh-CN"/>
        </w:rPr>
        <w:t>。</w:t>
      </w:r>
    </w:p>
    <w:p w14:paraId="46D51EB2">
      <w:pPr>
        <w:pStyle w:val="5"/>
        <w:spacing w:before="110" w:line="360" w:lineRule="auto"/>
        <w:ind w:firstLine="500" w:firstLineChars="0"/>
        <w:jc w:val="both"/>
        <w:rPr>
          <w:rFonts w:hint="eastAsia" w:ascii="仿宋" w:hAnsi="仿宋" w:eastAsia="仿宋" w:cs="仿宋"/>
          <w:b w:val="0"/>
          <w:bCs w:val="0"/>
          <w:spacing w:val="-5"/>
          <w:sz w:val="24"/>
          <w:szCs w:val="24"/>
        </w:rPr>
      </w:pPr>
      <w:r>
        <w:rPr>
          <w:rFonts w:hint="eastAsia" w:ascii="仿宋" w:hAnsi="仿宋" w:eastAsia="仿宋" w:cs="仿宋"/>
          <w:b w:val="0"/>
          <w:bCs w:val="0"/>
          <w:spacing w:val="-5"/>
          <w:sz w:val="24"/>
          <w:szCs w:val="24"/>
        </w:rPr>
        <w:t>布雷顿森林体系虽已瓦解，但其构建的美元霸权、国际金融机构框架及全球化理念，仍深刻影响着21世纪的经济格局。</w:t>
      </w:r>
    </w:p>
    <w:p w14:paraId="1202A08A">
      <w:pPr>
        <w:pStyle w:val="5"/>
        <w:spacing w:before="110" w:line="360" w:lineRule="auto"/>
        <w:ind w:left="22"/>
        <w:jc w:val="both"/>
        <w:rPr>
          <w:rFonts w:hint="eastAsia" w:ascii="仿宋" w:hAnsi="仿宋" w:eastAsia="仿宋" w:cs="仿宋"/>
          <w:b/>
          <w:bCs/>
          <w:spacing w:val="-5"/>
          <w:sz w:val="24"/>
          <w:szCs w:val="24"/>
        </w:rPr>
      </w:pPr>
    </w:p>
    <w:p w14:paraId="455A9316">
      <w:pPr>
        <w:pStyle w:val="5"/>
        <w:spacing w:before="110" w:line="360" w:lineRule="auto"/>
        <w:ind w:left="22"/>
        <w:jc w:val="both"/>
        <w:rPr>
          <w:rFonts w:hint="eastAsia" w:ascii="仿宋" w:hAnsi="仿宋" w:eastAsia="仿宋" w:cs="仿宋"/>
          <w:b/>
          <w:bCs/>
          <w:spacing w:val="-5"/>
          <w:sz w:val="24"/>
          <w:szCs w:val="24"/>
        </w:rPr>
      </w:pPr>
    </w:p>
    <w:sectPr>
      <w:pgSz w:w="11907" w:h="16839"/>
      <w:pgMar w:top="1431" w:right="1785" w:bottom="1786"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標楷體">
    <w:panose1 w:val="02010601000101010101"/>
    <w:charset w:val="00"/>
    <w:family w:val="auto"/>
    <w:pitch w:val="default"/>
    <w:sig w:usb0="00000000" w:usb1="00000000" w:usb2="00000000" w:usb3="00000000" w:csb0="00000000" w:csb1="00000000"/>
  </w:font>
  <w:font w:name="PingFang HK Regular">
    <w:panose1 w:val="020B0400000000000000"/>
    <w:charset w:val="88"/>
    <w:family w:val="auto"/>
    <w:pitch w:val="default"/>
    <w:sig w:usb0="A00002FF" w:usb1="7ACFFDFB" w:usb2="00000017" w:usb3="00000000" w:csb0="00100001" w:csb1="00000000"/>
  </w:font>
  <w:font w:name="蘋果儷細宋">
    <w:panose1 w:val="00000000000000000000"/>
    <w:charset w:val="88"/>
    <w:family w:val="auto"/>
    <w:pitch w:val="default"/>
    <w:sig w:usb0="800000E3" w:usb1="30C97878" w:usb2="00000016" w:usb3="00000000" w:csb0="00100000" w:csb1="00000000"/>
  </w:font>
  <w:font w:name="Xingkai TC Light">
    <w:panose1 w:val="02010800040101010101"/>
    <w:charset w:val="86"/>
    <w:family w:val="auto"/>
    <w:pitch w:val="default"/>
    <w:sig w:usb0="00000001" w:usb1="080F0000" w:usb2="00000000" w:usb3="00000000" w:csb0="00040000" w:csb1="00000000"/>
  </w:font>
  <w:font w:name="蘋果儷中黑">
    <w:panose1 w:val="00000000000000000000"/>
    <w:charset w:val="00"/>
    <w:family w:val="auto"/>
    <w:pitch w:val="default"/>
    <w:sig w:usb0="800000E3" w:usb1="30C97878" w:usb2="00000016" w:usb3="00000000" w:csb0="00000001" w:csb1="00000000"/>
  </w:font>
  <w:font w:name="PingFang TC Regular">
    <w:panose1 w:val="020B0400000000000000"/>
    <w:charset w:val="88"/>
    <w:family w:val="auto"/>
    <w:pitch w:val="default"/>
    <w:sig w:usb0="A00002FF" w:usb1="7ACFFDFB" w:usb2="00000017" w:usb3="00000000" w:csb0="00100001"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var(--yb-font-body-large)">
    <w:altName w:val="苹方-简"/>
    <w:panose1 w:val="00000000000000000000"/>
    <w:charset w:val="00"/>
    <w:family w:val="auto"/>
    <w:pitch w:val="default"/>
    <w:sig w:usb0="00000000" w:usb1="00000000" w:usb2="00000000" w:usb3="00000000" w:csb0="00000000" w:csb1="00000000"/>
  </w:font>
  <w:font w:name="var(--yb-font-title-3)">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var(--yb-font-body-medium)">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CB072"/>
    <w:multiLevelType w:val="singleLevel"/>
    <w:tmpl w:val="F7FCB072"/>
    <w:lvl w:ilvl="0" w:tentative="0">
      <w:start w:val="1"/>
      <w:numFmt w:val="decimal"/>
      <w:suff w:val="nothing"/>
      <w:lvlText w:val="（%1）"/>
      <w:lvlJc w:val="left"/>
    </w:lvl>
  </w:abstractNum>
  <w:abstractNum w:abstractNumId="1">
    <w:nsid w:val="FF9AF17F"/>
    <w:multiLevelType w:val="singleLevel"/>
    <w:tmpl w:val="FF9AF17F"/>
    <w:lvl w:ilvl="0" w:tentative="0">
      <w:start w:val="2"/>
      <w:numFmt w:val="decimal"/>
      <w:suff w:val="nothing"/>
      <w:lvlText w:val="%1、"/>
      <w:lvlJc w:val="left"/>
    </w:lvl>
  </w:abstractNum>
  <w:abstractNum w:abstractNumId="2">
    <w:nsid w:val="5EBC2460"/>
    <w:multiLevelType w:val="singleLevel"/>
    <w:tmpl w:val="5EBC2460"/>
    <w:lvl w:ilvl="0" w:tentative="0">
      <w:start w:val="5"/>
      <w:numFmt w:val="decimal"/>
      <w:suff w:val="nothing"/>
      <w:lvlText w:val="（%1）"/>
      <w:lvlJc w:val="left"/>
    </w:lvl>
  </w:abstractNum>
  <w:abstractNum w:abstractNumId="3">
    <w:nsid w:val="7EB6B1D3"/>
    <w:multiLevelType w:val="singleLevel"/>
    <w:tmpl w:val="7EB6B1D3"/>
    <w:lvl w:ilvl="0" w:tentative="0">
      <w:start w:val="1"/>
      <w:numFmt w:val="chineseCounting"/>
      <w:suff w:val="nothing"/>
      <w:lvlText w:val="%1、"/>
      <w:lvlJc w:val="left"/>
      <w:rPr>
        <w:rFonts w:hint="eastAsi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FEFCF00"/>
    <w:rsid w:val="712EE311"/>
    <w:rsid w:val="757AC4D3"/>
    <w:rsid w:val="774ED1AE"/>
    <w:rsid w:val="EDFF837E"/>
    <w:rsid w:val="FBFF6CA4"/>
    <w:rsid w:val="FF9C0895"/>
    <w:rsid w:val="FFE911E0"/>
    <w:rsid w:val="FFFF6C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PingFang SC" w:hAnsi="PingFang SC" w:eastAsia="PingFang SC" w:cs="PingFang SC"/>
      <w:sz w:val="24"/>
      <w:szCs w:val="24"/>
      <w:lang w:val="en-US" w:eastAsia="en-US" w:bidi="ar-SA"/>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157</TotalTime>
  <ScaleCrop>false</ScaleCrop>
  <LinksUpToDate>false</LinksUpToDate>
  <Application>WPS Office_7.5.1.8994_F1E327BC-269C-435d-A152-05C5408002CA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2021-12-07T23:02:00Z</dcterms:created>
  <dc:creator>程</dc:creator>
  <cp:lastModifiedBy>Hayakuku_L</cp:lastModifiedBy>
  <dcterms:modified xsi:type="dcterms:W3CDTF">2025-06-23T17:10:27Z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2025-06-23T14:24:48Z</vt:filetime>
  </property>
  <property fmtid="{D5CDD505-2E9C-101B-9397-08002B2CF9AE}" pid="4" name="KSOProductBuildVer">
    <vt:lpwstr>2052-7.5.1.8994</vt:lpwstr>
  </property>
  <property fmtid="{D5CDD505-2E9C-101B-9397-08002B2CF9AE}" pid="5" name="ICV">
    <vt:lpwstr>EB5D1E60A86C7FA5D500596810BBC298_42</vt:lpwstr>
  </property>
</Properties>
</file>