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Inter" w:hAnsi="Inter" w:eastAsia="Inter"/>
          <w:b/>
          <w:color w:val="0F1B2E"/>
          <w:sz w:val="64"/>
        </w:rPr>
        <w:t>NetLab One</w:t>
      </w:r>
      <w:r>
        <w:rPr>
          <w:rFonts w:ascii="Inter" w:hAnsi="Inter" w:eastAsia="Inter"/>
          <w:b/>
          <w:color w:val="6B5BD6"/>
          <w:sz w:val="64"/>
        </w:rPr>
        <w:t xml:space="preserve"> Stability</w:t>
      </w:r>
    </w:p>
    <w:p>
      <w:pPr>
        <w:pStyle w:val="SubtitleCustom"/>
        <w:jc w:val="center"/>
      </w:pPr>
      <w:r>
        <w:rPr>
          <w:rFonts w:ascii="Inter" w:hAnsi="Inter" w:eastAsia="Inter"/>
        </w:rPr>
        <w:t>Especificación única de diseño UI/UX para el desarrollo de la plataforma</w:t>
      </w:r>
    </w:p>
    <w:tbl>
      <w:tblPr>
        <w:tblW w:type="auto" w:w="0"/>
        <w:jc w:val="center"/>
        <w:tblLook w:firstColumn="1" w:firstRow="1" w:lastColumn="0" w:lastRow="0" w:noHBand="0" w:noVBand="1" w:val="04A0"/>
      </w:tblPr>
      <w:tblGrid>
        <w:gridCol w:w="2074"/>
        <w:gridCol w:w="2074"/>
        <w:gridCol w:w="2074"/>
        <w:gridCol w:w="2074"/>
        <w:gridCol w:w="2074"/>
      </w:tblGrid>
      <w:tr>
        <w:tc>
          <w:tcPr>
            <w:tcW w:type="dxa" w:w="1699"/>
            <w:shd w:fill="6B5BD6"/>
            <w:tcBorders>
              <w:top w:val="nil"/>
              <w:left w:val="nil"/>
              <w:bottom w:val="nil"/>
              <w:right w:val="nil"/>
            </w:tcBorders>
          </w:tcPr>
          <w:p>
            <w:r>
              <w:t xml:space="preserve"> </w:t>
            </w:r>
          </w:p>
        </w:tc>
        <w:tc>
          <w:tcPr>
            <w:tcW w:type="dxa" w:w="1699"/>
            <w:shd w:fill="2BB5A9"/>
            <w:tcBorders>
              <w:top w:val="nil"/>
              <w:left w:val="nil"/>
              <w:bottom w:val="nil"/>
              <w:right w:val="nil"/>
            </w:tcBorders>
          </w:tcPr>
          <w:p>
            <w:r>
              <w:t xml:space="preserve"> </w:t>
            </w:r>
          </w:p>
        </w:tc>
        <w:tc>
          <w:tcPr>
            <w:tcW w:type="dxa" w:w="1699"/>
            <w:shd w:fill="A9B4F7"/>
            <w:tcBorders>
              <w:top w:val="nil"/>
              <w:left w:val="nil"/>
              <w:bottom w:val="nil"/>
              <w:right w:val="nil"/>
            </w:tcBorders>
          </w:tcPr>
          <w:p>
            <w:r>
              <w:t xml:space="preserve"> </w:t>
            </w:r>
          </w:p>
        </w:tc>
        <w:tc>
          <w:tcPr>
            <w:tcW w:type="dxa" w:w="1699"/>
            <w:shd w:fill="E6F4F2"/>
            <w:tcBorders>
              <w:top w:val="nil"/>
              <w:left w:val="nil"/>
              <w:bottom w:val="nil"/>
              <w:right w:val="nil"/>
            </w:tcBorders>
          </w:tcPr>
          <w:p>
            <w:r>
              <w:t xml:space="preserve"> </w:t>
            </w:r>
          </w:p>
        </w:tc>
        <w:tc>
          <w:tcPr>
            <w:tcW w:type="dxa" w:w="1699"/>
            <w:shd w:fill="0F1B2E"/>
            <w:tcBorders>
              <w:top w:val="nil"/>
              <w:left w:val="nil"/>
              <w:bottom w:val="nil"/>
              <w:right w:val="nil"/>
            </w:tcBorders>
          </w:tcPr>
          <w:p>
            <w:r>
              <w:t xml:space="preserve"> </w:t>
            </w:r>
          </w:p>
        </w:tc>
      </w:tr>
    </w:tbl>
    <w:p>
      <w:pPr>
        <w:jc w:val="center"/>
      </w:pPr>
      <w:r>
        <w:rPr>
          <w:rFonts w:ascii="Inter" w:hAnsi="Inter" w:eastAsia="Inter"/>
          <w:color w:val="64748B"/>
          <w:sz w:val="20"/>
        </w:rPr>
        <w:t>Versión 1.0 · Junio 2026</w:t>
      </w:r>
    </w:p>
    <w:tbl>
      <w:tblPr>
        <w:tblW w:type="auto" w:w="0"/>
        <w:jc w:val="center"/>
        <w:tblLook w:firstColumn="1" w:firstRow="1" w:lastColumn="0" w:lastRow="0" w:noHBand="0" w:noVBand="1" w:val="04A0"/>
      </w:tblPr>
      <w:tblGrid>
        <w:gridCol w:w="259"/>
        <w:gridCol w:w="8784"/>
      </w:tblGrid>
      <w:tr>
        <w:tc>
          <w:tcPr>
            <w:tcW w:type="dxa" w:w="5184"/>
            <w:shd w:fill="6B5BD6"/>
            <w:tcBorders>
              <w:top w:sz="6" w:val="single" w:color="E2E8F0"/>
              <w:left w:sz="6" w:val="single" w:color="E2E8F0"/>
              <w:bottom w:sz="6" w:val="single" w:color="E2E8F0"/>
              <w:right w:sz="6" w:val="single" w:color="E2E8F0"/>
            </w:tcBorders>
            <w:tcMar>
              <w:top w:w="100" w:type="dxa"/>
              <w:start w:w="120" w:type="dxa"/>
              <w:bottom w:w="100" w:type="dxa"/>
              <w:end w:w="120" w:type="dxa"/>
            </w:tcMar>
          </w:tcPr>
          <w:p/>
        </w:tc>
        <w:tc>
          <w:tcPr>
            <w:tcW w:type="dxa" w:w="5184"/>
            <w:shd w:fill="FFFFFF"/>
            <w:tcBorders>
              <w:top w:sz="6" w:val="single" w:color="E2E8F0"/>
              <w:left w:sz="6" w:val="single" w:color="E2E8F0"/>
              <w:bottom w:sz="6" w:val="single" w:color="E2E8F0"/>
              <w:right w:sz="6" w:val="single" w:color="E2E8F0"/>
            </w:tcBorders>
            <w:tcMar>
              <w:top w:w="100" w:type="dxa"/>
              <w:start w:w="120" w:type="dxa"/>
              <w:bottom w:w="100" w:type="dxa"/>
              <w:end w:w="120" w:type="dxa"/>
            </w:tcMar>
          </w:tcPr>
          <w:p>
            <w:r>
              <w:rPr>
                <w:b/>
                <w:color w:val="0F1B2E"/>
                <w:sz w:val="21"/>
              </w:rPr>
              <w:t>Propósito del documento</w:t>
            </w:r>
          </w:p>
          <w:p>
            <w:pPr>
              <w:pStyle w:val="BodyTextSmall"/>
            </w:pPr>
            <w:r>
              <w:t>Centralizar en un único documento las decisiones de branding, diseño visual, navegación, maquetación, componentes, tablas, iconografía, estados y reglas de implementación para que el equipo IT desarrolle NetLab One Stability con una línea visual homogénea y escalable.</w:t>
            </w:r>
          </w:p>
        </w:tc>
      </w:tr>
    </w:tbl>
    <w:tbl>
      <w:tblPr>
        <w:tblW w:type="auto" w:w="0"/>
        <w:jc w:val="center"/>
        <w:tblLook w:firstColumn="1" w:firstRow="1" w:lastColumn="0" w:lastRow="0" w:noHBand="0" w:noVBand="1" w:val="04A0"/>
      </w:tblPr>
      <w:tblGrid>
        <w:gridCol w:w="259"/>
        <w:gridCol w:w="8784"/>
      </w:tblGrid>
      <w:tr>
        <w:tc>
          <w:tcPr>
            <w:tcW w:type="dxa" w:w="5184"/>
            <w:shd w:fill="2BB5A9"/>
            <w:tcBorders>
              <w:top w:sz="6" w:val="single" w:color="E2E8F0"/>
              <w:left w:sz="6" w:val="single" w:color="E2E8F0"/>
              <w:bottom w:sz="6" w:val="single" w:color="E2E8F0"/>
              <w:right w:sz="6" w:val="single" w:color="E2E8F0"/>
            </w:tcBorders>
            <w:tcMar>
              <w:top w:w="100" w:type="dxa"/>
              <w:start w:w="120" w:type="dxa"/>
              <w:bottom w:w="100" w:type="dxa"/>
              <w:end w:w="120" w:type="dxa"/>
            </w:tcMar>
          </w:tcPr>
          <w:p/>
        </w:tc>
        <w:tc>
          <w:tcPr>
            <w:tcW w:type="dxa" w:w="5184"/>
            <w:shd w:fill="FFFFFF"/>
            <w:tcBorders>
              <w:top w:sz="6" w:val="single" w:color="E2E8F0"/>
              <w:left w:sz="6" w:val="single" w:color="E2E8F0"/>
              <w:bottom w:sz="6" w:val="single" w:color="E2E8F0"/>
              <w:right w:sz="6" w:val="single" w:color="E2E8F0"/>
            </w:tcBorders>
            <w:tcMar>
              <w:top w:w="100" w:type="dxa"/>
              <w:start w:w="120" w:type="dxa"/>
              <w:bottom w:w="100" w:type="dxa"/>
              <w:end w:w="120" w:type="dxa"/>
            </w:tcMar>
          </w:tcPr>
          <w:p>
            <w:r>
              <w:rPr>
                <w:b/>
                <w:color w:val="0F1B2E"/>
                <w:sz w:val="21"/>
              </w:rPr>
              <w:t>Decisión de diseño principal</w:t>
            </w:r>
          </w:p>
          <w:p>
            <w:pPr>
              <w:pStyle w:val="BodyTextSmall"/>
            </w:pPr>
            <w:r>
              <w:t>La aplicación se desarrollará como una plataforma web moderna con navegación superior única, sin menú lateral, orientada a maximizar el espacio operativo de tablas, calendarios y procesos de estabilidad.</w:t>
            </w:r>
          </w:p>
        </w:tc>
      </w:tr>
    </w:tbl>
    <w:p>
      <w:r>
        <w:rPr>
          <w:rFonts w:ascii="Inter" w:hAnsi="Inter" w:eastAsia="Inter"/>
        </w:rPr>
        <w:br w:type="page"/>
      </w:r>
    </w:p>
    <w:p>
      <w:pPr>
        <w:pStyle w:val="Heading1Custom"/>
      </w:pPr>
      <w:r>
        <w:rPr>
          <w:rFonts w:ascii="Inter" w:hAnsi="Inter" w:eastAsia="Inter"/>
        </w:rPr>
        <w:t>Índice</w:t>
      </w:r>
    </w:p>
    <w:p>
      <w:pPr>
        <w:pStyle w:val="BodyTextTight"/>
        <w:ind w:left="288"/>
      </w:pPr>
      <w:r>
        <w:rPr>
          <w:rFonts w:ascii="Inter" w:hAnsi="Inter" w:eastAsia="Inter"/>
        </w:rPr>
        <w:t>1. Contexto estratégico y alcance</w:t>
      </w:r>
    </w:p>
    <w:p>
      <w:pPr>
        <w:pStyle w:val="BodyTextTight"/>
        <w:ind w:left="288"/>
      </w:pPr>
      <w:r>
        <w:rPr>
          <w:rFonts w:ascii="Inter" w:hAnsi="Inter" w:eastAsia="Inter"/>
        </w:rPr>
        <w:t>2. Identidad visual de la plataforma</w:t>
      </w:r>
    </w:p>
    <w:p>
      <w:pPr>
        <w:pStyle w:val="BodyTextTight"/>
        <w:ind w:left="288"/>
      </w:pPr>
      <w:r>
        <w:rPr>
          <w:rFonts w:ascii="Inter" w:hAnsi="Inter" w:eastAsia="Inter"/>
        </w:rPr>
        <w:t>3. Arquitectura de navegación</w:t>
      </w:r>
    </w:p>
    <w:p>
      <w:pPr>
        <w:pStyle w:val="BodyTextTight"/>
        <w:ind w:left="288"/>
      </w:pPr>
      <w:r>
        <w:rPr>
          <w:rFonts w:ascii="Inter" w:hAnsi="Inter" w:eastAsia="Inter"/>
        </w:rPr>
        <w:t>4. Layout base de pantalla</w:t>
      </w:r>
    </w:p>
    <w:p>
      <w:pPr>
        <w:pStyle w:val="BodyTextTight"/>
        <w:ind w:left="288"/>
      </w:pPr>
      <w:r>
        <w:rPr>
          <w:rFonts w:ascii="Inter" w:hAnsi="Inter" w:eastAsia="Inter"/>
        </w:rPr>
        <w:t>5. Pantalla Estudios: especificación cerrada</w:t>
      </w:r>
    </w:p>
    <w:p>
      <w:pPr>
        <w:pStyle w:val="BodyTextTight"/>
        <w:ind w:left="288"/>
      </w:pPr>
      <w:r>
        <w:rPr>
          <w:rFonts w:ascii="Inter" w:hAnsi="Inter" w:eastAsia="Inter"/>
        </w:rPr>
        <w:t>6. Componentes UI obligatorios</w:t>
      </w:r>
    </w:p>
    <w:p>
      <w:pPr>
        <w:pStyle w:val="BodyTextTight"/>
        <w:ind w:left="288"/>
      </w:pPr>
      <w:r>
        <w:rPr>
          <w:rFonts w:ascii="Inter" w:hAnsi="Inter" w:eastAsia="Inter"/>
        </w:rPr>
        <w:t>7. Iconografía y acciones</w:t>
      </w:r>
    </w:p>
    <w:p>
      <w:pPr>
        <w:pStyle w:val="BodyTextTight"/>
        <w:ind w:left="288"/>
      </w:pPr>
      <w:r>
        <w:rPr>
          <w:rFonts w:ascii="Inter" w:hAnsi="Inter" w:eastAsia="Inter"/>
        </w:rPr>
        <w:t>8. Estados, badges y colores funcionales</w:t>
      </w:r>
    </w:p>
    <w:p>
      <w:pPr>
        <w:pStyle w:val="BodyTextTight"/>
        <w:ind w:left="288"/>
      </w:pPr>
      <w:r>
        <w:rPr>
          <w:rFonts w:ascii="Inter" w:hAnsi="Inter" w:eastAsia="Inter"/>
        </w:rPr>
        <w:t>9. Accesibilidad y usabilidad</w:t>
      </w:r>
    </w:p>
    <w:p>
      <w:pPr>
        <w:pStyle w:val="BodyTextTight"/>
        <w:ind w:left="288"/>
      </w:pPr>
      <w:r>
        <w:rPr>
          <w:rFonts w:ascii="Inter" w:hAnsi="Inter" w:eastAsia="Inter"/>
        </w:rPr>
        <w:t>10. Reglas de reutilización para otros módulos</w:t>
      </w:r>
    </w:p>
    <w:p>
      <w:pPr>
        <w:pStyle w:val="BodyTextTight"/>
        <w:ind w:left="288"/>
      </w:pPr>
      <w:r>
        <w:rPr>
          <w:rFonts w:ascii="Inter" w:hAnsi="Inter" w:eastAsia="Inter"/>
        </w:rPr>
        <w:t>11. Tokens CSS y ejemplos de implementación</w:t>
      </w:r>
    </w:p>
    <w:p>
      <w:pPr>
        <w:pStyle w:val="BodyTextTight"/>
        <w:ind w:left="288"/>
      </w:pPr>
      <w:r>
        <w:rPr>
          <w:rFonts w:ascii="Inter" w:hAnsi="Inter" w:eastAsia="Inter"/>
        </w:rPr>
        <w:t>12. Checklist de aceptación para IT</w:t>
      </w:r>
    </w:p>
    <w:p>
      <w:pPr>
        <w:pStyle w:val="BodyTextTight"/>
        <w:ind w:left="288"/>
      </w:pPr>
      <w:r>
        <w:rPr>
          <w:rFonts w:ascii="Inter" w:hAnsi="Inter" w:eastAsia="Inter"/>
        </w:rPr>
        <w:t>13. Anexo: instrucción ejecutiva para el equipo</w:t>
      </w:r>
    </w:p>
    <w:p>
      <w:pPr>
        <w:pStyle w:val="Heading1Custom"/>
      </w:pPr>
      <w:r>
        <w:rPr>
          <w:rFonts w:ascii="Inter" w:hAnsi="Inter" w:eastAsia="Inter"/>
        </w:rPr>
        <w:t>1. Contexto estratégico y alcance</w:t>
      </w:r>
    </w:p>
    <w:p>
      <w:pPr>
        <w:pStyle w:val="BodyTextTight"/>
      </w:pPr>
      <w:r>
        <w:rPr>
          <w:rFonts w:ascii="Inter" w:hAnsi="Inter" w:eastAsia="Inter"/>
        </w:rPr>
        <w:t>NetLab One Stability es el primer desarrollo del ecosistema de aplicaciones internas para la gestión de procesos de laboratorio. Su foco inicial es la gestión de estudios de estabilidad, pero la línea gráfica y los patrones definidos en este documento deben servir como base para el resto de módulos de la suite.</w:t>
      </w:r>
    </w:p>
    <w:p>
      <w:pPr>
        <w:pStyle w:val="BodyTextTight"/>
      </w:pPr>
      <w:r>
        <w:rPr>
          <w:rFonts w:ascii="Inter" w:hAnsi="Inter" w:eastAsia="Inter"/>
        </w:rPr>
        <w:t>El proyecto responde a la necesidad de avanzar hacia procesos más trazables, digitales, homogéneos y fáciles de gestionar entre sedes. No se trata solo de una mejora estética: la interfaz debe ayudar a reducir errores, facilitar la adopción por usuarios de laboratorio y ofrecer un modelo escalable para futuros módulos.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Elemento</w:t>
            </w:r>
          </w:p>
        </w:tc>
        <w:tc>
          <w:tcPr>
            <w:tcW w:type="dxa" w:w="7200"/>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Decisión</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Nombre de plataforma</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NetLab One</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Módulo inicial</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NetLab One Stability</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Pantalla prototipo validada</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Estudios</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Navegación</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Solo barra superior; sin menú lateral izquierdo</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Estilo</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SaaS moderno, limpio, técnico y profesional</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Prioridad UX</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Más espacio útil para tabla, calendario y operación; menos ruido visual</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Uso estratégico</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H2.1 eficiencia y control de procesos críticos; H3.1 procesos inteligentes</w:t>
            </w:r>
          </w:p>
        </w:tc>
      </w:tr>
    </w:tbl>
    <w:p>
      <w:pPr>
        <w:pStyle w:val="Heading1Custom"/>
      </w:pPr>
      <w:r>
        <w:rPr>
          <w:rFonts w:ascii="Inter" w:hAnsi="Inter" w:eastAsia="Inter"/>
        </w:rPr>
        <w:t>2. Identidad visual de la plataforma</w:t>
      </w:r>
    </w:p>
    <w:p>
      <w:pPr>
        <w:pStyle w:val="BodyTextTight"/>
      </w:pPr>
      <w:r>
        <w:rPr>
          <w:rFonts w:ascii="Inter" w:hAnsi="Inter" w:eastAsia="Inter"/>
        </w:rPr>
        <w:t>La identidad debe transmitir control, precisión, trazabilidad, fiabilidad y modernidad. La estética debe evitar la sensación de ERP antiguo, LIMS pesado o aplicación administrativa tradicional.</w:t>
      </w:r>
    </w:p>
    <w:p>
      <w:pPr>
        <w:pStyle w:val="Heading2Custom"/>
      </w:pPr>
      <w:r>
        <w:rPr>
          <w:rFonts w:ascii="Inter" w:hAnsi="Inter" w:eastAsia="Inter"/>
        </w:rPr>
        <w:t>2.1. Naming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Uso correcto</w:t>
            </w:r>
          </w:p>
        </w:tc>
        <w:tc>
          <w:tcPr>
            <w:tcW w:type="dxa" w:w="5328"/>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Uso incorrecto</w:t>
            </w:r>
          </w:p>
        </w:tc>
      </w:tr>
      <w:tr>
        <w:tc>
          <w:tcPr>
            <w:tcW w:type="dxa" w:w="432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NetLab One</w:t>
            </w:r>
          </w:p>
        </w:tc>
        <w:tc>
          <w:tcPr>
            <w:tcW w:type="dxa" w:w="532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Netlabone / NetLabOne / NETLAB ONE</w:t>
            </w:r>
          </w:p>
        </w:tc>
      </w:tr>
      <w:tr>
        <w:tc>
          <w:tcPr>
            <w:tcW w:type="dxa" w:w="432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NetLab One Stability</w:t>
            </w:r>
          </w:p>
        </w:tc>
        <w:tc>
          <w:tcPr>
            <w:tcW w:type="dxa" w:w="532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NetLab Stability / Stability App</w:t>
            </w:r>
          </w:p>
        </w:tc>
      </w:tr>
      <w:tr>
        <w:tc>
          <w:tcPr>
            <w:tcW w:type="dxa" w:w="432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NetLab One Quality</w:t>
            </w:r>
          </w:p>
        </w:tc>
        <w:tc>
          <w:tcPr>
            <w:tcW w:type="dxa" w:w="532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Quality NetLab</w:t>
            </w:r>
          </w:p>
        </w:tc>
      </w:tr>
      <w:tr>
        <w:tc>
          <w:tcPr>
            <w:tcW w:type="dxa" w:w="432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NetLab One Samples</w:t>
            </w:r>
          </w:p>
        </w:tc>
        <w:tc>
          <w:tcPr>
            <w:tcW w:type="dxa" w:w="532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Samples One</w:t>
            </w:r>
          </w:p>
        </w:tc>
      </w:tr>
    </w:tbl>
    <w:p>
      <w:pPr>
        <w:pStyle w:val="Heading2Custom"/>
      </w:pPr>
      <w:r>
        <w:rPr>
          <w:rFonts w:ascii="Inter" w:hAnsi="Inter" w:eastAsia="Inter"/>
        </w:rPr>
        <w:t>2.2. Paleta de color oficial</w:t>
      </w:r>
    </w:p>
    <w:tbl>
      <w:tblPr>
        <w:tblW w:type="auto" w:w="0"/>
        <w:jc w:val="center"/>
        <w:tblLook w:firstColumn="1" w:firstRow="1" w:lastColumn="0" w:lastRow="0" w:noHBand="0" w:noVBand="1" w:val="04A0"/>
      </w:tblPr>
      <w:tblGrid>
        <w:gridCol w:w="2592"/>
        <w:gridCol w:w="2592"/>
        <w:gridCol w:w="2592"/>
        <w:gridCol w:w="2592"/>
      </w:tblGrid>
      <w:tr>
        <w:tc>
          <w:tcPr>
            <w:tcW w:type="dxa" w:w="2592"/>
            <w:shd w:fill="F4F6FC"/>
            <w:tcMar>
              <w:top w:w="100" w:type="dxa"/>
              <w:start w:w="90" w:type="dxa"/>
              <w:bottom w:w="100" w:type="dxa"/>
              <w:end w:w="90" w:type="dxa"/>
            </w:tcMar>
            <w:tcBorders>
              <w:top w:sz="4" w:val="single" w:color="E2E8F0"/>
              <w:left w:sz="4" w:val="single" w:color="E2E8F0"/>
              <w:bottom w:sz="4" w:val="single" w:color="E2E8F0"/>
              <w:right w:sz="4" w:val="single" w:color="E2E8F0"/>
            </w:tcBorders>
          </w:tcPr>
          <w:p>
            <w:r>
              <w:rPr>
                <w:b/>
                <w:color w:val="0F1B2E"/>
                <w:sz w:val="17"/>
              </w:rPr>
              <w:t>Muestra</w:t>
            </w:r>
          </w:p>
        </w:tc>
        <w:tc>
          <w:tcPr>
            <w:tcW w:type="dxa" w:w="2592"/>
            <w:shd w:fill="F4F6FC"/>
            <w:tcMar>
              <w:top w:w="100" w:type="dxa"/>
              <w:start w:w="90" w:type="dxa"/>
              <w:bottom w:w="100" w:type="dxa"/>
              <w:end w:w="90" w:type="dxa"/>
            </w:tcMar>
            <w:tcBorders>
              <w:top w:sz="4" w:val="single" w:color="E2E8F0"/>
              <w:left w:sz="4" w:val="single" w:color="E2E8F0"/>
              <w:bottom w:sz="4" w:val="single" w:color="E2E8F0"/>
              <w:right w:sz="4" w:val="single" w:color="E2E8F0"/>
            </w:tcBorders>
          </w:tcPr>
          <w:p>
            <w:r>
              <w:rPr>
                <w:b/>
                <w:color w:val="0F1B2E"/>
                <w:sz w:val="17"/>
              </w:rPr>
              <w:t>Color</w:t>
            </w:r>
          </w:p>
        </w:tc>
        <w:tc>
          <w:tcPr>
            <w:tcW w:type="dxa" w:w="2592"/>
            <w:shd w:fill="F4F6FC"/>
            <w:tcMar>
              <w:top w:w="100" w:type="dxa"/>
              <w:start w:w="90" w:type="dxa"/>
              <w:bottom w:w="100" w:type="dxa"/>
              <w:end w:w="90" w:type="dxa"/>
            </w:tcMar>
            <w:tcBorders>
              <w:top w:sz="4" w:val="single" w:color="E2E8F0"/>
              <w:left w:sz="4" w:val="single" w:color="E2E8F0"/>
              <w:bottom w:sz="4" w:val="single" w:color="E2E8F0"/>
              <w:right w:sz="4" w:val="single" w:color="E2E8F0"/>
            </w:tcBorders>
          </w:tcPr>
          <w:p>
            <w:r>
              <w:rPr>
                <w:b/>
                <w:color w:val="0F1B2E"/>
                <w:sz w:val="17"/>
              </w:rPr>
              <w:t>HEX</w:t>
            </w:r>
          </w:p>
        </w:tc>
        <w:tc>
          <w:tcPr>
            <w:tcW w:type="dxa" w:w="2592"/>
            <w:shd w:fill="F4F6FC"/>
            <w:tcMar>
              <w:top w:w="100" w:type="dxa"/>
              <w:start w:w="90" w:type="dxa"/>
              <w:bottom w:w="100" w:type="dxa"/>
              <w:end w:w="90" w:type="dxa"/>
            </w:tcMar>
            <w:tcBorders>
              <w:top w:sz="4" w:val="single" w:color="E2E8F0"/>
              <w:left w:sz="4" w:val="single" w:color="E2E8F0"/>
              <w:bottom w:sz="4" w:val="single" w:color="E2E8F0"/>
              <w:right w:sz="4" w:val="single" w:color="E2E8F0"/>
            </w:tcBorders>
          </w:tcPr>
          <w:p>
            <w:r>
              <w:rPr>
                <w:b/>
                <w:color w:val="0F1B2E"/>
                <w:sz w:val="17"/>
              </w:rPr>
              <w:t>Uso</w:t>
            </w:r>
          </w:p>
        </w:tc>
      </w:tr>
      <w:tr>
        <w:tc>
          <w:tcPr>
            <w:tcW w:type="dxa" w:w="2592"/>
            <w:shd w:fill="6B5BD6"/>
            <w:tcBorders>
              <w:top w:sz="4" w:val="single" w:color="E2E8F0"/>
              <w:left w:sz="4" w:val="single" w:color="E2E8F0"/>
              <w:bottom w:sz="4" w:val="single" w:color="E2E8F0"/>
              <w:right w:sz="4" w:val="single" w:color="E2E8F0"/>
            </w:tcBorders>
          </w:tcPr>
          <w:p>
            <w:r>
              <w:t xml:space="preserve"> </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Violeta principal</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#6B5BD6</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Identidad, navegación activa, CTA principal</w:t>
            </w:r>
          </w:p>
        </w:tc>
      </w:tr>
      <w:tr>
        <w:tc>
          <w:tcPr>
            <w:tcW w:type="dxa" w:w="2592"/>
            <w:shd w:fill="2BB5A9"/>
            <w:tcBorders>
              <w:top w:sz="4" w:val="single" w:color="E2E8F0"/>
              <w:left w:sz="4" w:val="single" w:color="E2E8F0"/>
              <w:bottom w:sz="4" w:val="single" w:color="E2E8F0"/>
              <w:right w:sz="4" w:val="single" w:color="E2E8F0"/>
            </w:tcBorders>
          </w:tcPr>
          <w:p>
            <w:r>
              <w:t xml:space="preserve"> </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Turquesa principal</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#2BB5A9</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Acción positiva, calendario, validación, apoyo visual</w:t>
            </w:r>
          </w:p>
        </w:tc>
      </w:tr>
      <w:tr>
        <w:tc>
          <w:tcPr>
            <w:tcW w:type="dxa" w:w="2592"/>
            <w:shd w:fill="A9B4F7"/>
            <w:tcBorders>
              <w:top w:sz="4" w:val="single" w:color="E2E8F0"/>
              <w:left w:sz="4" w:val="single" w:color="E2E8F0"/>
              <w:bottom w:sz="4" w:val="single" w:color="E2E8F0"/>
              <w:right w:sz="4" w:val="single" w:color="E2E8F0"/>
            </w:tcBorders>
          </w:tcPr>
          <w:p>
            <w:r>
              <w:t xml:space="preserve"> </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Azul lavanda</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#A9B4F7</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Conectividad, fondos sutiles, elementos secundarios</w:t>
            </w:r>
          </w:p>
        </w:tc>
      </w:tr>
      <w:tr>
        <w:tc>
          <w:tcPr>
            <w:tcW w:type="dxa" w:w="2592"/>
            <w:shd w:fill="E6F4F2"/>
            <w:tcBorders>
              <w:top w:sz="4" w:val="single" w:color="E2E8F0"/>
              <w:left w:sz="4" w:val="single" w:color="E2E8F0"/>
              <w:bottom w:sz="4" w:val="single" w:color="E2E8F0"/>
              <w:right w:sz="4" w:val="single" w:color="E2E8F0"/>
            </w:tcBorders>
          </w:tcPr>
          <w:p>
            <w:r>
              <w:t xml:space="preserve"> </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Verde menta claro</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#E6F4F2</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Fondos suaves de apoyo</w:t>
            </w:r>
          </w:p>
        </w:tc>
      </w:tr>
      <w:tr>
        <w:tc>
          <w:tcPr>
            <w:tcW w:type="dxa" w:w="2592"/>
            <w:shd w:fill="0F1B2E"/>
            <w:tcBorders>
              <w:top w:sz="4" w:val="single" w:color="E2E8F0"/>
              <w:left w:sz="4" w:val="single" w:color="E2E8F0"/>
              <w:bottom w:sz="4" w:val="single" w:color="E2E8F0"/>
              <w:right w:sz="4" w:val="single" w:color="E2E8F0"/>
            </w:tcBorders>
          </w:tcPr>
          <w:p>
            <w:r>
              <w:t xml:space="preserve"> </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Azul navy</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#0F1B2E</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Texto principal y autoridad visual</w:t>
            </w:r>
          </w:p>
        </w:tc>
      </w:tr>
      <w:tr>
        <w:tc>
          <w:tcPr>
            <w:tcW w:type="dxa" w:w="2592"/>
            <w:shd w:fill="F8FAFC"/>
            <w:tcBorders>
              <w:top w:sz="4" w:val="single" w:color="E2E8F0"/>
              <w:left w:sz="4" w:val="single" w:color="E2E8F0"/>
              <w:bottom w:sz="4" w:val="single" w:color="E2E8F0"/>
              <w:right w:sz="4" w:val="single" w:color="E2E8F0"/>
            </w:tcBorders>
          </w:tcPr>
          <w:p>
            <w:r>
              <w:t xml:space="preserve"> </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Fondo general</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#F8FAFC</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Background de la aplicación</w:t>
            </w:r>
          </w:p>
        </w:tc>
      </w:tr>
      <w:tr>
        <w:tc>
          <w:tcPr>
            <w:tcW w:type="dxa" w:w="2592"/>
            <w:shd w:fill="E2E8F0"/>
            <w:tcBorders>
              <w:top w:sz="4" w:val="single" w:color="E2E8F0"/>
              <w:left w:sz="4" w:val="single" w:color="E2E8F0"/>
              <w:bottom w:sz="4" w:val="single" w:color="E2E8F0"/>
              <w:right w:sz="4" w:val="single" w:color="E2E8F0"/>
            </w:tcBorders>
          </w:tcPr>
          <w:p>
            <w:r>
              <w:t xml:space="preserve"> </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Borde suave</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#E2E8F0</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Separadores y contornos</w:t>
            </w:r>
          </w:p>
        </w:tc>
      </w:tr>
      <w:tr>
        <w:tc>
          <w:tcPr>
            <w:tcW w:type="dxa" w:w="2592"/>
            <w:shd w:fill="F59E0B"/>
            <w:tcBorders>
              <w:top w:sz="4" w:val="single" w:color="E2E8F0"/>
              <w:left w:sz="4" w:val="single" w:color="E2E8F0"/>
              <w:bottom w:sz="4" w:val="single" w:color="E2E8F0"/>
              <w:right w:sz="4" w:val="single" w:color="E2E8F0"/>
            </w:tcBorders>
          </w:tcPr>
          <w:p>
            <w:r>
              <w:t xml:space="preserve"> </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Advertencia</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#F59E0B</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Editar, avisos, incidencias no críticas</w:t>
            </w:r>
          </w:p>
        </w:tc>
      </w:tr>
      <w:tr>
        <w:tc>
          <w:tcPr>
            <w:tcW w:type="dxa" w:w="2592"/>
            <w:shd w:fill="E5484D"/>
            <w:tcBorders>
              <w:top w:sz="4" w:val="single" w:color="E2E8F0"/>
              <w:left w:sz="4" w:val="single" w:color="E2E8F0"/>
              <w:bottom w:sz="4" w:val="single" w:color="E2E8F0"/>
              <w:right w:sz="4" w:val="single" w:color="E2E8F0"/>
            </w:tcBorders>
          </w:tcPr>
          <w:p>
            <w:r>
              <w:t xml:space="preserve"> </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Error</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#E5484D</w:t>
            </w:r>
          </w:p>
        </w:tc>
        <w:tc>
          <w:tcPr>
            <w:tcW w:type="dxa" w:w="2592"/>
            <w:tcMar>
              <w:top w:w="90" w:type="dxa"/>
              <w:start w:w="90" w:type="dxa"/>
              <w:bottom w:w="90" w:type="dxa"/>
              <w:end w:w="90" w:type="dxa"/>
            </w:tcMar>
            <w:tcBorders>
              <w:top w:sz="4" w:val="single" w:color="E2E8F0"/>
              <w:left w:sz="4" w:val="single" w:color="E2E8F0"/>
              <w:bottom w:sz="4" w:val="single" w:color="E2E8F0"/>
              <w:right w:sz="4" w:val="single" w:color="E2E8F0"/>
            </w:tcBorders>
          </w:tcPr>
          <w:p>
            <w:r>
              <w:rPr>
                <w:color w:val="0F1B2E"/>
                <w:sz w:val="17"/>
              </w:rPr>
              <w:t>Eliminar, errores y desviaciones críticas</w:t>
            </w:r>
          </w:p>
        </w:tc>
      </w:tr>
    </w:tbl>
    <w:p>
      <w:pPr>
        <w:pStyle w:val="Heading2Custom"/>
      </w:pPr>
      <w:r>
        <w:rPr>
          <w:rFonts w:ascii="Inter" w:hAnsi="Inter" w:eastAsia="Inter"/>
        </w:rPr>
        <w:t>2.3. Tipografía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Elemento</w:t>
            </w:r>
          </w:p>
        </w:tc>
        <w:tc>
          <w:tcPr>
            <w:tcW w:type="dxa" w:w="6480"/>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Especificación</w:t>
            </w:r>
          </w:p>
        </w:tc>
      </w:tr>
      <w:tr>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Fuente oficial</w:t>
            </w:r>
          </w:p>
        </w:tc>
        <w:tc>
          <w:tcPr>
            <w:tcW w:type="dxa" w:w="64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Inter</w:t>
            </w:r>
          </w:p>
        </w:tc>
      </w:tr>
      <w:tr>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Fallback</w:t>
            </w:r>
          </w:p>
        </w:tc>
        <w:tc>
          <w:tcPr>
            <w:tcW w:type="dxa" w:w="64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system-ui, -apple-system, BlinkMacSystemFont, Segoe UI, sans-serif</w:t>
            </w:r>
          </w:p>
        </w:tc>
      </w:tr>
      <w:tr>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Título de página</w:t>
            </w:r>
          </w:p>
        </w:tc>
        <w:tc>
          <w:tcPr>
            <w:tcW w:type="dxa" w:w="64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28 px, peso 700, color #0F1B2E</w:t>
            </w:r>
          </w:p>
        </w:tc>
      </w:tr>
      <w:tr>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Subtítulo de página</w:t>
            </w:r>
          </w:p>
        </w:tc>
        <w:tc>
          <w:tcPr>
            <w:tcW w:type="dxa" w:w="64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14 px, peso 400, color #64748B</w:t>
            </w:r>
          </w:p>
        </w:tc>
      </w:tr>
      <w:tr>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Menú superior</w:t>
            </w:r>
          </w:p>
        </w:tc>
        <w:tc>
          <w:tcPr>
            <w:tcW w:type="dxa" w:w="64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14 px, peso 500</w:t>
            </w:r>
          </w:p>
        </w:tc>
      </w:tr>
      <w:tr>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Cabecera de tabla</w:t>
            </w:r>
          </w:p>
        </w:tc>
        <w:tc>
          <w:tcPr>
            <w:tcW w:type="dxa" w:w="64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12-13 px, peso 700</w:t>
            </w:r>
          </w:p>
        </w:tc>
      </w:tr>
      <w:tr>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Contenido de tabla</w:t>
            </w:r>
          </w:p>
        </w:tc>
        <w:tc>
          <w:tcPr>
            <w:tcW w:type="dxa" w:w="64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13-14 px, peso 400</w:t>
            </w:r>
          </w:p>
        </w:tc>
      </w:tr>
    </w:tbl>
    <w:p>
      <w:pPr>
        <w:pStyle w:val="Heading1Custom"/>
      </w:pPr>
      <w:r>
        <w:rPr>
          <w:rFonts w:ascii="Inter" w:hAnsi="Inter" w:eastAsia="Inter"/>
        </w:rPr>
        <w:t>3. Arquitectura de navegación</w:t>
      </w:r>
    </w:p>
    <w:p>
      <w:pPr>
        <w:pStyle w:val="BodyTextTight"/>
      </w:pPr>
      <w:r>
        <w:rPr>
          <w:rFonts w:ascii="Inter" w:hAnsi="Inter" w:eastAsia="Inter"/>
        </w:rPr>
        <w:t>La navegación de NetLab One Stability se realizará exclusivamente mediante barra superior. Se elimina el menú lateral izquierdo porque duplica la navegación, consume espacio horizontal y reduce la superficie útil de trabajo en tablas y calendarios.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Zona</w:t>
            </w:r>
          </w:p>
        </w:tc>
        <w:tc>
          <w:tcPr>
            <w:tcW w:type="dxa" w:w="7488"/>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Contenido obligatorio</w:t>
            </w:r>
          </w:p>
        </w:tc>
      </w:tr>
      <w:tr>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Izquierda</w:t>
            </w:r>
          </w:p>
        </w:tc>
        <w:tc>
          <w:tcPr>
            <w:tcW w:type="dxa" w:w="748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Logo NetLab One Stability</w:t>
            </w:r>
          </w:p>
        </w:tc>
      </w:tr>
      <w:tr>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Centro</w:t>
            </w:r>
          </w:p>
        </w:tc>
        <w:tc>
          <w:tcPr>
            <w:tcW w:type="dxa" w:w="748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Resumen · Plan anual · Estudios · Planificación · Muestras · Operaciones · Desviaciones · Alertas · Informes · Auditoría · Admin</w:t>
            </w:r>
          </w:p>
        </w:tc>
      </w:tr>
      <w:tr>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Derecha</w:t>
            </w:r>
          </w:p>
        </w:tc>
        <w:tc>
          <w:tcPr>
            <w:tcW w:type="dxa" w:w="748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Campana de notificaciones · usuario · nombre · rol · menú de usuario</w:t>
            </w:r>
          </w:p>
        </w:tc>
      </w:tr>
      <w:tr>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No incluir</w:t>
            </w:r>
          </w:p>
        </w:tc>
        <w:tc>
          <w:tcPr>
            <w:tcW w:type="dxa" w:w="748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Selector de ciudad o sede tipo “Madrid”; buscador global si no está operativo; menú lateral</w:t>
            </w:r>
          </w:p>
        </w:tc>
      </w:tr>
    </w:tbl>
    <w:p>
      <w:pPr>
        <w:pStyle w:val="CodeBlock"/>
      </w:pPr>
      <w:r>
        <w:rPr>
          <w:rFonts w:ascii="Inter" w:hAnsi="Inter" w:eastAsia="Inter"/>
        </w:rPr>
        <w:t>.app-header { height: 72px; background: #FFFFFF; border-bottom: 1px solid #E2E8F0; box-shadow: 0 2px 10px rgba(15,27,46,0.04); }</w:t>
      </w:r>
    </w:p>
    <w:p>
      <w:pPr>
        <w:pStyle w:val="CodeBlock"/>
      </w:pPr>
      <w:r>
        <w:rPr>
          <w:rFonts w:ascii="Inter" w:hAnsi="Inter" w:eastAsia="Inter"/>
        </w:rPr>
        <w:t>.top-nav-item.active { color: #6B5BD6; border-bottom: 2px solid #6B5BD6; }</w:t>
      </w:r>
    </w:p>
    <w:p>
      <w:pPr>
        <w:pStyle w:val="Heading1Custom"/>
      </w:pPr>
      <w:r>
        <w:rPr>
          <w:rFonts w:ascii="Inter" w:hAnsi="Inter" w:eastAsia="Inter"/>
        </w:rPr>
        <w:t>4. Layout base de pantalla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864"/>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Orden</w:t>
            </w:r>
          </w:p>
        </w:tc>
        <w:tc>
          <w:tcPr>
            <w:tcW w:type="dxa" w:w="2736"/>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Bloque</w:t>
            </w:r>
          </w:p>
        </w:tc>
        <w:tc>
          <w:tcPr>
            <w:tcW w:type="dxa" w:w="6048"/>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Descripción</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1</w:t>
            </w:r>
          </w:p>
        </w:tc>
        <w:tc>
          <w:tcPr>
            <w:tcW w:type="dxa" w:w="2736"/>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Header superior</w:t>
            </w:r>
          </w:p>
        </w:tc>
        <w:tc>
          <w:tcPr>
            <w:tcW w:type="dxa" w:w="60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Logo, navegación principal, notificaciones y usuario</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2</w:t>
            </w:r>
          </w:p>
        </w:tc>
        <w:tc>
          <w:tcPr>
            <w:tcW w:type="dxa" w:w="2736"/>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Hero compacto</w:t>
            </w:r>
          </w:p>
        </w:tc>
        <w:tc>
          <w:tcPr>
            <w:tcW w:type="dxa" w:w="60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Título de utilidad, subtítulo y tarjeta de recomendación</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3</w:t>
            </w:r>
          </w:p>
        </w:tc>
        <w:tc>
          <w:tcPr>
            <w:tcW w:type="dxa" w:w="2736"/>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Card principal</w:t>
            </w:r>
          </w:p>
        </w:tc>
        <w:tc>
          <w:tcPr>
            <w:tcW w:type="dxa" w:w="60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Filtros, acción principal, tabla y paginación</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4</w:t>
            </w:r>
          </w:p>
        </w:tc>
        <w:tc>
          <w:tcPr>
            <w:tcW w:type="dxa" w:w="2736"/>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Contenido específico</w:t>
            </w:r>
          </w:p>
        </w:tc>
        <w:tc>
          <w:tcPr>
            <w:tcW w:type="dxa" w:w="60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Tablas, calendarios, formularios o vistas operativas según módulo</w:t>
            </w:r>
          </w:p>
        </w:tc>
      </w:tr>
    </w:tbl>
    <w:p>
      <w:pPr>
        <w:pStyle w:val="Heading2Custom"/>
      </w:pPr>
      <w:r>
        <w:rPr>
          <w:rFonts w:ascii="Inter" w:hAnsi="Inter" w:eastAsia="Inter"/>
        </w:rPr>
        <w:t>4.1. Regla crítica de altura del hero</w:t>
      </w:r>
    </w:p>
    <w:tbl>
      <w:tblPr>
        <w:tblW w:type="auto" w:w="0"/>
        <w:jc w:val="center"/>
        <w:tblLook w:firstColumn="1" w:firstRow="1" w:lastColumn="0" w:lastRow="0" w:noHBand="0" w:noVBand="1" w:val="04A0"/>
      </w:tblPr>
      <w:tblGrid>
        <w:gridCol w:w="259"/>
        <w:gridCol w:w="8784"/>
      </w:tblGrid>
      <w:tr>
        <w:tc>
          <w:tcPr>
            <w:tcW w:type="dxa" w:w="5184"/>
            <w:shd w:fill="6B5BD6"/>
            <w:tcBorders>
              <w:top w:sz="6" w:val="single" w:color="E2E8F0"/>
              <w:left w:sz="6" w:val="single" w:color="E2E8F0"/>
              <w:bottom w:sz="6" w:val="single" w:color="E2E8F0"/>
              <w:right w:sz="6" w:val="single" w:color="E2E8F0"/>
            </w:tcBorders>
            <w:tcMar>
              <w:top w:w="100" w:type="dxa"/>
              <w:start w:w="120" w:type="dxa"/>
              <w:bottom w:w="100" w:type="dxa"/>
              <w:end w:w="120" w:type="dxa"/>
            </w:tcMar>
          </w:tcPr>
          <w:p/>
        </w:tc>
        <w:tc>
          <w:tcPr>
            <w:tcW w:type="dxa" w:w="5184"/>
            <w:shd w:fill="FFFFFF"/>
            <w:tcBorders>
              <w:top w:sz="6" w:val="single" w:color="E2E8F0"/>
              <w:left w:sz="6" w:val="single" w:color="E2E8F0"/>
              <w:bottom w:sz="6" w:val="single" w:color="E2E8F0"/>
              <w:right w:sz="6" w:val="single" w:color="E2E8F0"/>
            </w:tcBorders>
            <w:tcMar>
              <w:top w:w="100" w:type="dxa"/>
              <w:start w:w="120" w:type="dxa"/>
              <w:bottom w:w="100" w:type="dxa"/>
              <w:end w:w="120" w:type="dxa"/>
            </w:tcMar>
          </w:tcPr>
          <w:p>
            <w:r>
              <w:rPr>
                <w:b/>
                <w:color w:val="0F1B2E"/>
                <w:sz w:val="21"/>
              </w:rPr>
              <w:t>Cabecera compacta obligatoria</w:t>
            </w:r>
          </w:p>
          <w:p>
            <w:pPr>
              <w:pStyle w:val="BodyTextSmall"/>
            </w:pPr>
            <w:r>
              <w:t>El bloque de título de la utilidad, por ejemplo “Estudios”, debe tener una altura objetivo entre 108 y 128 px, con recomendación concreta de 116 px. El objetivo es liberar espacio vertical para mostrar más filas de tabla sin hacer scroll.</w:t>
            </w:r>
          </w:p>
        </w:tc>
      </w:tr>
    </w:tbl>
    <w:p>
      <w:pPr>
        <w:pStyle w:val="CodeBlock"/>
      </w:pPr>
      <w:r>
        <w:rPr>
          <w:rFonts w:ascii="Inter" w:hAnsi="Inter" w:eastAsia="Inter"/>
        </w:rPr>
        <w:t>.page-hero { min-height: 116px; max-height: 128px; padding: 22px 28px; margin-bottom: 20px; border-radius: 18px; }</w:t>
      </w:r>
    </w:p>
    <w:p>
      <w:pPr>
        <w:pStyle w:val="Heading1Custom"/>
      </w:pPr>
      <w:r>
        <w:rPr>
          <w:rFonts w:ascii="Inter" w:hAnsi="Inter" w:eastAsia="Inter"/>
        </w:rPr>
        <w:t>5. Pantalla Estudios: especificación cerrada</w:t>
      </w:r>
    </w:p>
    <w:p>
      <w:pPr>
        <w:pStyle w:val="BodyTextTight"/>
      </w:pPr>
      <w:r>
        <w:rPr>
          <w:rFonts w:ascii="Inter" w:hAnsi="Inter" w:eastAsia="Inter"/>
        </w:rPr>
        <w:t>Esta es la primera pantalla de referencia. Debe implementarse de forma estricta y usarse como patrón visual para el resto de módulos.</w:t>
      </w:r>
    </w:p>
    <w:p>
      <w:pPr>
        <w:pStyle w:val="Heading2Custom"/>
      </w:pPr>
      <w:r>
        <w:rPr>
          <w:rFonts w:ascii="Inter" w:hAnsi="Inter" w:eastAsia="Inter"/>
        </w:rPr>
        <w:t>Referencia visual aprobada</w:t>
      </w:r>
    </w:p>
    <w:p>
      <w:pPr>
        <w:pStyle w:val="BodyTextSmall"/>
      </w:pPr>
      <w:r>
        <w:rPr>
          <w:rFonts w:ascii="Inter" w:hAnsi="Inter" w:eastAsia="Inter"/>
        </w:rPr>
        <w:t>Imagen de referencia del prototipo visual. En desarrollo se aplicarán los ajustes descritos: hero más compacto, sin KPIs, sin selector Madrid y sin filtro Responsable.</w:t>
      </w:r>
    </w:p>
    <w:p>
      <w:pPr>
        <w:jc w:val="center"/>
      </w:pPr>
      <w:r>
        <w:rPr>
          <w:rFonts w:ascii="Inter" w:hAnsi="Inter" w:eastAsia="Inter"/>
        </w:rPr>
        <w:drawing>
          <wp:inline xmlns:a="http://schemas.openxmlformats.org/drawingml/2006/main" xmlns:pic="http://schemas.openxmlformats.org/drawingml/2006/picture">
            <wp:extent cx="6035040" cy="4025981"/>
            <wp:docPr id="1" name="Picture 1"/>
            <wp:cNvGraphicFramePr>
              <a:graphicFrameLocks noChangeAspect="1"/>
            </wp:cNvGraphicFramePr>
            <a:graphic>
              <a:graphicData uri="http://schemas.openxmlformats.org/drawingml/2006/picture">
                <pic:pic>
                  <pic:nvPicPr>
                    <pic:cNvPr id="0" name="interfaz_de_gestión_de_estudios.png"/>
                    <pic:cNvPicPr/>
                  </pic:nvPicPr>
                  <pic:blipFill>
                    <a:blip r:embed="rId11"/>
                    <a:stretch>
                      <a:fillRect/>
                    </a:stretch>
                  </pic:blipFill>
                  <pic:spPr>
                    <a:xfrm>
                      <a:off x="0" y="0"/>
                      <a:ext cx="6035040" cy="4025981"/>
                    </a:xfrm>
                    <a:prstGeom prst="rect"/>
                  </pic:spPr>
                </pic:pic>
              </a:graphicData>
            </a:graphic>
          </wp:inline>
        </w:drawing>
      </w:r>
    </w:p>
    <w:p>
      <w:pPr>
        <w:pStyle w:val="Heading2Custom"/>
      </w:pPr>
      <w:r>
        <w:rPr>
          <w:rFonts w:ascii="Inter" w:hAnsi="Inter" w:eastAsia="Inter"/>
        </w:rPr>
        <w:t>5.1. Estructura de la pantalla Estudios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Bloque</w:t>
            </w:r>
          </w:p>
        </w:tc>
        <w:tc>
          <w:tcPr>
            <w:tcW w:type="dxa" w:w="7200"/>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Contenido</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Header</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Logo + menú superior + notificaciones + usuario</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Hero compacto</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Título “Estudios”, subtítulo y tarjeta “Uso recomendado”</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Filtros</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Búsqueda, Estado, Cliente, Producto, botón Filtros, Limpiar</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Acción principal</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 Nuevo estudio, situado a la derecha del bloque de filtros</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Tabla</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Listado de estudios con acciones por icono</w:t>
            </w:r>
          </w:p>
        </w:tc>
      </w:tr>
      <w:tr>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Paginación</w:t>
            </w:r>
          </w:p>
        </w:tc>
        <w:tc>
          <w:tcPr>
            <w:tcW w:type="dxa" w:w="72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Resumen de resultados, navegación numérica, selector de registros por página</w:t>
            </w:r>
          </w:p>
        </w:tc>
      </w:tr>
    </w:tbl>
    <w:p>
      <w:pPr>
        <w:pStyle w:val="Heading2Custom"/>
      </w:pPr>
      <w:r>
        <w:rPr>
          <w:rFonts w:ascii="Inter" w:hAnsi="Inter" w:eastAsia="Inter"/>
        </w:rPr>
        <w:t>5.2. Elementos que no deben aparecer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Elemento prohibido</w:t>
            </w:r>
          </w:p>
        </w:tc>
        <w:tc>
          <w:tcPr>
            <w:tcW w:type="dxa" w:w="6192"/>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Motivo</w:t>
            </w:r>
          </w:p>
        </w:tc>
      </w:tr>
      <w:tr>
        <w:tc>
          <w:tcPr>
            <w:tcW w:type="dxa" w:w="3456"/>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Bloques KPI o tarjetas resumen</w:t>
            </w:r>
          </w:p>
        </w:tc>
        <w:tc>
          <w:tcPr>
            <w:tcW w:type="dxa" w:w="61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Esta pantalla debe priorizar listado y gestión de estudios; los KPIs deben ir en Resumen</w:t>
            </w:r>
          </w:p>
        </w:tc>
      </w:tr>
      <w:tr>
        <w:tc>
          <w:tcPr>
            <w:tcW w:type="dxa" w:w="3456"/>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Menú lateral izquierdo</w:t>
            </w:r>
          </w:p>
        </w:tc>
        <w:tc>
          <w:tcPr>
            <w:tcW w:type="dxa" w:w="61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Duplica navegación y reduce espacio útil</w:t>
            </w:r>
          </w:p>
        </w:tc>
      </w:tr>
      <w:tr>
        <w:tc>
          <w:tcPr>
            <w:tcW w:type="dxa" w:w="3456"/>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Selector Madrid/sede</w:t>
            </w:r>
          </w:p>
        </w:tc>
        <w:tc>
          <w:tcPr>
            <w:tcW w:type="dxa" w:w="61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No aplica en esta pantalla</w:t>
            </w:r>
          </w:p>
        </w:tc>
      </w:tr>
      <w:tr>
        <w:tc>
          <w:tcPr>
            <w:tcW w:type="dxa" w:w="3456"/>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Filtro Responsable</w:t>
            </w:r>
          </w:p>
        </w:tc>
        <w:tc>
          <w:tcPr>
            <w:tcW w:type="dxa" w:w="61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Debe retirarse de esta vista</w:t>
            </w:r>
          </w:p>
        </w:tc>
      </w:tr>
      <w:tr>
        <w:tc>
          <w:tcPr>
            <w:tcW w:type="dxa" w:w="3456"/>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Botones de texto en cada fila</w:t>
            </w:r>
          </w:p>
        </w:tc>
        <w:tc>
          <w:tcPr>
            <w:tcW w:type="dxa" w:w="61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Generan ruido visual; se sustituyen por iconos lineales</w:t>
            </w:r>
          </w:p>
        </w:tc>
      </w:tr>
    </w:tbl>
    <w:p>
      <w:pPr>
        <w:pStyle w:val="Heading2Custom"/>
      </w:pPr>
      <w:r>
        <w:rPr>
          <w:rFonts w:ascii="Inter" w:hAnsi="Inter" w:eastAsia="Inter"/>
        </w:rPr>
        <w:t>5.3. Filtros definitivos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864"/>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Orden</w:t>
            </w:r>
          </w:p>
        </w:tc>
        <w:tc>
          <w:tcPr>
            <w:tcW w:type="dxa" w:w="3024"/>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Campo</w:t>
            </w:r>
          </w:p>
        </w:tc>
        <w:tc>
          <w:tcPr>
            <w:tcW w:type="dxa" w:w="2160"/>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Tipo</w:t>
            </w:r>
          </w:p>
        </w:tc>
        <w:tc>
          <w:tcPr>
            <w:tcW w:type="dxa" w:w="3600"/>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Notas</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1</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Buscar estudio, producto, cliente...</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Input de texto</w:t>
            </w:r>
          </w:p>
        </w:tc>
        <w:tc>
          <w:tcPr>
            <w:tcW w:type="dxa" w:w="36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Con icono de lupa</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2</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Estado</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Select</w:t>
            </w:r>
          </w:p>
        </w:tc>
        <w:tc>
          <w:tcPr>
            <w:tcW w:type="dxa" w:w="36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Todos como valor inicial</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3</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Cliente</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Select</w:t>
            </w:r>
          </w:p>
        </w:tc>
        <w:tc>
          <w:tcPr>
            <w:tcW w:type="dxa" w:w="36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Todos como valor inicial</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4</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Producto</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Select</w:t>
            </w:r>
          </w:p>
        </w:tc>
        <w:tc>
          <w:tcPr>
            <w:tcW w:type="dxa" w:w="36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Todos como valor inicial</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5</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Filtros</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Botón secundario</w:t>
            </w:r>
          </w:p>
        </w:tc>
        <w:tc>
          <w:tcPr>
            <w:tcW w:type="dxa" w:w="36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Abre filtros avanzados si aplican</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6</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Limpiar</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Botón ghost</w:t>
            </w:r>
          </w:p>
        </w:tc>
        <w:tc>
          <w:tcPr>
            <w:tcW w:type="dxa" w:w="36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Resetea filtros</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7</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 Nuevo estudio</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Botón primario</w:t>
            </w:r>
          </w:p>
        </w:tc>
        <w:tc>
          <w:tcPr>
            <w:tcW w:type="dxa" w:w="360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CTA principal a la derecha</w:t>
            </w:r>
          </w:p>
        </w:tc>
      </w:tr>
    </w:tbl>
    <w:p>
      <w:pPr>
        <w:pStyle w:val="Heading2Custom"/>
      </w:pPr>
      <w:r>
        <w:rPr>
          <w:rFonts w:ascii="Inter" w:hAnsi="Inter" w:eastAsia="Inter"/>
        </w:rPr>
        <w:t>5.4. Columnas definitivas de la tabla Estudios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864"/>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Orden</w:t>
            </w:r>
          </w:p>
        </w:tc>
        <w:tc>
          <w:tcPr>
            <w:tcW w:type="dxa" w:w="3024"/>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Columna</w:t>
            </w:r>
          </w:p>
        </w:tc>
        <w:tc>
          <w:tcPr>
            <w:tcW w:type="dxa" w:w="5760"/>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Comentarios</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1</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Código</w:t>
            </w:r>
          </w:p>
        </w:tc>
        <w:tc>
          <w:tcPr>
            <w:tcW w:type="dxa" w:w="57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Identificador del estudio</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2</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Título del estudio</w:t>
            </w:r>
          </w:p>
        </w:tc>
        <w:tc>
          <w:tcPr>
            <w:tcW w:type="dxa" w:w="57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Nombre descriptivo</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3</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Cliente</w:t>
            </w:r>
          </w:p>
        </w:tc>
        <w:tc>
          <w:tcPr>
            <w:tcW w:type="dxa" w:w="57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Cliente o interno</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4</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Producto</w:t>
            </w:r>
          </w:p>
        </w:tc>
        <w:tc>
          <w:tcPr>
            <w:tcW w:type="dxa" w:w="57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Producto asociado</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5</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Código producto</w:t>
            </w:r>
          </w:p>
        </w:tc>
        <w:tc>
          <w:tcPr>
            <w:tcW w:type="dxa" w:w="57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Código interno o cliente</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6</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Protocolo</w:t>
            </w:r>
          </w:p>
        </w:tc>
        <w:tc>
          <w:tcPr>
            <w:tcW w:type="dxa" w:w="57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Código de protocolo</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7</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Estado</w:t>
            </w:r>
          </w:p>
        </w:tc>
        <w:tc>
          <w:tcPr>
            <w:tcW w:type="dxa" w:w="57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Badge visual</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8</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Inicio</w:t>
            </w:r>
          </w:p>
        </w:tc>
        <w:tc>
          <w:tcPr>
            <w:tcW w:type="dxa" w:w="57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Fecha de inicio</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9</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Fin prevista</w:t>
            </w:r>
          </w:p>
        </w:tc>
        <w:tc>
          <w:tcPr>
            <w:tcW w:type="dxa" w:w="57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Fecha fin estimada</w:t>
            </w:r>
          </w:p>
        </w:tc>
      </w:tr>
      <w:tr>
        <w:tc>
          <w:tcPr>
            <w:tcW w:type="dxa" w:w="86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10</w:t>
            </w:r>
          </w:p>
        </w:tc>
        <w:tc>
          <w:tcPr>
            <w:tcW w:type="dxa" w:w="302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Acciones</w:t>
            </w:r>
          </w:p>
        </w:tc>
        <w:tc>
          <w:tcPr>
            <w:tcW w:type="dxa" w:w="57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Iconos lineales: ver, planificar, editar, eliminar, más</w:t>
            </w:r>
          </w:p>
        </w:tc>
      </w:tr>
    </w:tbl>
    <w:p>
      <w:pPr>
        <w:pStyle w:val="Heading1Custom"/>
      </w:pPr>
      <w:r>
        <w:rPr>
          <w:rFonts w:ascii="Inter" w:hAnsi="Inter" w:eastAsia="Inter"/>
        </w:rPr>
        <w:t>6. Componentes UI obligatorios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Componente</w:t>
            </w:r>
          </w:p>
        </w:tc>
        <w:tc>
          <w:tcPr>
            <w:tcW w:type="dxa" w:w="6768"/>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Especificación</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Hero compacto</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Fondo blanco con gradiente muy suave hacia azul, borde claro, radius 18 px, padding 22 x 28 px, altura objetivo 116 px.</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Card principal</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Superficie blanca, radius 20 px, borde #E2E8F0, sombra ligera, overflow hidden.</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Filtros</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Inputs/selects de 44 px de alto, radius 12 px, borde #D9E2EF y focus violeta.</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Botón primario</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Violeta, texto blanco, radius 12 px, sombra suave. Uso exclusivo para la acción principal.</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Botón filtros</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Fondo #F7F6FF, borde #E4DEFF, texto violeta.</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Botón limpiar</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Ghost, sin fondo, color #64748B.</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Tabla</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Cabecera #F4F6FC, filas blancas, separadores suaves, hover #FAFBFE.</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Paginación</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Fila inferior con resumen, páginas y selector de registros por página.</w:t>
            </w:r>
          </w:p>
        </w:tc>
      </w:tr>
    </w:tbl>
    <w:p>
      <w:pPr>
        <w:pStyle w:val="Heading2Custom"/>
      </w:pPr>
      <w:r>
        <w:rPr>
          <w:rFonts w:ascii="Inter" w:hAnsi="Inter" w:eastAsia="Inter"/>
        </w:rPr>
        <w:t>6.1. CSS base de componentes</w:t>
      </w:r>
    </w:p>
    <w:p>
      <w:pPr>
        <w:pStyle w:val="CodeBlock"/>
      </w:pPr>
      <w:r>
        <w:rPr>
          <w:rFonts w:ascii="Inter" w:hAnsi="Inter" w:eastAsia="Inter"/>
        </w:rPr>
        <w:t>.content-card {</w:t>
        <w:br/>
        <w:t xml:space="preserve">  background: #FFFFFF;</w:t>
        <w:br/>
        <w:t xml:space="preserve">  border: 1px solid #E2E8F0;</w:t>
        <w:br/>
        <w:t xml:space="preserve">  border-radius: 20px;</w:t>
        <w:br/>
        <w:t xml:space="preserve">  box-shadow: 0 8px 24px rgba(15, 27, 46, 0.05);</w:t>
        <w:br/>
        <w:t xml:space="preserve">  overflow: hidden;</w:t>
        <w:br/>
        <w:t>}</w:t>
      </w:r>
    </w:p>
    <w:p>
      <w:pPr>
        <w:pStyle w:val="CodeBlock"/>
      </w:pPr>
      <w:r>
        <w:rPr>
          <w:rFonts w:ascii="Inter" w:hAnsi="Inter" w:eastAsia="Inter"/>
        </w:rPr>
        <w:t>.filters-bar {</w:t>
        <w:br/>
        <w:t xml:space="preserve">  padding: 20px 24px;</w:t>
        <w:br/>
        <w:t xml:space="preserve">  display: flex;</w:t>
        <w:br/>
        <w:t xml:space="preserve">  align-items: end;</w:t>
        <w:br/>
        <w:t xml:space="preserve">  gap: 14px;</w:t>
        <w:br/>
        <w:t xml:space="preserve">  flex-wrap: wrap;</w:t>
        <w:br/>
        <w:t xml:space="preserve">  border-bottom: 1px solid #EDF2F7;</w:t>
        <w:br/>
        <w:t>}</w:t>
      </w:r>
    </w:p>
    <w:p>
      <w:pPr>
        <w:pStyle w:val="CodeBlock"/>
      </w:pPr>
      <w:r>
        <w:rPr>
          <w:rFonts w:ascii="Inter" w:hAnsi="Inter" w:eastAsia="Inter"/>
        </w:rPr>
        <w:t>.input, .select {</w:t>
        <w:br/>
        <w:t xml:space="preserve">  height: 44px;</w:t>
        <w:br/>
        <w:t xml:space="preserve">  background: #FFFFFF;</w:t>
        <w:br/>
        <w:t xml:space="preserve">  border: 1px solid #D9E2EF;</w:t>
        <w:br/>
        <w:t xml:space="preserve">  border-radius: 12px;</w:t>
        <w:br/>
        <w:t xml:space="preserve">  padding: 0 14px;</w:t>
        <w:br/>
        <w:t xml:space="preserve">  font-size: 14px;</w:t>
        <w:br/>
        <w:t xml:space="preserve">  color: #0F1B2E;</w:t>
        <w:br/>
        <w:t>}</w:t>
      </w:r>
    </w:p>
    <w:p>
      <w:pPr>
        <w:pStyle w:val="CodeBlock"/>
      </w:pPr>
      <w:r>
        <w:rPr>
          <w:rFonts w:ascii="Inter" w:hAnsi="Inter" w:eastAsia="Inter"/>
        </w:rPr>
        <w:t>.btn-primary {</w:t>
        <w:br/>
        <w:t xml:space="preserve">  height: 44px;</w:t>
        <w:br/>
        <w:t xml:space="preserve">  padding: 0 18px;</w:t>
        <w:br/>
        <w:t xml:space="preserve">  border-radius: 12px;</w:t>
        <w:br/>
        <w:t xml:space="preserve">  background: #6B5BD6;</w:t>
        <w:br/>
        <w:t xml:space="preserve">  color: #FFFFFF;</w:t>
        <w:br/>
        <w:t xml:space="preserve">  font-size: 14px;</w:t>
        <w:br/>
        <w:t xml:space="preserve">  font-weight: 600;</w:t>
        <w:br/>
        <w:t xml:space="preserve">  border: none;</w:t>
        <w:br/>
        <w:t xml:space="preserve">  box-shadow: 0 8px 20px rgba(107, 91, 214, 0.22);</w:t>
        <w:br/>
        <w:t>}</w:t>
      </w:r>
    </w:p>
    <w:p>
      <w:pPr>
        <w:pStyle w:val="Heading1Custom"/>
      </w:pPr>
      <w:r>
        <w:rPr>
          <w:rFonts w:ascii="Inter" w:hAnsi="Inter" w:eastAsia="Inter"/>
        </w:rPr>
        <w:t>7. Iconografía y acciones</w:t>
      </w:r>
    </w:p>
    <w:p>
      <w:pPr>
        <w:pStyle w:val="BodyTextTight"/>
      </w:pPr>
      <w:r>
        <w:rPr>
          <w:rFonts w:ascii="Inter" w:hAnsi="Inter" w:eastAsia="Inter"/>
        </w:rPr>
        <w:t>La iconografía debe ser lineal, limpia y consistente. Se recomienda usar una librería homogénea, preferiblemente Lucide Icons, Feather Icons o Heroicons Outline, sin mezclar familias salvo adaptación visual.</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04"/>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Acción</w:t>
            </w:r>
          </w:p>
        </w:tc>
        <w:tc>
          <w:tcPr>
            <w:tcW w:type="dxa" w:w="2448"/>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Icono</w:t>
            </w:r>
          </w:p>
        </w:tc>
        <w:tc>
          <w:tcPr>
            <w:tcW w:type="dxa" w:w="1728"/>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Color</w:t>
            </w:r>
          </w:p>
        </w:tc>
        <w:tc>
          <w:tcPr>
            <w:tcW w:type="dxa" w:w="3168"/>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Tooltip / aria-label</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Ver detalle</w:t>
            </w:r>
          </w:p>
        </w:tc>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Ojo</w:t>
            </w:r>
          </w:p>
        </w:tc>
        <w:tc>
          <w:tcPr>
            <w:tcW w:type="dxa" w:w="172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#4F5F9C</w:t>
            </w:r>
          </w:p>
        </w:tc>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Ver detalle</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Planificar / fechas</w:t>
            </w:r>
          </w:p>
        </w:tc>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Calendario</w:t>
            </w:r>
          </w:p>
        </w:tc>
        <w:tc>
          <w:tcPr>
            <w:tcW w:type="dxa" w:w="172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#2BB5A9</w:t>
            </w:r>
          </w:p>
        </w:tc>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Planificar / fechas de muestreo</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Editar</w:t>
            </w:r>
          </w:p>
        </w:tc>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Lápiz</w:t>
            </w:r>
          </w:p>
        </w:tc>
        <w:tc>
          <w:tcPr>
            <w:tcW w:type="dxa" w:w="172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#F59E0B</w:t>
            </w:r>
          </w:p>
        </w:tc>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Editar</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Eliminar</w:t>
            </w:r>
          </w:p>
        </w:tc>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Papelera</w:t>
            </w:r>
          </w:p>
        </w:tc>
        <w:tc>
          <w:tcPr>
            <w:tcW w:type="dxa" w:w="172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#E5484D</w:t>
            </w:r>
          </w:p>
        </w:tc>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Eliminar</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Más opciones</w:t>
            </w:r>
          </w:p>
        </w:tc>
        <w:tc>
          <w:tcPr>
            <w:tcW w:type="dxa" w:w="244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Tres puntos verticales</w:t>
            </w:r>
          </w:p>
        </w:tc>
        <w:tc>
          <w:tcPr>
            <w:tcW w:type="dxa" w:w="172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#64748B</w:t>
            </w:r>
          </w:p>
        </w:tc>
        <w:tc>
          <w:tcPr>
            <w:tcW w:type="dxa" w:w="31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Más opciones</w:t>
            </w:r>
          </w:p>
        </w:tc>
      </w:tr>
    </w:tbl>
    <w:p>
      <w:pPr>
        <w:pStyle w:val="CodeBlock"/>
      </w:pPr>
      <w:r>
        <w:rPr>
          <w:rFonts w:ascii="Inter" w:hAnsi="Inter" w:eastAsia="Inter"/>
        </w:rPr>
        <w:t>.row-actions { display: flex; align-items: center; gap: 12px; }</w:t>
      </w:r>
    </w:p>
    <w:p>
      <w:pPr>
        <w:pStyle w:val="CodeBlock"/>
      </w:pPr>
      <w:r>
        <w:rPr>
          <w:rFonts w:ascii="Inter" w:hAnsi="Inter" w:eastAsia="Inter"/>
        </w:rPr>
        <w:t>.action-icon { width: 18px; height: 18px; cursor: pointer; transition: all 0.15s ease; }</w:t>
      </w:r>
    </w:p>
    <w:p>
      <w:pPr>
        <w:pStyle w:val="Heading1Custom"/>
      </w:pPr>
      <w:r>
        <w:rPr>
          <w:rFonts w:ascii="Inter" w:hAnsi="Inter" w:eastAsia="Inter"/>
        </w:rPr>
        <w:t>8. Estados, badges y colores funcionales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04"/>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Estado</w:t>
            </w:r>
          </w:p>
        </w:tc>
        <w:tc>
          <w:tcPr>
            <w:tcW w:type="dxa" w:w="2592"/>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Fondo</w:t>
            </w:r>
          </w:p>
        </w:tc>
        <w:tc>
          <w:tcPr>
            <w:tcW w:type="dxa" w:w="2592"/>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Borde</w:t>
            </w:r>
          </w:p>
        </w:tc>
        <w:tc>
          <w:tcPr>
            <w:tcW w:type="dxa" w:w="2160"/>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Texto</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Aprobado</w:t>
            </w:r>
          </w:p>
        </w:tc>
        <w:tc>
          <w:tcPr>
            <w:tcW w:type="dxa" w:w="25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rgba(43,181,169,0.10)</w:t>
            </w:r>
          </w:p>
        </w:tc>
        <w:tc>
          <w:tcPr>
            <w:tcW w:type="dxa" w:w="25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rgba(43,181,169,0.20)</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#168C83</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En elaboración</w:t>
            </w:r>
          </w:p>
        </w:tc>
        <w:tc>
          <w:tcPr>
            <w:tcW w:type="dxa" w:w="25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rgba(79,124,247,0.10)</w:t>
            </w:r>
          </w:p>
        </w:tc>
        <w:tc>
          <w:tcPr>
            <w:tcW w:type="dxa" w:w="25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rgba(79,124,247,0.20)</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#3D67D8</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En incidencia</w:t>
            </w:r>
          </w:p>
        </w:tc>
        <w:tc>
          <w:tcPr>
            <w:tcW w:type="dxa" w:w="25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rgba(245,158,11,0.14)</w:t>
            </w:r>
          </w:p>
        </w:tc>
        <w:tc>
          <w:tcPr>
            <w:tcW w:type="dxa" w:w="25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rgba(245,158,11,0.25)</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#B45309</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Crítico / vencido</w:t>
            </w:r>
          </w:p>
        </w:tc>
        <w:tc>
          <w:tcPr>
            <w:tcW w:type="dxa" w:w="25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rgba(229,72,77,0.12)</w:t>
            </w:r>
          </w:p>
        </w:tc>
        <w:tc>
          <w:tcPr>
            <w:tcW w:type="dxa" w:w="25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rgba(229,72,77,0.25)</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#C53030</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Cerrado</w:t>
            </w:r>
          </w:p>
        </w:tc>
        <w:tc>
          <w:tcPr>
            <w:tcW w:type="dxa" w:w="25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rgba(15,27,46,0.08)</w:t>
            </w:r>
          </w:p>
        </w:tc>
        <w:tc>
          <w:tcPr>
            <w:tcW w:type="dxa" w:w="2592"/>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rgba(15,27,46,0.15)</w:t>
            </w:r>
          </w:p>
        </w:tc>
        <w:tc>
          <w:tcPr>
            <w:tcW w:type="dxa" w:w="216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#0F1B2E</w:t>
            </w:r>
          </w:p>
        </w:tc>
      </w:tr>
    </w:tbl>
    <w:p>
      <w:pPr>
        <w:pStyle w:val="CodeBlock"/>
      </w:pPr>
      <w:r>
        <w:rPr>
          <w:rFonts w:ascii="Inter" w:hAnsi="Inter" w:eastAsia="Inter"/>
        </w:rPr>
        <w:t>.badge { display: inline-flex; align-items: center; height: 28px; padding: 0 10px; border-radius: 999px; font-size: 12px; font-weight: 600; }</w:t>
      </w:r>
    </w:p>
    <w:p>
      <w:pPr>
        <w:pStyle w:val="Heading1Custom"/>
      </w:pPr>
      <w:r>
        <w:rPr>
          <w:rFonts w:ascii="Inter" w:hAnsi="Inter" w:eastAsia="Inter"/>
        </w:rPr>
        <w:t>9. Accesibilidad y usabilidad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Regla</w:t>
            </w:r>
          </w:p>
        </w:tc>
        <w:tc>
          <w:tcPr>
            <w:tcW w:type="dxa" w:w="6768"/>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Aplicación</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No usar solo color para transmitir estado</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Acompañar con texto de badge e icono cuando sea necesario</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Área clicable mínima</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40 x 40 px en botones e iconos interactivos</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Tooltips obligatorios</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Todas las acciones por icono deben tener tooltip y aria-label</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Contraste</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Texto principal en navy; evitar grises demasiado claros en contenido crítico</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Clics operativos</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Las acciones frecuentes deben estar a máximo 3 clics desde la vista principal</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Densidad de tabla</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Debe permitir mostrar más registros sin perder legibilidad; hero compacto obligatorio</w:t>
            </w:r>
          </w:p>
        </w:tc>
      </w:tr>
      <w:tr>
        <w:tc>
          <w:tcPr>
            <w:tcW w:type="dxa" w:w="2880"/>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Errores y confirmaciones</w:t>
            </w:r>
          </w:p>
        </w:tc>
        <w:tc>
          <w:tcPr>
            <w:tcW w:type="dxa" w:w="6768"/>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Eliminar siempre requiere confirmación; guardar debe mostrar feedback claro</w:t>
            </w:r>
          </w:p>
        </w:tc>
      </w:tr>
    </w:tbl>
    <w:p>
      <w:pPr>
        <w:pStyle w:val="Heading1Custom"/>
      </w:pPr>
      <w:r>
        <w:rPr>
          <w:rFonts w:ascii="Inter" w:hAnsi="Inter" w:eastAsia="Inter"/>
        </w:rPr>
        <w:t>10. Reglas de reutilización para otros módulos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Módulo</w:t>
            </w:r>
          </w:p>
        </w:tc>
        <w:tc>
          <w:tcPr>
            <w:tcW w:type="dxa" w:w="7344"/>
            <w:shd w:fill="F4F6FC"/>
            <w:tcMar>
              <w:top w:w="110" w:type="dxa"/>
              <w:start w:w="90" w:type="dxa"/>
              <w:bottom w:w="110" w:type="dxa"/>
              <w:end w:w="90" w:type="dxa"/>
            </w:tcMar>
            <w:vAlign w:val="center"/>
            <w:tcBorders>
              <w:top w:sz="4" w:val="single" w:color="E2E8F0"/>
              <w:left w:sz="4" w:val="single" w:color="E2E8F0"/>
              <w:bottom w:sz="4" w:val="single" w:color="E2E8F0"/>
              <w:right w:sz="4" w:val="single" w:color="E2E8F0"/>
            </w:tcBorders>
          </w:tcPr>
          <w:p>
            <w:pPr>
              <w:jc w:val="left"/>
            </w:pPr>
            <w:r>
              <w:rPr>
                <w:b/>
                <w:color w:val="0F1B2E"/>
                <w:sz w:val="17"/>
              </w:rPr>
              <w:t>Adaptación sobre el patrón</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Muestras</w:t>
            </w:r>
          </w:p>
        </w:tc>
        <w:tc>
          <w:tcPr>
            <w:tcW w:type="dxa" w:w="734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Cambiar título, subtítulo, filtros y columnas. Mantener header, hero compacto, card, acciones e iconos.</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Planificación</w:t>
            </w:r>
          </w:p>
        </w:tc>
        <w:tc>
          <w:tcPr>
            <w:tcW w:type="dxa" w:w="734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Sustituir tabla principal por calendario o vista mixta. Mantener navegación y controles.</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Operaciones</w:t>
            </w:r>
          </w:p>
        </w:tc>
        <w:tc>
          <w:tcPr>
            <w:tcW w:type="dxa" w:w="734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Priorizar worklists y estados operativos. Mantener acciones por icono.</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Desviaciones</w:t>
            </w:r>
          </w:p>
        </w:tc>
        <w:tc>
          <w:tcPr>
            <w:tcW w:type="dxa" w:w="734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Mayor presencia de badges de criticidad y filtros por estado.</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Alertas</w:t>
            </w:r>
          </w:p>
        </w:tc>
        <w:tc>
          <w:tcPr>
            <w:tcW w:type="dxa" w:w="734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Vista de listado con prioridad visual por criticidad.</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Informes</w:t>
            </w:r>
          </w:p>
        </w:tc>
        <w:tc>
          <w:tcPr>
            <w:tcW w:type="dxa" w:w="734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Filtros, tabla y acciones de descarga/visualización.</w:t>
            </w:r>
          </w:p>
        </w:tc>
      </w:tr>
      <w:tr>
        <w:tc>
          <w:tcPr>
            <w:tcW w:type="dxa" w:w="230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Auditoría</w:t>
            </w:r>
          </w:p>
        </w:tc>
        <w:tc>
          <w:tcPr>
            <w:tcW w:type="dxa" w:w="7344"/>
            <w:tcMar>
              <w:top w:w="95" w:type="dxa"/>
              <w:start w:w="90" w:type="dxa"/>
              <w:bottom w:w="95" w:type="dxa"/>
              <w:end w:w="90" w:type="dxa"/>
            </w:tcMar>
            <w:vAlign w:val="center"/>
            <w:tcBorders>
              <w:top w:sz="4" w:val="single" w:color="E2E8F0"/>
              <w:left w:sz="4" w:val="single" w:color="E2E8F0"/>
              <w:bottom w:sz="4" w:val="single" w:color="E2E8F0"/>
              <w:right w:sz="4" w:val="single" w:color="E2E8F0"/>
            </w:tcBorders>
          </w:tcPr>
          <w:p>
            <w:pPr>
              <w:jc w:val="left"/>
            </w:pPr>
            <w:r>
              <w:rPr>
                <w:color w:val="0F1B2E"/>
                <w:sz w:val="17"/>
              </w:rPr>
              <w:t>Tabla de eventos, filtros de usuario/fecha/acción, sin CTA primario salvo exportación.</w:t>
            </w:r>
          </w:p>
        </w:tc>
      </w:tr>
    </w:tbl>
    <w:p>
      <w:pPr>
        <w:pStyle w:val="Heading1Custom"/>
      </w:pPr>
      <w:r>
        <w:rPr>
          <w:rFonts w:ascii="Inter" w:hAnsi="Inter" w:eastAsia="Inter"/>
        </w:rPr>
        <w:t>11. Tokens CSS y ejemplos de implementación</w:t>
      </w:r>
    </w:p>
    <w:p>
      <w:pPr>
        <w:pStyle w:val="CodeBlock"/>
      </w:pPr>
      <w:r>
        <w:rPr>
          <w:rFonts w:ascii="Inter" w:hAnsi="Inter" w:eastAsia="Inter"/>
        </w:rPr>
        <w:t>:root {</w:t>
        <w:br/>
        <w:t xml:space="preserve">  --color-purple: #6B5BD6;</w:t>
        <w:br/>
        <w:t xml:space="preserve">  --color-teal: #2BB5A9;</w:t>
        <w:br/>
        <w:t xml:space="preserve">  --color-soft-blue: #A9B4F7;</w:t>
        <w:br/>
        <w:t xml:space="preserve">  --color-mint: #E6F4F2;</w:t>
        <w:br/>
        <w:t xml:space="preserve">  --color-navy: #0F1B2E;</w:t>
        <w:br/>
        <w:br/>
        <w:t xml:space="preserve">  --color-bg: #F8FAFC;</w:t>
        <w:br/>
        <w:t xml:space="preserve">  --color-surface: #FFFFFF;</w:t>
        <w:br/>
        <w:t xml:space="preserve">  --color-border: #E2E8F0;</w:t>
        <w:br/>
        <w:t xml:space="preserve">  --color-border-soft: #EEF2F7;</w:t>
        <w:br/>
        <w:t xml:space="preserve">  --color-text: #0F1B2E;</w:t>
        <w:br/>
        <w:t xml:space="preserve">  --color-text-secondary: #64748B;</w:t>
        <w:br/>
        <w:t xml:space="preserve">  --color-text-muted: #94A3B8;</w:t>
        <w:br/>
        <w:br/>
        <w:t xml:space="preserve">  --color-success: #16A99A;</w:t>
        <w:br/>
        <w:t xml:space="preserve">  --color-warning: #F59E0B;</w:t>
        <w:br/>
        <w:t xml:space="preserve">  --color-danger: #E5484D;</w:t>
        <w:br/>
        <w:t xml:space="preserve">  --color-info: #4F7CF7;</w:t>
        <w:br/>
        <w:br/>
        <w:t xml:space="preserve">  --font-family-base: "Inter", system-ui, sans-serif;</w:t>
        <w:br/>
        <w:br/>
        <w:t xml:space="preserve">  --radius-sm: 8px;</w:t>
        <w:br/>
        <w:t xml:space="preserve">  --radius-md: 12px;</w:t>
        <w:br/>
        <w:t xml:space="preserve">  --radius-lg: 18px;</w:t>
        <w:br/>
        <w:t xml:space="preserve">  --radius-xl: 20px;</w:t>
        <w:br/>
        <w:t xml:space="preserve">  --radius-pill: 999px;</w:t>
        <w:br/>
        <w:br/>
        <w:t xml:space="preserve">  --shadow-sm: 0 2px 10px rgba(15, 27, 46, 0.04);</w:t>
        <w:br/>
        <w:t xml:space="preserve">  --shadow-md: 0 8px 24px rgba(15, 27, 46, 0.05);</w:t>
        <w:br/>
        <w:br/>
        <w:t xml:space="preserve">  --header-height: 72px;</w:t>
        <w:br/>
        <w:t xml:space="preserve">  --content-padding: 24px 32px 32px 32px;</w:t>
        <w:br/>
        <w:t>}</w:t>
      </w:r>
    </w:p>
    <w:p>
      <w:pPr>
        <w:pStyle w:val="Heading1Custom"/>
      </w:pPr>
      <w:r>
        <w:rPr>
          <w:rFonts w:ascii="Inter" w:hAnsi="Inter" w:eastAsia="Inter"/>
        </w:rPr>
        <w:t>12. Checklist de aceptación para IT</w:t>
      </w:r>
    </w:p>
    <w:p>
      <w:pPr>
        <w:pStyle w:val="BodyTextTight"/>
      </w:pPr>
      <w:r>
        <w:rPr>
          <w:rFonts w:ascii="Inter" w:hAnsi="Inter" w:eastAsia="Inter"/>
          <w:sz w:val="19"/>
        </w:rPr>
        <w:t>☐ 1. La pantalla usa navegación superior única y no tiene menú lateral.</w:t>
      </w:r>
    </w:p>
    <w:p>
      <w:pPr>
        <w:pStyle w:val="BodyTextTight"/>
      </w:pPr>
      <w:r>
        <w:rPr>
          <w:rFonts w:ascii="Inter" w:hAnsi="Inter" w:eastAsia="Inter"/>
          <w:sz w:val="19"/>
        </w:rPr>
        <w:t>☐ 2. No aparece selector Madrid/sede en el header.</w:t>
      </w:r>
    </w:p>
    <w:p>
      <w:pPr>
        <w:pStyle w:val="BodyTextTight"/>
      </w:pPr>
      <w:r>
        <w:rPr>
          <w:rFonts w:ascii="Inter" w:hAnsi="Inter" w:eastAsia="Inter"/>
          <w:sz w:val="19"/>
        </w:rPr>
        <w:t>☐ 3. El hero de Estudios tiene altura aproximada de 116 px y no supera 128 px.</w:t>
      </w:r>
    </w:p>
    <w:p>
      <w:pPr>
        <w:pStyle w:val="BodyTextTight"/>
      </w:pPr>
      <w:r>
        <w:rPr>
          <w:rFonts w:ascii="Inter" w:hAnsi="Inter" w:eastAsia="Inter"/>
          <w:sz w:val="19"/>
        </w:rPr>
        <w:t>☐ 4. No aparecen tarjetas KPI en la pantalla Estudios.</w:t>
      </w:r>
    </w:p>
    <w:p>
      <w:pPr>
        <w:pStyle w:val="BodyTextTight"/>
      </w:pPr>
      <w:r>
        <w:rPr>
          <w:rFonts w:ascii="Inter" w:hAnsi="Inter" w:eastAsia="Inter"/>
          <w:sz w:val="19"/>
        </w:rPr>
        <w:t>☐ 5. Los filtros visibles son búsqueda, Estado, Cliente y Producto.</w:t>
      </w:r>
    </w:p>
    <w:p>
      <w:pPr>
        <w:pStyle w:val="BodyTextTight"/>
      </w:pPr>
      <w:r>
        <w:rPr>
          <w:rFonts w:ascii="Inter" w:hAnsi="Inter" w:eastAsia="Inter"/>
          <w:sz w:val="19"/>
        </w:rPr>
        <w:t>☐ 6. No aparece el filtro Responsable.</w:t>
      </w:r>
    </w:p>
    <w:p>
      <w:pPr>
        <w:pStyle w:val="BodyTextTight"/>
      </w:pPr>
      <w:r>
        <w:rPr>
          <w:rFonts w:ascii="Inter" w:hAnsi="Inter" w:eastAsia="Inter"/>
          <w:sz w:val="19"/>
        </w:rPr>
        <w:t>☐ 7. El botón + Nuevo estudio está a la derecha de la zona de filtros.</w:t>
      </w:r>
    </w:p>
    <w:p>
      <w:pPr>
        <w:pStyle w:val="BodyTextTight"/>
      </w:pPr>
      <w:r>
        <w:rPr>
          <w:rFonts w:ascii="Inter" w:hAnsi="Inter" w:eastAsia="Inter"/>
          <w:sz w:val="19"/>
        </w:rPr>
        <w:t>☐ 8. La tabla contiene las diez columnas definidas.</w:t>
      </w:r>
    </w:p>
    <w:p>
      <w:pPr>
        <w:pStyle w:val="BodyTextTight"/>
      </w:pPr>
      <w:r>
        <w:rPr>
          <w:rFonts w:ascii="Inter" w:hAnsi="Inter" w:eastAsia="Inter"/>
          <w:sz w:val="19"/>
        </w:rPr>
        <w:t>☐ 9. La cabecera de tabla usa fondo lavanda/azul suave y filas blancas.</w:t>
      </w:r>
    </w:p>
    <w:p>
      <w:pPr>
        <w:pStyle w:val="BodyTextTight"/>
      </w:pPr>
      <w:r>
        <w:rPr>
          <w:rFonts w:ascii="Inter" w:hAnsi="Inter" w:eastAsia="Inter"/>
          <w:sz w:val="19"/>
        </w:rPr>
        <w:t>☐ 10. Las acciones por fila son iconos lineales, no botones de texto.</w:t>
      </w:r>
    </w:p>
    <w:p>
      <w:pPr>
        <w:pStyle w:val="BodyTextTight"/>
      </w:pPr>
      <w:r>
        <w:rPr>
          <w:rFonts w:ascii="Inter" w:hAnsi="Inter" w:eastAsia="Inter"/>
          <w:sz w:val="19"/>
        </w:rPr>
        <w:t>☐ 11. Cada icono tiene tooltip y aria-label.</w:t>
      </w:r>
    </w:p>
    <w:p>
      <w:pPr>
        <w:pStyle w:val="BodyTextTight"/>
      </w:pPr>
      <w:r>
        <w:rPr>
          <w:rFonts w:ascii="Inter" w:hAnsi="Inter" w:eastAsia="Inter"/>
          <w:sz w:val="19"/>
        </w:rPr>
        <w:t>☐ 12. Los estados aparecen como badges con texto y color funcional.</w:t>
      </w:r>
    </w:p>
    <w:p>
      <w:pPr>
        <w:pStyle w:val="BodyTextTight"/>
      </w:pPr>
      <w:r>
        <w:rPr>
          <w:rFonts w:ascii="Inter" w:hAnsi="Inter" w:eastAsia="Inter"/>
          <w:sz w:val="19"/>
        </w:rPr>
        <w:t>☐ 13. La tipografía usada es Inter o fallback equivalente.</w:t>
      </w:r>
    </w:p>
    <w:p>
      <w:pPr>
        <w:pStyle w:val="BodyTextTight"/>
      </w:pPr>
      <w:r>
        <w:rPr>
          <w:rFonts w:ascii="Inter" w:hAnsi="Inter" w:eastAsia="Inter"/>
          <w:sz w:val="19"/>
        </w:rPr>
        <w:t>☐ 14. Se respetan los tokens de color, radio, sombra y espaciado.</w:t>
      </w:r>
    </w:p>
    <w:p>
      <w:pPr>
        <w:pStyle w:val="BodyTextTight"/>
      </w:pPr>
      <w:r>
        <w:rPr>
          <w:rFonts w:ascii="Inter" w:hAnsi="Inter" w:eastAsia="Inter"/>
          <w:sz w:val="19"/>
        </w:rPr>
        <w:t>☐ 15. La pantalla permite ver más registros sin scroll gracias al hero compacto.</w:t>
      </w:r>
    </w:p>
    <w:p>
      <w:pPr>
        <w:pStyle w:val="Heading1Custom"/>
      </w:pPr>
      <w:r>
        <w:rPr>
          <w:rFonts w:ascii="Inter" w:hAnsi="Inter" w:eastAsia="Inter"/>
        </w:rPr>
        <w:t>13. Anexo: instrucción ejecutiva para el equipo</w:t>
      </w:r>
    </w:p>
    <w:tbl>
      <w:tblPr>
        <w:tblW w:type="auto" w:w="0"/>
        <w:jc w:val="center"/>
        <w:tblLook w:firstColumn="1" w:firstRow="1" w:lastColumn="0" w:lastRow="0" w:noHBand="0" w:noVBand="1" w:val="04A0"/>
      </w:tblPr>
      <w:tblGrid>
        <w:gridCol w:w="259"/>
        <w:gridCol w:w="8784"/>
      </w:tblGrid>
      <w:tr>
        <w:tc>
          <w:tcPr>
            <w:tcW w:type="dxa" w:w="5184"/>
            <w:shd w:fill="2BB5A9"/>
            <w:tcBorders>
              <w:top w:sz="6" w:val="single" w:color="E2E8F0"/>
              <w:left w:sz="6" w:val="single" w:color="E2E8F0"/>
              <w:bottom w:sz="6" w:val="single" w:color="E2E8F0"/>
              <w:right w:sz="6" w:val="single" w:color="E2E8F0"/>
            </w:tcBorders>
            <w:tcMar>
              <w:top w:w="100" w:type="dxa"/>
              <w:start w:w="120" w:type="dxa"/>
              <w:bottom w:w="100" w:type="dxa"/>
              <w:end w:w="120" w:type="dxa"/>
            </w:tcMar>
          </w:tcPr>
          <w:p/>
        </w:tc>
        <w:tc>
          <w:tcPr>
            <w:tcW w:type="dxa" w:w="5184"/>
            <w:shd w:fill="FFFFFF"/>
            <w:tcBorders>
              <w:top w:sz="6" w:val="single" w:color="E2E8F0"/>
              <w:left w:sz="6" w:val="single" w:color="E2E8F0"/>
              <w:bottom w:sz="6" w:val="single" w:color="E2E8F0"/>
              <w:right w:sz="6" w:val="single" w:color="E2E8F0"/>
            </w:tcBorders>
            <w:tcMar>
              <w:top w:w="100" w:type="dxa"/>
              <w:start w:w="120" w:type="dxa"/>
              <w:bottom w:w="100" w:type="dxa"/>
              <w:end w:w="120" w:type="dxa"/>
            </w:tcMar>
          </w:tcPr>
          <w:p>
            <w:r>
              <w:rPr>
                <w:b/>
                <w:color w:val="0F1B2E"/>
                <w:sz w:val="21"/>
              </w:rPr>
              <w:t>Texto para trasladar a IT</w:t>
            </w:r>
          </w:p>
          <w:p>
            <w:pPr>
              <w:pStyle w:val="BodyTextSmall"/>
            </w:pPr>
            <w:r>
              <w:t>La pantalla “Estudios” de NetLab One Stability deberá desarrollarse con navegación exclusivamente superior, sin menú lateral izquierdo y sin selector de sede o ciudad. La interfaz usará la identidad visual NetLab One definida: fondo claro, superficies blancas, tipografía Inter, uso predominante de navy, violeta y turquesa, bordes suaves y sombras ligeras. El bloque de cabecera de la utilidad (“Estudios”) deberá ser compacto, con una altura aproximada de 116 px y nunca superior a 128 px, para dejar mayor espacio visible a la tabla y permitir mostrar más registros sin necesidad de scroll. La página no incluirá bloques KPI ni tarjetas resumen. Debe componerse de un hero compacto con título, subtítulo y tarjeta de recomendación, seguido de una card principal con filtros, tabla y paginación. Los filtros visibles serán: búsqueda, Estado, Cliente y Producto. No debe mostrarse el campo Responsable. El botón principal será “+ Nuevo estudio”, situado a la derecha del bloque de filtros. La tabla mostrará las columnas Código, Título del estudio, Cliente, Producto, Código producto, Protocolo, Estado, Inicio, Fin prevista y Acciones. La cabecera tendrá fondo lavanda/azul muy suave y las filas fondo blanco con hover sutil. Las acciones por fila se representarán únicamente mediante iconos lineales: ojo para ver, calendario para planificación o fechas, lápiz para editar, papelera para eliminar y tres puntos para más opciones, utilizando los colores aprobados. Toda la implementación debe respetar esta guía como patrón para los demás módulos de la plataforma.</w:t>
            </w:r>
          </w:p>
        </w:tc>
      </w:tr>
    </w:tbl>
    <w:p>
      <w:pPr>
        <w:pStyle w:val="Heading2Custom"/>
      </w:pPr>
      <w:r>
        <w:rPr>
          <w:rFonts w:ascii="Inter" w:hAnsi="Inter" w:eastAsia="Inter"/>
        </w:rPr>
        <w:t>Nota estratégica</w:t>
      </w:r>
    </w:p>
    <w:p>
      <w:pPr>
        <w:pStyle w:val="BodyTextTight"/>
      </w:pPr>
      <w:r>
        <w:rPr>
          <w:rFonts w:ascii="Inter" w:hAnsi="Inter" w:eastAsia="Inter"/>
        </w:rPr>
        <w:t>Esta especificación no es solo una guía estética. Es una herramienta para reducir dispersión, mejorar adopción, ordenar el desarrollo y construir una plataforma común de procesos inteligentes para el laboratorio. Debe aplicarse con disciplina para evitar que cada módulo evolucione con una estética o navegación propia.</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Documento de trabajo para equipo IT · Netpharmalab–Docuchem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NetLab One Stability · Especificación UI/UX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0F1B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80" w:line="252" w:lineRule="auto"/>
    </w:pPr>
    <w:rPr>
      <w:rFonts w:ascii="Inter" w:hAnsi="Inter" w:eastAsia="Inter"/>
      <w:b/>
      <w:color w:val="0F1B2E"/>
      <w:sz w:val="56"/>
    </w:rPr>
  </w:style>
  <w:style w:type="paragraph" w:customStyle="1" w:styleId="SubtitleCustom">
    <w:name w:val="SubtitleCustom"/>
    <w:pPr>
      <w:spacing w:after="80" w:line="252" w:lineRule="auto"/>
    </w:pPr>
    <w:rPr>
      <w:rFonts w:ascii="Inter" w:hAnsi="Inter" w:eastAsia="Inter"/>
      <w:b w:val="0"/>
      <w:color w:val="64748B"/>
      <w:sz w:val="26"/>
    </w:rPr>
  </w:style>
  <w:style w:type="paragraph" w:customStyle="1" w:styleId="Heading1Custom">
    <w:name w:val="Heading1Custom"/>
    <w:pPr>
      <w:spacing w:after="80" w:line="252" w:lineRule="auto"/>
    </w:pPr>
    <w:rPr>
      <w:rFonts w:ascii="Inter" w:hAnsi="Inter" w:eastAsia="Inter"/>
      <w:b/>
      <w:color w:val="0F1B2E"/>
      <w:sz w:val="36"/>
    </w:rPr>
  </w:style>
  <w:style w:type="paragraph" w:customStyle="1" w:styleId="Heading2Custom">
    <w:name w:val="Heading2Custom"/>
    <w:pPr>
      <w:spacing w:after="80" w:line="252" w:lineRule="auto"/>
    </w:pPr>
    <w:rPr>
      <w:rFonts w:ascii="Inter" w:hAnsi="Inter" w:eastAsia="Inter"/>
      <w:b/>
      <w:color w:val="6B5BD6"/>
      <w:sz w:val="27"/>
    </w:rPr>
  </w:style>
  <w:style w:type="paragraph" w:customStyle="1" w:styleId="Heading3Custom">
    <w:name w:val="Heading3Custom"/>
    <w:pPr>
      <w:spacing w:after="80" w:line="252" w:lineRule="auto"/>
    </w:pPr>
    <w:rPr>
      <w:rFonts w:ascii="Inter" w:hAnsi="Inter" w:eastAsia="Inter"/>
      <w:b/>
      <w:color w:val="0F1B2E"/>
      <w:sz w:val="23"/>
    </w:rPr>
  </w:style>
  <w:style w:type="paragraph" w:customStyle="1" w:styleId="BodyTextSmall">
    <w:name w:val="BodyTextSmall"/>
    <w:pPr>
      <w:spacing w:after="80" w:line="252" w:lineRule="auto"/>
    </w:pPr>
    <w:rPr>
      <w:rFonts w:ascii="Inter" w:hAnsi="Inter" w:eastAsia="Inter"/>
      <w:b w:val="0"/>
      <w:color w:val="64748B"/>
      <w:sz w:val="18"/>
    </w:rPr>
  </w:style>
  <w:style w:type="paragraph" w:customStyle="1" w:styleId="BodyTextTight">
    <w:name w:val="BodyTextTight"/>
    <w:pPr>
      <w:spacing w:after="80" w:line="252" w:lineRule="auto"/>
    </w:pPr>
    <w:rPr>
      <w:rFonts w:ascii="Inter" w:hAnsi="Inter" w:eastAsia="Inter"/>
      <w:b w:val="0"/>
      <w:color w:val="0F1B2E"/>
      <w:sz w:val="19"/>
    </w:rPr>
  </w:style>
  <w:style w:type="paragraph" w:customStyle="1" w:styleId="CodeBlock">
    <w:name w:val="CodeBlock"/>
    <w:pPr>
      <w:spacing w:before="40" w:after="40" w:line="240" w:lineRule="auto"/>
      <w:ind w:left="216"/>
    </w:pPr>
    <w:rPr>
      <w:rFonts w:ascii="Consolas" w:hAnsi="Consolas" w:eastAsia="Consolas"/>
      <w:color w:val="0F1B2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