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227.99999999999997" w:type="dxa"/>
      </w:tblPr>
      <w:tblGrid>
        <w:gridCol w:w="2374"/>
        <w:gridCol w:w="2374"/>
        <w:gridCol w:w="2374"/>
        <w:gridCol w:w="2374"/>
      </w:tblGrid>
      <w:tr>
        <w:trPr>
          <w:trHeight w:hRule="exact" w:val="636"/>
        </w:trPr>
        <w:tc>
          <w:tcPr>
            <w:tcW w:type="dxa" w:w="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400" w:after="0"/>
              <w:ind w:left="0" w:right="0" w:firstLine="0"/>
              <w:jc w:val="left"/>
            </w:pPr>
            <w:r>
              <w:rPr>
                <w:w w:val="95.9424614906311"/>
                <w:rFonts w:ascii="Times" w:hAnsi="Times" w:eastAsia="Times"/>
                <w:b w:val="0"/>
                <w:i w:val="0"/>
                <w:color w:val="FFFFFF"/>
                <w:sz w:val="2"/>
              </w:rPr>
              <w:t>bs_bs_banner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140"/>
            </w:tblGrid>
            <w:tr>
              <w:trPr>
                <w:trHeight w:hRule="exact" w:val="472"/>
              </w:trPr>
              <w:tc>
                <w:tcPr>
                  <w:tcW w:type="dxa" w:w="1080"/>
                  <w:tcBorders/>
                  <w:shd w:fill="d46b2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8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48970" cy="270509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8970" cy="27050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1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73480" cy="25019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2501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0479" cy="3429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479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50" w:lineRule="exact" w:before="68" w:after="0"/>
        <w:ind w:left="0" w:right="1100" w:firstLine="0"/>
        <w:jc w:val="right"/>
      </w:pPr>
      <w:r>
        <w:rPr>
          <w:rFonts w:ascii="AdvTT47a11158.B" w:hAnsi="AdvTT47a11158.B" w:eastAsia="AdvTT47a11158.B"/>
          <w:b w:val="0"/>
          <w:i w:val="0"/>
          <w:color w:val="231F20"/>
          <w:sz w:val="15"/>
        </w:rPr>
        <w:t>doi:10.1111/jgh.13857</w:t>
      </w:r>
    </w:p>
    <w:p>
      <w:pPr>
        <w:autoSpaceDN w:val="0"/>
        <w:autoSpaceDE w:val="0"/>
        <w:widowControl/>
        <w:spacing w:line="200" w:lineRule="exact" w:before="410" w:after="0"/>
        <w:ind w:left="0" w:right="0" w:firstLine="0"/>
        <w:jc w:val="left"/>
      </w:pPr>
      <w:r>
        <w:rPr>
          <w:rFonts w:ascii="AdvTTc8c83e50" w:hAnsi="AdvTTc8c83e50" w:eastAsia="AdvTTc8c83e50"/>
          <w:b w:val="0"/>
          <w:i w:val="0"/>
          <w:color w:val="231F20"/>
          <w:sz w:val="20"/>
        </w:rPr>
        <w:t>REVIEW</w:t>
      </w:r>
    </w:p>
    <w:p>
      <w:pPr>
        <w:autoSpaceDN w:val="0"/>
        <w:autoSpaceDE w:val="0"/>
        <w:widowControl/>
        <w:spacing w:line="304" w:lineRule="exact" w:before="156" w:after="0"/>
        <w:ind w:left="0" w:right="0" w:firstLine="0"/>
        <w:jc w:val="left"/>
      </w:pPr>
      <w:r>
        <w:rPr>
          <w:rFonts w:ascii="AdvTTb9655705.B" w:hAnsi="AdvTTb9655705.B" w:eastAsia="AdvTTb9655705.B"/>
          <w:b w:val="0"/>
          <w:i w:val="0"/>
          <w:color w:val="231F20"/>
          <w:sz w:val="30"/>
        </w:rPr>
        <w:t>Asia</w:t>
      </w:r>
      <w:r>
        <w:rPr>
          <w:rFonts w:ascii="20" w:hAnsi="20" w:eastAsia="20"/>
          <w:b w:val="0"/>
          <w:i w:val="0"/>
          <w:color w:val="231F20"/>
          <w:sz w:val="30"/>
        </w:rPr>
        <w:t>–</w:t>
      </w:r>
      <w:r>
        <w:rPr>
          <w:rFonts w:ascii="AdvTTb9655705.B" w:hAnsi="AdvTTb9655705.B" w:eastAsia="AdvTTb9655705.B"/>
          <w:b w:val="0"/>
          <w:i w:val="0"/>
          <w:color w:val="231F20"/>
          <w:sz w:val="30"/>
        </w:rPr>
        <w:t>Paci</w:t>
      </w:r>
      <w:r>
        <w:rPr>
          <w:rFonts w:ascii="fb" w:hAnsi="fb" w:eastAsia="fb"/>
          <w:b w:val="0"/>
          <w:i w:val="0"/>
          <w:color w:val="231F20"/>
          <w:sz w:val="30"/>
        </w:rPr>
        <w:t>fi</w:t>
      </w:r>
      <w:r>
        <w:rPr>
          <w:rFonts w:ascii="AdvTTb9655705.B" w:hAnsi="AdvTTb9655705.B" w:eastAsia="AdvTTb9655705.B"/>
          <w:b w:val="0"/>
          <w:i w:val="0"/>
          <w:color w:val="231F20"/>
          <w:sz w:val="30"/>
        </w:rPr>
        <w:t>c Working Party on Non-alcoholic Fatty Liver</w:t>
      </w:r>
    </w:p>
    <w:p>
      <w:pPr>
        <w:autoSpaceDN w:val="0"/>
        <w:autoSpaceDE w:val="0"/>
        <w:widowControl/>
        <w:spacing w:line="304" w:lineRule="exact" w:before="56" w:after="0"/>
        <w:ind w:left="0" w:right="0" w:firstLine="0"/>
        <w:jc w:val="left"/>
      </w:pPr>
      <w:r>
        <w:rPr>
          <w:rFonts w:ascii="AdvTTb9655705.B" w:hAnsi="AdvTTb9655705.B" w:eastAsia="AdvTTb9655705.B"/>
          <w:b w:val="0"/>
          <w:i w:val="0"/>
          <w:color w:val="231F20"/>
          <w:sz w:val="30"/>
        </w:rPr>
        <w:t>Disease guidelines 2017</w:t>
      </w:r>
      <w:r>
        <w:rPr>
          <w:rFonts w:ascii="20" w:hAnsi="20" w:eastAsia="20"/>
          <w:b w:val="0"/>
          <w:i w:val="0"/>
          <w:color w:val="231F20"/>
          <w:sz w:val="30"/>
        </w:rPr>
        <w:t>—</w:t>
      </w:r>
      <w:r>
        <w:rPr>
          <w:rFonts w:ascii="AdvTTb9655705.B" w:hAnsi="AdvTTb9655705.B" w:eastAsia="AdvTTb9655705.B"/>
          <w:b w:val="0"/>
          <w:i w:val="0"/>
          <w:color w:val="231F20"/>
          <w:sz w:val="30"/>
        </w:rPr>
        <w:t>Part 1: De</w:t>
      </w:r>
      <w:r>
        <w:rPr>
          <w:rFonts w:ascii="fb" w:hAnsi="fb" w:eastAsia="fb"/>
          <w:b w:val="0"/>
          <w:i w:val="0"/>
          <w:color w:val="231F20"/>
          <w:sz w:val="30"/>
        </w:rPr>
        <w:t>fi</w:t>
      </w:r>
      <w:r>
        <w:rPr>
          <w:rFonts w:ascii="AdvTTb9655705.B" w:hAnsi="AdvTTb9655705.B" w:eastAsia="AdvTTb9655705.B"/>
          <w:b w:val="0"/>
          <w:i w:val="0"/>
          <w:color w:val="231F20"/>
          <w:sz w:val="30"/>
        </w:rPr>
        <w:t>nition, risk factors and</w:t>
      </w:r>
    </w:p>
    <w:p>
      <w:pPr>
        <w:autoSpaceDN w:val="0"/>
        <w:autoSpaceDE w:val="0"/>
        <w:widowControl/>
        <w:spacing w:line="300" w:lineRule="exact" w:before="60" w:after="0"/>
        <w:ind w:left="0" w:right="0" w:firstLine="0"/>
        <w:jc w:val="left"/>
      </w:pPr>
      <w:r>
        <w:rPr>
          <w:rFonts w:ascii="AdvTTb9655705.B" w:hAnsi="AdvTTb9655705.B" w:eastAsia="AdvTTb9655705.B"/>
          <w:b w:val="0"/>
          <w:i w:val="0"/>
          <w:color w:val="231F20"/>
          <w:sz w:val="30"/>
        </w:rPr>
        <w:t>assessment</w:t>
      </w:r>
    </w:p>
    <w:p>
      <w:pPr>
        <w:autoSpaceDN w:val="0"/>
        <w:autoSpaceDE w:val="0"/>
        <w:widowControl/>
        <w:spacing w:line="240" w:lineRule="auto" w:before="66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20"/>
        </w:rPr>
        <w:t>Vincent Wai-Sun Wong,*</w:t>
      </w:r>
      <w:r>
        <w:rPr>
          <w:w w:val="101.00952557155065"/>
          <w:rFonts w:ascii="AdvTT080e16ec" w:hAnsi="AdvTT080e16ec" w:eastAsia="AdvTT080e16ec"/>
          <w:b w:val="0"/>
          <w:i w:val="0"/>
          <w:color w:val="231F20"/>
          <w:sz w:val="14"/>
        </w:rPr>
        <w:t>,</w:t>
      </w:r>
      <w:r>
        <w:rPr>
          <w:w w:val="101.00952557155065"/>
          <w:rFonts w:ascii="20" w:hAnsi="20" w:eastAsia="20"/>
          <w:b w:val="0"/>
          <w:i w:val="0"/>
          <w:color w:val="231F20"/>
          <w:sz w:val="14"/>
        </w:rPr>
        <w:t>†</w:t>
      </w:r>
      <w:r>
        <w:drawing>
          <wp:inline xmlns:a="http://schemas.openxmlformats.org/drawingml/2006/main" xmlns:pic="http://schemas.openxmlformats.org/drawingml/2006/picture">
            <wp:extent cx="137160" cy="1358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58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dvTT080e16ec" w:hAnsi="AdvTT080e16ec" w:eastAsia="AdvTT080e16ec"/>
          <w:b w:val="0"/>
          <w:i w:val="0"/>
          <w:color w:val="231F20"/>
          <w:sz w:val="20"/>
        </w:rPr>
        <w:t>Wah-Kheong Chan,</w:t>
      </w:r>
      <w:r>
        <w:rPr>
          <w:w w:val="101.00952557155065"/>
          <w:rFonts w:ascii="20" w:hAnsi="20" w:eastAsia="20"/>
          <w:b w:val="0"/>
          <w:i w:val="0"/>
          <w:color w:val="231F20"/>
          <w:sz w:val="14"/>
        </w:rPr>
        <w:t>‡</w:t>
      </w:r>
      <w:r>
        <w:rPr>
          <w:rFonts w:ascii="AdvTT080e16ec" w:hAnsi="AdvTT080e16ec" w:eastAsia="AdvTT080e16ec"/>
          <w:b w:val="0"/>
          <w:i w:val="0"/>
          <w:color w:val="231F20"/>
          <w:sz w:val="20"/>
        </w:rPr>
        <w:t>Shiv Chitturi,</w:t>
      </w:r>
      <w:r>
        <w:rPr>
          <w:w w:val="101.00952557155065"/>
          <w:rFonts w:ascii="AdvTT080e16ec" w:hAnsi="AdvTT080e16ec" w:eastAsia="AdvTT080e16ec"/>
          <w:b w:val="0"/>
          <w:i w:val="0"/>
          <w:color w:val="231F20"/>
          <w:sz w:val="14"/>
        </w:rPr>
        <w:t>§</w:t>
      </w:r>
      <w:r>
        <w:rPr>
          <w:rFonts w:ascii="AdvTT080e16ec" w:hAnsi="AdvTT080e16ec" w:eastAsia="AdvTT080e16ec"/>
          <w:b w:val="0"/>
          <w:i w:val="0"/>
          <w:color w:val="231F20"/>
          <w:sz w:val="20"/>
        </w:rPr>
        <w:t>Yogesh Chawla,</w:t>
      </w:r>
      <w:r>
        <w:rPr>
          <w:w w:val="101.00952557155065"/>
          <w:rFonts w:ascii="AdvTT080e16ec" w:hAnsi="AdvTT080e16ec" w:eastAsia="AdvTT080e16ec"/>
          <w:b w:val="0"/>
          <w:i w:val="0"/>
          <w:color w:val="231F20"/>
          <w:sz w:val="14"/>
        </w:rPr>
        <w:t>¶</w:t>
      </w:r>
      <w:r>
        <w:rPr>
          <w:rFonts w:ascii="AdvTT080e16ec" w:hAnsi="AdvTT080e16ec" w:eastAsia="AdvTT080e16ec"/>
          <w:b w:val="0"/>
          <w:i w:val="0"/>
          <w:color w:val="231F20"/>
          <w:sz w:val="20"/>
        </w:rPr>
        <w:t>Yock Young Dan,**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20"/>
        </w:rPr>
        <w:t>Ajay Duseja,</w:t>
      </w:r>
      <w:r>
        <w:rPr>
          <w:w w:val="101.00952557155065"/>
          <w:rFonts w:ascii="AdvTT080e16ec" w:hAnsi="AdvTT080e16ec" w:eastAsia="AdvTT080e16ec"/>
          <w:b w:val="0"/>
          <w:i w:val="0"/>
          <w:color w:val="231F20"/>
          <w:sz w:val="14"/>
        </w:rPr>
        <w:t>¶</w:t>
      </w:r>
      <w:r>
        <w:rPr>
          <w:rFonts w:ascii="AdvTT080e16ec" w:hAnsi="AdvTT080e16ec" w:eastAsia="AdvTT080e16ec"/>
          <w:b w:val="0"/>
          <w:i w:val="0"/>
          <w:color w:val="231F20"/>
          <w:sz w:val="20"/>
        </w:rPr>
        <w:t>Jiangao Fan,</w:t>
      </w:r>
      <w:r>
        <w:rPr>
          <w:w w:val="101.00952557155065"/>
          <w:rFonts w:ascii="20" w:hAnsi="20" w:eastAsia="20"/>
          <w:b w:val="0"/>
          <w:i w:val="0"/>
          <w:color w:val="231F20"/>
          <w:sz w:val="14"/>
        </w:rPr>
        <w:t>††</w:t>
      </w:r>
      <w:r>
        <w:rPr>
          <w:rFonts w:ascii="AdvTT080e16ec" w:hAnsi="AdvTT080e16ec" w:eastAsia="AdvTT080e16ec"/>
          <w:b w:val="0"/>
          <w:i w:val="0"/>
          <w:color w:val="231F20"/>
          <w:sz w:val="20"/>
        </w:rPr>
        <w:t>Khean-Lee Goh,</w:t>
      </w:r>
      <w:r>
        <w:rPr>
          <w:w w:val="101.00952557155065"/>
          <w:rFonts w:ascii="20" w:hAnsi="20" w:eastAsia="20"/>
          <w:b w:val="0"/>
          <w:i w:val="0"/>
          <w:color w:val="231F20"/>
          <w:sz w:val="14"/>
        </w:rPr>
        <w:t>‡</w:t>
      </w:r>
      <w:r>
        <w:drawing>
          <wp:inline xmlns:a="http://schemas.openxmlformats.org/drawingml/2006/main" xmlns:pic="http://schemas.openxmlformats.org/drawingml/2006/picture">
            <wp:extent cx="137160" cy="1358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58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dvTT080e16ec" w:hAnsi="AdvTT080e16ec" w:eastAsia="AdvTT080e16ec"/>
          <w:b w:val="0"/>
          <w:i w:val="0"/>
          <w:color w:val="231F20"/>
          <w:sz w:val="20"/>
        </w:rPr>
        <w:t>Masahide Hamaguchi,</w:t>
      </w:r>
      <w:r>
        <w:rPr>
          <w:w w:val="101.00952557155065"/>
          <w:rFonts w:ascii="20" w:hAnsi="20" w:eastAsia="20"/>
          <w:b w:val="0"/>
          <w:i w:val="0"/>
          <w:color w:val="231F20"/>
          <w:sz w:val="14"/>
        </w:rPr>
        <w:t>‡‡</w:t>
      </w:r>
      <w:r>
        <w:drawing>
          <wp:inline xmlns:a="http://schemas.openxmlformats.org/drawingml/2006/main" xmlns:pic="http://schemas.openxmlformats.org/drawingml/2006/picture">
            <wp:extent cx="137160" cy="1358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58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dvTT080e16ec" w:hAnsi="AdvTT080e16ec" w:eastAsia="AdvTT080e16ec"/>
          <w:b w:val="0"/>
          <w:i w:val="0"/>
          <w:color w:val="231F20"/>
          <w:sz w:val="20"/>
        </w:rPr>
        <w:t>Etsuko Hashimoto,</w:t>
      </w:r>
      <w:r>
        <w:rPr>
          <w:w w:val="101.00952557155065"/>
          <w:rFonts w:ascii="AdvTT080e16ec" w:hAnsi="AdvTT080e16ec" w:eastAsia="AdvTT080e16ec"/>
          <w:b w:val="0"/>
          <w:i w:val="0"/>
          <w:color w:val="231F20"/>
          <w:sz w:val="14"/>
        </w:rPr>
        <w:t>§§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20"/>
        </w:rPr>
        <w:t>Seung Up Kim,</w:t>
      </w:r>
      <w:r>
        <w:rPr>
          <w:w w:val="101.00952557155065"/>
          <w:rFonts w:ascii="AdvTT080e16ec" w:hAnsi="AdvTT080e16ec" w:eastAsia="AdvTT080e16ec"/>
          <w:b w:val="0"/>
          <w:i w:val="0"/>
          <w:color w:val="231F20"/>
          <w:sz w:val="14"/>
        </w:rPr>
        <w:t>¶¶</w:t>
      </w:r>
      <w:r>
        <w:drawing>
          <wp:inline xmlns:a="http://schemas.openxmlformats.org/drawingml/2006/main" xmlns:pic="http://schemas.openxmlformats.org/drawingml/2006/picture">
            <wp:extent cx="137160" cy="1346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46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dvTT080e16ec" w:hAnsi="AdvTT080e16ec" w:eastAsia="AdvTT080e16ec"/>
          <w:b w:val="0"/>
          <w:i w:val="0"/>
          <w:color w:val="231F20"/>
          <w:sz w:val="20"/>
        </w:rPr>
        <w:t>Laurentius Adrianto Lesmana,*** Yu-Cheng Lin,</w:t>
      </w:r>
      <w:r>
        <w:rPr>
          <w:w w:val="101.00952557155065"/>
          <w:rFonts w:ascii="20" w:hAnsi="20" w:eastAsia="20"/>
          <w:b w:val="0"/>
          <w:i w:val="0"/>
          <w:color w:val="231F20"/>
          <w:sz w:val="14"/>
        </w:rPr>
        <w:t>†††</w:t>
      </w:r>
      <w:r>
        <w:rPr>
          <w:rFonts w:ascii="AdvTT080e16ec" w:hAnsi="AdvTT080e16ec" w:eastAsia="AdvTT080e16ec"/>
          <w:b w:val="0"/>
          <w:i w:val="0"/>
          <w:color w:val="231F20"/>
          <w:sz w:val="20"/>
        </w:rPr>
        <w:t>Chun-Jen Liu,</w:t>
      </w:r>
      <w:r>
        <w:rPr>
          <w:w w:val="101.00952557155065"/>
          <w:rFonts w:ascii="20" w:hAnsi="20" w:eastAsia="20"/>
          <w:b w:val="0"/>
          <w:i w:val="0"/>
          <w:color w:val="231F20"/>
          <w:sz w:val="14"/>
        </w:rPr>
        <w:t>‡‡‡</w:t>
      </w:r>
      <w:r>
        <w:rPr>
          <w:rFonts w:ascii="AdvTT080e16ec" w:hAnsi="AdvTT080e16ec" w:eastAsia="AdvTT080e16ec"/>
          <w:b w:val="0"/>
          <w:i w:val="0"/>
          <w:color w:val="231F20"/>
          <w:sz w:val="20"/>
        </w:rPr>
        <w:t>Yen-Hsuan Ni,</w:t>
      </w:r>
      <w:r>
        <w:rPr>
          <w:w w:val="101.00952557155065"/>
          <w:rFonts w:ascii="20" w:hAnsi="20" w:eastAsia="20"/>
          <w:b w:val="0"/>
          <w:i w:val="0"/>
          <w:color w:val="231F20"/>
          <w:sz w:val="14"/>
        </w:rPr>
        <w:t>†††</w:t>
      </w:r>
    </w:p>
    <w:p>
      <w:pPr>
        <w:autoSpaceDN w:val="0"/>
        <w:autoSpaceDE w:val="0"/>
        <w:widowControl/>
        <w:spacing w:line="242" w:lineRule="exact" w:before="0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20"/>
        </w:rPr>
        <w:t>Jose Sollano,</w:t>
      </w:r>
      <w:r>
        <w:rPr>
          <w:w w:val="101.00952557155065"/>
          <w:rFonts w:ascii="AdvTT080e16ec" w:hAnsi="AdvTT080e16ec" w:eastAsia="AdvTT080e16ec"/>
          <w:b w:val="0"/>
          <w:i w:val="0"/>
          <w:color w:val="231F20"/>
          <w:sz w:val="14"/>
        </w:rPr>
        <w:t>§§§</w:t>
      </w:r>
      <w:r>
        <w:rPr>
          <w:rFonts w:ascii="AdvTT080e16ec" w:hAnsi="AdvTT080e16ec" w:eastAsia="AdvTT080e16ec"/>
          <w:b w:val="0"/>
          <w:i w:val="0"/>
          <w:color w:val="231F20"/>
          <w:sz w:val="20"/>
        </w:rPr>
        <w:t>Simon Kin-Hung Wong,</w:t>
      </w:r>
      <w:r>
        <w:rPr>
          <w:w w:val="101.00952557155065"/>
          <w:rFonts w:ascii="AdvTT080e16ec" w:hAnsi="AdvTT080e16ec" w:eastAsia="AdvTT080e16ec"/>
          <w:b w:val="0"/>
          <w:i w:val="0"/>
          <w:color w:val="231F20"/>
          <w:sz w:val="14"/>
        </w:rPr>
        <w:t>¶¶¶</w:t>
      </w:r>
      <w:r>
        <w:rPr>
          <w:rFonts w:ascii="AdvTT080e16ec" w:hAnsi="AdvTT080e16ec" w:eastAsia="AdvTT080e16ec"/>
          <w:b w:val="0"/>
          <w:i w:val="0"/>
          <w:color w:val="231F20"/>
          <w:sz w:val="20"/>
        </w:rPr>
        <w:t>Grace Lai-Hung Wong,*</w:t>
      </w:r>
      <w:r>
        <w:rPr>
          <w:w w:val="101.00952557155065"/>
          <w:rFonts w:ascii="AdvTT080e16ec" w:hAnsi="AdvTT080e16ec" w:eastAsia="AdvTT080e16ec"/>
          <w:b w:val="0"/>
          <w:i w:val="0"/>
          <w:color w:val="231F20"/>
          <w:sz w:val="14"/>
        </w:rPr>
        <w:t>,</w:t>
      </w:r>
      <w:r>
        <w:rPr>
          <w:w w:val="101.00952557155065"/>
          <w:rFonts w:ascii="20" w:hAnsi="20" w:eastAsia="20"/>
          <w:b w:val="0"/>
          <w:i w:val="0"/>
          <w:color w:val="231F20"/>
          <w:sz w:val="14"/>
        </w:rPr>
        <w:t>†</w:t>
      </w:r>
      <w:r>
        <w:rPr>
          <w:rFonts w:ascii="AdvTT080e16ec" w:hAnsi="AdvTT080e16ec" w:eastAsia="AdvTT080e16ec"/>
          <w:b w:val="0"/>
          <w:i w:val="0"/>
          <w:color w:val="231F20"/>
          <w:sz w:val="20"/>
        </w:rPr>
        <w:t>Henry Lik-Yuen Chan*</w:t>
      </w:r>
      <w:r>
        <w:rPr>
          <w:w w:val="101.00952557155065"/>
          <w:rFonts w:ascii="AdvTT080e16ec" w:hAnsi="AdvTT080e16ec" w:eastAsia="AdvTT080e16ec"/>
          <w:b w:val="0"/>
          <w:i w:val="0"/>
          <w:color w:val="231F20"/>
          <w:sz w:val="14"/>
        </w:rPr>
        <w:t>,</w:t>
      </w:r>
      <w:r>
        <w:rPr>
          <w:w w:val="101.00952557155065"/>
          <w:rFonts w:ascii="20" w:hAnsi="20" w:eastAsia="20"/>
          <w:b w:val="0"/>
          <w:i w:val="0"/>
          <w:color w:val="231F20"/>
          <w:sz w:val="14"/>
        </w:rPr>
        <w:t>†</w:t>
      </w:r>
      <w:r>
        <w:rPr>
          <w:rFonts w:ascii="AdvTT080e16ec" w:hAnsi="AdvTT080e16ec" w:eastAsia="AdvTT080e16ec"/>
          <w:b w:val="0"/>
          <w:i w:val="0"/>
          <w:color w:val="231F20"/>
          <w:sz w:val="20"/>
        </w:rPr>
        <w:t>and Geoff Farrell</w:t>
      </w:r>
      <w:r>
        <w:rPr>
          <w:w w:val="101.00952557155065"/>
          <w:rFonts w:ascii="AdvTT080e16ec" w:hAnsi="AdvTT080e16ec" w:eastAsia="AdvTT080e16ec"/>
          <w:b w:val="0"/>
          <w:i w:val="0"/>
          <w:color w:val="231F20"/>
          <w:sz w:val="14"/>
        </w:rPr>
        <w:t>§</w:t>
      </w:r>
    </w:p>
    <w:p>
      <w:pPr>
        <w:autoSpaceDN w:val="0"/>
        <w:autoSpaceDE w:val="0"/>
        <w:widowControl/>
        <w:spacing w:line="182" w:lineRule="exact" w:before="138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>*Department of Medicine and Therapeutics,</w:t>
      </w:r>
      <w:r>
        <w:rPr>
          <w:w w:val="96.41422791914506"/>
          <w:rFonts w:ascii="20" w:hAnsi="20" w:eastAsia="20"/>
          <w:b w:val="0"/>
          <w:i w:val="0"/>
          <w:color w:val="231F20"/>
          <w:sz w:val="11"/>
        </w:rPr>
        <w:t>†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State Key Laboratory of Digestive Disease and Department of Surgery,</w:t>
      </w:r>
      <w:r>
        <w:rPr>
          <w:w w:val="96.41422791914506"/>
          <w:rFonts w:ascii="AdvTT080e16ec" w:hAnsi="AdvTT080e16ec" w:eastAsia="AdvTT080e16ec"/>
          <w:b w:val="0"/>
          <w:i w:val="0"/>
          <w:color w:val="231F20"/>
          <w:sz w:val="11"/>
        </w:rPr>
        <w:t>¶¶¶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Department of Surgery, The Chinese</w:t>
      </w:r>
    </w:p>
    <w:p>
      <w:pPr>
        <w:autoSpaceDN w:val="0"/>
        <w:autoSpaceDE w:val="0"/>
        <w:widowControl/>
        <w:spacing w:line="182" w:lineRule="exact" w:before="28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>University of Hong Kong, Shatin, Hong Kong;</w:t>
      </w:r>
      <w:r>
        <w:rPr>
          <w:w w:val="96.41422791914506"/>
          <w:rFonts w:ascii="20" w:hAnsi="20" w:eastAsia="20"/>
          <w:b w:val="0"/>
          <w:i w:val="0"/>
          <w:color w:val="000000"/>
          <w:sz w:val="11"/>
        </w:rPr>
        <w:t>‡</w:t>
      </w:r>
      <w:r>
        <w:rPr>
          <w:rFonts w:ascii="AdvTT080e16ec" w:hAnsi="AdvTT080e16ec" w:eastAsia="AdvTT080e16ec"/>
          <w:b w:val="0"/>
          <w:i w:val="0"/>
          <w:color w:val="000000"/>
          <w:sz w:val="15"/>
        </w:rPr>
        <w:t>Department of Medicine, University of Malaya, Kuala Lumpur, Malaysia;</w:t>
      </w:r>
      <w:r>
        <w:rPr>
          <w:w w:val="96.41422791914506"/>
          <w:rFonts w:ascii="AdvTT080e16ec" w:hAnsi="AdvTT080e16ec" w:eastAsia="AdvTT080e16ec"/>
          <w:b w:val="0"/>
          <w:i w:val="0"/>
          <w:color w:val="000000"/>
          <w:sz w:val="11"/>
        </w:rPr>
        <w:t>§</w:t>
      </w:r>
      <w:r>
        <w:rPr>
          <w:rFonts w:ascii="AdvTT080e16ec" w:hAnsi="AdvTT080e16ec" w:eastAsia="AdvTT080e16ec"/>
          <w:b w:val="0"/>
          <w:i w:val="0"/>
          <w:color w:val="000000"/>
          <w:sz w:val="15"/>
        </w:rPr>
        <w:t>Gastroenterology and Hepatology</w:t>
      </w:r>
    </w:p>
    <w:p>
      <w:pPr>
        <w:autoSpaceDN w:val="0"/>
        <w:autoSpaceDE w:val="0"/>
        <w:widowControl/>
        <w:spacing w:line="182" w:lineRule="exact" w:before="28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000000"/>
          <w:sz w:val="15"/>
        </w:rPr>
        <w:t>Unit, The Canberra Hospital, Canberra, Australian Capital Territory, Australia;</w:t>
      </w:r>
      <w:r>
        <w:rPr>
          <w:w w:val="96.41422791914506"/>
          <w:rFonts w:ascii="AdvTT080e16ec" w:hAnsi="AdvTT080e16ec" w:eastAsia="AdvTT080e16ec"/>
          <w:b w:val="0"/>
          <w:i w:val="0"/>
          <w:color w:val="000000"/>
          <w:sz w:val="11"/>
        </w:rPr>
        <w:t>¶</w:t>
      </w:r>
      <w:r>
        <w:rPr>
          <w:rFonts w:ascii="AdvTT080e16ec" w:hAnsi="AdvTT080e16ec" w:eastAsia="AdvTT080e16ec"/>
          <w:b w:val="0"/>
          <w:i w:val="0"/>
          <w:color w:val="000000"/>
          <w:sz w:val="15"/>
        </w:rPr>
        <w:t>Department of Hepatology, Postgraduate Institute of Medical Education and</w:t>
      </w:r>
    </w:p>
    <w:p>
      <w:pPr>
        <w:autoSpaceDN w:val="0"/>
        <w:autoSpaceDE w:val="0"/>
        <w:widowControl/>
        <w:spacing w:line="180" w:lineRule="exact" w:before="30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000000"/>
          <w:sz w:val="15"/>
        </w:rPr>
        <w:t>Research, Chandigarh, India; **Department of Medicine, Yong Loo Lin School of Medicine, National University of Singapore, Singapore;</w:t>
      </w:r>
      <w:r>
        <w:rPr>
          <w:w w:val="96.41422791914506"/>
          <w:rFonts w:ascii="20" w:hAnsi="20" w:eastAsia="20"/>
          <w:b w:val="0"/>
          <w:i w:val="0"/>
          <w:color w:val="000000"/>
          <w:sz w:val="11"/>
        </w:rPr>
        <w:t>††</w:t>
      </w:r>
      <w:r>
        <w:rPr>
          <w:rFonts w:ascii="AdvTT080e16ec" w:hAnsi="AdvTT080e16ec" w:eastAsia="AdvTT080e16ec"/>
          <w:b w:val="0"/>
          <w:i w:val="0"/>
          <w:color w:val="000000"/>
          <w:sz w:val="15"/>
        </w:rPr>
        <w:t>Xin Hua Hospital</w:t>
      </w:r>
    </w:p>
    <w:p>
      <w:pPr>
        <w:autoSpaceDN w:val="0"/>
        <w:autoSpaceDE w:val="0"/>
        <w:widowControl/>
        <w:spacing w:line="178" w:lineRule="exact" w:before="32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000000"/>
          <w:sz w:val="15"/>
        </w:rPr>
        <w:t>Af</w:t>
      </w:r>
      <w:r>
        <w:rPr>
          <w:rFonts w:ascii="fb" w:hAnsi="fb" w:eastAsia="fb"/>
          <w:b w:val="0"/>
          <w:i w:val="0"/>
          <w:color w:val="000000"/>
          <w:sz w:val="15"/>
        </w:rPr>
        <w:t>fi</w:t>
      </w:r>
      <w:r>
        <w:rPr>
          <w:rFonts w:ascii="AdvTT080e16ec" w:hAnsi="AdvTT080e16ec" w:eastAsia="AdvTT080e16ec"/>
          <w:b w:val="0"/>
          <w:i w:val="0"/>
          <w:color w:val="000000"/>
          <w:sz w:val="15"/>
        </w:rPr>
        <w:t>liated to Shanghai Jiao Tong University School of Medicine, Shanghai, China;</w:t>
      </w:r>
      <w:r>
        <w:rPr>
          <w:w w:val="96.41422791914506"/>
          <w:rFonts w:ascii="20" w:hAnsi="20" w:eastAsia="20"/>
          <w:b w:val="0"/>
          <w:i w:val="0"/>
          <w:color w:val="000000"/>
          <w:sz w:val="11"/>
        </w:rPr>
        <w:t>‡‡</w:t>
      </w:r>
      <w:r>
        <w:rPr>
          <w:rFonts w:ascii="AdvTT080e16ec" w:hAnsi="AdvTT080e16ec" w:eastAsia="AdvTT080e16ec"/>
          <w:b w:val="0"/>
          <w:i w:val="0"/>
          <w:color w:val="000000"/>
          <w:sz w:val="15"/>
        </w:rPr>
        <w:t>Department of Diabetology, Kameoka Municipal Hospital, Kameoka and</w:t>
      </w:r>
    </w:p>
    <w:p>
      <w:pPr>
        <w:autoSpaceDN w:val="0"/>
        <w:autoSpaceDE w:val="0"/>
        <w:widowControl/>
        <w:spacing w:line="182" w:lineRule="exact" w:before="28" w:after="0"/>
        <w:ind w:left="0" w:right="0" w:firstLine="0"/>
        <w:jc w:val="left"/>
      </w:pPr>
      <w:r>
        <w:rPr>
          <w:w w:val="96.41422791914506"/>
          <w:rFonts w:ascii="AdvTT080e16ec" w:hAnsi="AdvTT080e16ec" w:eastAsia="AdvTT080e16ec"/>
          <w:b w:val="0"/>
          <w:i w:val="0"/>
          <w:color w:val="000000"/>
          <w:sz w:val="11"/>
        </w:rPr>
        <w:t>§§</w:t>
      </w:r>
      <w:r>
        <w:rPr>
          <w:rFonts w:ascii="AdvTT080e16ec" w:hAnsi="AdvTT080e16ec" w:eastAsia="AdvTT080e16ec"/>
          <w:b w:val="0"/>
          <w:i w:val="0"/>
          <w:color w:val="000000"/>
          <w:sz w:val="15"/>
        </w:rPr>
        <w:t>Departments of Internal Medicine and Gastroenterology, Tokyo Women</w:t>
      </w:r>
      <w:r>
        <w:rPr>
          <w:rFonts w:ascii="20" w:hAnsi="20" w:eastAsia="20"/>
          <w:b w:val="0"/>
          <w:i w:val="0"/>
          <w:color w:val="000000"/>
          <w:sz w:val="15"/>
        </w:rPr>
        <w:t>’</w:t>
      </w:r>
      <w:r>
        <w:rPr>
          <w:rFonts w:ascii="AdvTT080e16ec" w:hAnsi="AdvTT080e16ec" w:eastAsia="AdvTT080e16ec"/>
          <w:b w:val="0"/>
          <w:i w:val="0"/>
          <w:color w:val="000000"/>
          <w:sz w:val="15"/>
        </w:rPr>
        <w:t>s Medical University, Tokyo, Japan;</w:t>
      </w:r>
      <w:r>
        <w:rPr>
          <w:w w:val="96.41422791914506"/>
          <w:rFonts w:ascii="AdvTT080e16ec" w:hAnsi="AdvTT080e16ec" w:eastAsia="AdvTT080e16ec"/>
          <w:b w:val="0"/>
          <w:i w:val="0"/>
          <w:color w:val="000000"/>
          <w:sz w:val="11"/>
        </w:rPr>
        <w:t xml:space="preserve"> ¶¶</w:t>
      </w:r>
      <w:r>
        <w:rPr>
          <w:rFonts w:ascii="AdvTT080e16ec" w:hAnsi="AdvTT080e16ec" w:eastAsia="AdvTT080e16ec"/>
          <w:b w:val="0"/>
          <w:i w:val="0"/>
          <w:color w:val="000000"/>
          <w:sz w:val="15"/>
        </w:rPr>
        <w:t>Department of Internal Medicine, Institute of</w:t>
      </w:r>
    </w:p>
    <w:p>
      <w:pPr>
        <w:autoSpaceDN w:val="0"/>
        <w:autoSpaceDE w:val="0"/>
        <w:widowControl/>
        <w:spacing w:line="150" w:lineRule="exact" w:before="60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000000"/>
          <w:sz w:val="15"/>
        </w:rPr>
        <w:t>Gastroenterology, Yonsei University College of Medicine, Seoul, Korea; ***Digestive Disease and GI Oncology Centre, Medistra Hospital, Jakarta, Indonesia;</w:t>
      </w:r>
    </w:p>
    <w:p>
      <w:pPr>
        <w:autoSpaceDN w:val="0"/>
        <w:autoSpaceDE w:val="0"/>
        <w:widowControl/>
        <w:spacing w:line="178" w:lineRule="exact" w:before="32" w:after="0"/>
        <w:ind w:left="0" w:right="0" w:firstLine="0"/>
        <w:jc w:val="left"/>
      </w:pPr>
      <w:r>
        <w:rPr>
          <w:w w:val="96.41422791914506"/>
          <w:rFonts w:ascii="20" w:hAnsi="20" w:eastAsia="20"/>
          <w:b w:val="0"/>
          <w:i w:val="0"/>
          <w:color w:val="000000"/>
          <w:sz w:val="11"/>
        </w:rPr>
        <w:t>†††</w:t>
      </w:r>
      <w:r>
        <w:rPr>
          <w:rFonts w:ascii="AdvTT080e16ec" w:hAnsi="AdvTT080e16ec" w:eastAsia="AdvTT080e16ec"/>
          <w:b w:val="0"/>
          <w:i w:val="0"/>
          <w:color w:val="000000"/>
          <w:sz w:val="15"/>
        </w:rPr>
        <w:t>Hepatitis Research Center, National Taiwan University, and</w:t>
      </w:r>
      <w:r>
        <w:rPr>
          <w:w w:val="96.41422791914506"/>
          <w:rFonts w:ascii="20" w:hAnsi="20" w:eastAsia="20"/>
          <w:b w:val="0"/>
          <w:i w:val="0"/>
          <w:color w:val="000000"/>
          <w:sz w:val="11"/>
        </w:rPr>
        <w:t xml:space="preserve"> ‡‡‡</w:t>
      </w:r>
      <w:r>
        <w:rPr>
          <w:rFonts w:ascii="AdvTT080e16ec" w:hAnsi="AdvTT080e16ec" w:eastAsia="AdvTT080e16ec"/>
          <w:b w:val="0"/>
          <w:i w:val="0"/>
          <w:color w:val="000000"/>
          <w:sz w:val="15"/>
        </w:rPr>
        <w:t>Department of Internal Medicine, Hepatitis Research Center and Graduate Institute of</w:t>
      </w:r>
    </w:p>
    <w:p>
      <w:pPr>
        <w:autoSpaceDN w:val="0"/>
        <w:autoSpaceDE w:val="0"/>
        <w:widowControl/>
        <w:spacing w:line="182" w:lineRule="exact" w:before="28" w:after="246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000000"/>
          <w:sz w:val="15"/>
        </w:rPr>
        <w:t>Clinical Medicine, National Taiwan University College of Medicine and Hospital, Taipei, Taiwan; and</w:t>
      </w:r>
      <w:r>
        <w:rPr>
          <w:w w:val="96.41422791914506"/>
          <w:rFonts w:ascii="AdvTT080e16ec" w:hAnsi="AdvTT080e16ec" w:eastAsia="AdvTT080e16ec"/>
          <w:b w:val="0"/>
          <w:i w:val="0"/>
          <w:color w:val="000000"/>
          <w:sz w:val="11"/>
        </w:rPr>
        <w:t>§§§</w:t>
      </w:r>
      <w:r>
        <w:rPr>
          <w:rFonts w:ascii="AdvTT080e16ec" w:hAnsi="AdvTT080e16ec" w:eastAsia="AdvTT080e16ec"/>
          <w:b w:val="0"/>
          <w:i w:val="0"/>
          <w:color w:val="000000"/>
          <w:sz w:val="15"/>
        </w:rPr>
        <w:t>University of Santo Tomas, Manila, The Philippines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4749"/>
        <w:gridCol w:w="4749"/>
      </w:tblGrid>
      <w:tr>
        <w:trPr>
          <w:trHeight w:hRule="exact" w:val="5512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0" w:right="144" w:firstLine="0"/>
              <w:jc w:val="left"/>
            </w:pPr>
            <w:r>
              <w:rPr>
                <w:rFonts w:ascii="AdvTT47a11158.B" w:hAnsi="AdvTT47a11158.B" w:eastAsia="AdvTT47a11158.B"/>
                <w:b w:val="0"/>
                <w:i w:val="0"/>
                <w:color w:val="231F20"/>
                <w:sz w:val="15"/>
              </w:rPr>
              <w:t xml:space="preserve">Key words </w:t>
            </w:r>
            <w:r>
              <w:br/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hepatocellular carcinoma, liver biopsy, liver 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stiffness measurement, metabolic syndrome, 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NAFLD, NASH, non-alcoholic steatohepatitis, 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obesity, transient elastography.</w:t>
            </w:r>
          </w:p>
          <w:p>
            <w:pPr>
              <w:autoSpaceDN w:val="0"/>
              <w:autoSpaceDE w:val="0"/>
              <w:widowControl/>
              <w:spacing w:line="150" w:lineRule="exact" w:before="160" w:after="0"/>
              <w:ind w:left="10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Accepted for publication 25 June 2017.</w:t>
            </w:r>
          </w:p>
          <w:p>
            <w:pPr>
              <w:autoSpaceDN w:val="0"/>
              <w:autoSpaceDE w:val="0"/>
              <w:widowControl/>
              <w:spacing w:line="210" w:lineRule="exact" w:before="92" w:after="0"/>
              <w:ind w:left="10" w:right="0" w:firstLine="0"/>
              <w:jc w:val="left"/>
            </w:pPr>
            <w:r>
              <w:rPr>
                <w:rFonts w:ascii="AdvTT47a11158.B" w:hAnsi="AdvTT47a11158.B" w:eastAsia="AdvTT47a11158.B"/>
                <w:b w:val="0"/>
                <w:i w:val="0"/>
                <w:color w:val="231F20"/>
                <w:sz w:val="15"/>
              </w:rPr>
              <w:t xml:space="preserve">Correspondence </w:t>
            </w:r>
            <w:r>
              <w:br/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Professor Geoffrey C. Farrell, Gastroentology and 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Hepatology Unit, The Canberra Hospital, PO Box 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11, Woden, ACT 2606, Australia.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10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Email: geoff.farrell@anu.edu.au </w:t>
            </w:r>
            <w:r>
              <w:br/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Dr Vincent Wai-Sun Wong, Department of Medi-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cine and Therapeutics, The Chinese University of 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Hong Kong, 9/F, Clinical Sciences Building, Prince 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of Wales Hospital, 30-32 Ngan Shing Street, </w:t>
            </w:r>
            <w:r>
              <w:br/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Shatin, Hong Kong.</w:t>
            </w:r>
          </w:p>
          <w:p>
            <w:pPr>
              <w:autoSpaceDN w:val="0"/>
              <w:autoSpaceDE w:val="0"/>
              <w:widowControl/>
              <w:spacing w:line="150" w:lineRule="exact" w:before="60" w:after="0"/>
              <w:ind w:left="10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Email: wongv@cuhk.edu.hk</w:t>
            </w:r>
          </w:p>
          <w:p>
            <w:pPr>
              <w:autoSpaceDN w:val="0"/>
              <w:autoSpaceDE w:val="0"/>
              <w:widowControl/>
              <w:spacing w:line="200" w:lineRule="exact" w:before="122" w:after="0"/>
              <w:ind w:left="10" w:right="0" w:firstLine="0"/>
              <w:jc w:val="left"/>
            </w:pPr>
            <w:r>
              <w:rPr>
                <w:rFonts w:ascii="AdvTT47a11158.B" w:hAnsi="AdvTT47a11158.B" w:eastAsia="AdvTT47a11158.B"/>
                <w:b w:val="0"/>
                <w:i w:val="0"/>
                <w:color w:val="231F20"/>
                <w:sz w:val="15"/>
              </w:rPr>
              <w:t>Declaration of conflict of interest: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 Vincent Wong 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served as a consultant for AbbVie, Allergan, Gilead 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Sciences, Janssen, Perspectum Diagnostics, and 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P</w:t>
            </w:r>
            <w:r>
              <w:rPr>
                <w:rFonts w:ascii="fb" w:hAnsi="fb" w:eastAsia="fb"/>
                <w:b w:val="0"/>
                <w:i w:val="0"/>
                <w:color w:val="231F20"/>
                <w:sz w:val="15"/>
              </w:rPr>
              <w:t>fi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zer and a speaker for Bristol-Myers Squibb, 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Echosens, Gilead Sciences, and Merck. Yock </w:t>
            </w:r>
            <w:r>
              <w:br/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Young Dan served as an advisory board member 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and has received research grants from AbbVie, 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Bristol-Myers Squibb, and Gilead Sciences. Khean-</w:t>
            </w:r>
          </w:p>
        </w:tc>
        <w:tc>
          <w:tcPr>
            <w:tcW w:type="dxa" w:w="7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88" w:right="0" w:firstLine="0"/>
              <w:jc w:val="left"/>
            </w:pPr>
            <w:r>
              <w:rPr>
                <w:rFonts w:ascii="AdvTTb9655705.B" w:hAnsi="AdvTTb9655705.B" w:eastAsia="AdvTTb9655705.B"/>
                <w:b w:val="0"/>
                <w:i w:val="0"/>
                <w:color w:val="231F20"/>
                <w:sz w:val="22"/>
              </w:rPr>
              <w:t>Introduction</w:t>
            </w:r>
          </w:p>
          <w:p>
            <w:pPr>
              <w:autoSpaceDN w:val="0"/>
              <w:autoSpaceDE w:val="0"/>
              <w:widowControl/>
              <w:spacing w:line="220" w:lineRule="exact" w:before="146" w:after="0"/>
              <w:ind w:left="88" w:right="532" w:firstLine="0"/>
              <w:jc w:val="both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Since the publication of the guidelines for the assessment and management of non alco-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holic fatty liver disease (NAFLD) by the Asia</w:t>
            </w:r>
            <w:r>
              <w:rPr>
                <w:rFonts w:ascii="20" w:hAnsi="20" w:eastAsia="20"/>
                <w:b w:val="0"/>
                <w:i w:val="0"/>
                <w:color w:val="231F20"/>
                <w:sz w:val="18"/>
              </w:rPr>
              <w:t>–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Paci</w:t>
            </w:r>
            <w:r>
              <w:rPr>
                <w:rFonts w:ascii="20" w:hAnsi="20" w:eastAsia="20"/>
                <w:b w:val="0"/>
                <w:i w:val="0"/>
                <w:color w:val="231F20"/>
                <w:sz w:val="18"/>
              </w:rPr>
              <w:t>fi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c Working Party on NAFLD in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2007,</w:t>
            </w:r>
            <w:r>
              <w:rPr>
                <w:w w:val="97.89984042827899"/>
                <w:rFonts w:ascii="AdvTT6120e2aa" w:hAnsi="AdvTT6120e2aa" w:eastAsia="AdvTT6120e2aa"/>
                <w:b w:val="0"/>
                <w:i w:val="0"/>
                <w:color w:val="231F20"/>
                <w:sz w:val="13"/>
              </w:rPr>
              <w:t>1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our understanding of the clinical characteristics and natural history of NAFLD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has improved, and there have been developments in the assessment and treatment of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NAFLD. It is therefore timely to update the guidelines in light of new evidence.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8" w:right="532" w:firstLine="170"/>
              <w:jc w:val="both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This document presents the recommendations of the Asia</w:t>
            </w:r>
            <w:r>
              <w:rPr>
                <w:rFonts w:ascii="20" w:hAnsi="20" w:eastAsia="20"/>
                <w:b w:val="0"/>
                <w:i w:val="0"/>
                <w:color w:val="231F20"/>
                <w:sz w:val="18"/>
              </w:rPr>
              <w:t>–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Paci</w:t>
            </w:r>
            <w:r>
              <w:rPr>
                <w:rFonts w:ascii="20" w:hAnsi="20" w:eastAsia="20"/>
                <w:b w:val="0"/>
                <w:i w:val="0"/>
                <w:color w:val="231F20"/>
                <w:sz w:val="18"/>
              </w:rPr>
              <w:t>fi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c Working Party on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NAFLD. The exercise was supported by the Journal of Gastroenterology and Hepatology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Foundation. Members performed a systematic review of the literature on speci</w:t>
            </w:r>
            <w:r>
              <w:rPr>
                <w:rFonts w:ascii="20" w:hAnsi="20" w:eastAsia="20"/>
                <w:b w:val="0"/>
                <w:i w:val="0"/>
                <w:color w:val="231F20"/>
                <w:sz w:val="18"/>
              </w:rPr>
              <w:t>fi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ed domains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of interest, thereby allowing them to provide recommendations on different aspects of the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clinical assessment and management of patients with NAFLD. The contents and statements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were then discussed through face-to-face meetings and e-mail communications. The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statements in this document follow the Grading of Recommendation Assessment, Develop-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ment, and Evaluation approach (Table 1).</w:t>
            </w:r>
            <w:r>
              <w:rPr>
                <w:w w:val="97.89984042827899"/>
                <w:rFonts w:ascii="AdvTT6120e2aa" w:hAnsi="AdvTT6120e2aa" w:eastAsia="AdvTT6120e2aa"/>
                <w:b w:val="0"/>
                <w:i w:val="0"/>
                <w:color w:val="231F20"/>
                <w:sz w:val="13"/>
              </w:rPr>
              <w:t>2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The</w:t>
            </w:r>
            <w:r>
              <w:rPr>
                <w:rFonts w:ascii="20" w:hAnsi="20" w:eastAsia="20"/>
                <w:b w:val="0"/>
                <w:i w:val="0"/>
                <w:color w:val="231F20"/>
                <w:sz w:val="18"/>
              </w:rPr>
              <w:t xml:space="preserve"> fi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nal grading of evidence and recommenda-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tions was determined by majority vote.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88" w:right="532" w:firstLine="170"/>
              <w:jc w:val="both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These guidelines cover various aspects in the management of NAFLD, including diagno-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sis, screening, assessment, and treatment. While most evidence came from studies on adults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identi</w:t>
            </w:r>
            <w:r>
              <w:rPr>
                <w:rFonts w:ascii="20" w:hAnsi="20" w:eastAsia="20"/>
                <w:b w:val="0"/>
                <w:i w:val="0"/>
                <w:color w:val="231F20"/>
                <w:sz w:val="18"/>
              </w:rPr>
              <w:t>fi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ed to be at risk of metabolic disorder and after exclusion of other liver diseases, two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special populations are included in this document. NAFLD in children and adolescents is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becoming increasingly prevalent and may have devastating consequences owing to the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long duration of fatty liver disease. In addition, chronic viral hepatitis is highly prevalent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in Asia</w:t>
            </w:r>
            <w:r>
              <w:rPr>
                <w:rFonts w:ascii="20" w:hAnsi="20" w:eastAsia="20"/>
                <w:b w:val="0"/>
                <w:i w:val="0"/>
                <w:color w:val="231F20"/>
                <w:sz w:val="18"/>
              </w:rPr>
              <w:t>–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Paci</w:t>
            </w:r>
            <w:r>
              <w:rPr>
                <w:rFonts w:ascii="20" w:hAnsi="20" w:eastAsia="20"/>
                <w:b w:val="0"/>
                <w:i w:val="0"/>
                <w:color w:val="231F20"/>
                <w:sz w:val="18"/>
              </w:rPr>
              <w:t>fi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c countries, and the impact of concomitant fatty liver, a much discussed topic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both for hepatitis B and C, is re-evaluated here for its long-term clinical signi</w:t>
            </w:r>
            <w:r>
              <w:rPr>
                <w:rFonts w:ascii="20" w:hAnsi="20" w:eastAsia="20"/>
                <w:b w:val="0"/>
                <w:i w:val="0"/>
                <w:color w:val="231F20"/>
                <w:sz w:val="18"/>
              </w:rPr>
              <w:t>fi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cance and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implications for patient care.</w:t>
            </w:r>
          </w:p>
        </w:tc>
      </w:tr>
    </w:tbl>
    <w:p>
      <w:pPr>
        <w:autoSpaceDN w:val="0"/>
        <w:autoSpaceDE w:val="0"/>
        <w:widowControl/>
        <w:spacing w:line="150" w:lineRule="exact" w:before="18" w:after="24"/>
        <w:ind w:left="2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>Lee Goh served as an advisory board member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4749"/>
        <w:gridCol w:w="4749"/>
      </w:tblGrid>
      <w:tr>
        <w:trPr>
          <w:trHeight w:hRule="exact" w:val="1774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10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Gilead Sciences and a speaker for AbbVie and 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Gilead Sciences. Grace Wong has served as an 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advisory committee member for Otsuka and </w:t>
            </w:r>
            <w:r>
              <w:br/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Gilead. She has also served as a speaker for </w:t>
            </w:r>
            <w:r>
              <w:br/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Abbott, Abbvie, Bristol-Myers Squibb, Echosens, 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Furui, Gilead, Janssen, Otsuka, and Roche. Henry 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Chan served as an advisor for AbbVie, Bristol-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Myers Squibb, Gilead, Janssen, and Roche and a 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speaker for AbbVie, Bristol-Myers Squibb,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108" w:right="0" w:firstLine="0"/>
              <w:jc w:val="left"/>
            </w:pPr>
            <w:r>
              <w:rPr>
                <w:rFonts w:ascii="AdvTTb9655705.B" w:hAnsi="AdvTTb9655705.B" w:eastAsia="AdvTTb9655705.B"/>
                <w:b w:val="0"/>
                <w:i w:val="0"/>
                <w:color w:val="231F20"/>
                <w:sz w:val="22"/>
              </w:rPr>
              <w:t>De</w:t>
            </w:r>
            <w:r>
              <w:rPr>
                <w:rFonts w:ascii="fb" w:hAnsi="fb" w:eastAsia="fb"/>
                <w:b w:val="0"/>
                <w:i w:val="0"/>
                <w:color w:val="231F20"/>
                <w:sz w:val="22"/>
              </w:rPr>
              <w:t>fi</w:t>
            </w:r>
            <w:r>
              <w:rPr>
                <w:rFonts w:ascii="AdvTTb9655705.B" w:hAnsi="AdvTTb9655705.B" w:eastAsia="AdvTTb9655705.B"/>
                <w:b w:val="0"/>
                <w:i w:val="0"/>
                <w:color w:val="231F20"/>
                <w:sz w:val="22"/>
              </w:rPr>
              <w:t>nitions</w:t>
            </w:r>
          </w:p>
          <w:p>
            <w:pPr>
              <w:autoSpaceDN w:val="0"/>
              <w:autoSpaceDE w:val="0"/>
              <w:widowControl/>
              <w:spacing w:line="220" w:lineRule="exact" w:before="218" w:after="0"/>
              <w:ind w:left="108" w:right="532" w:firstLine="0"/>
              <w:jc w:val="both"/>
            </w:pPr>
            <w:r>
              <w:rPr>
                <w:rFonts w:ascii="AdvTT439facf7.BI" w:hAnsi="AdvTT439facf7.BI" w:eastAsia="AdvTT439facf7.BI"/>
                <w:b w:val="0"/>
                <w:i w:val="0"/>
                <w:color w:val="231F20"/>
                <w:sz w:val="18"/>
              </w:rPr>
              <w:t>The need for a de</w:t>
            </w:r>
            <w:r>
              <w:rPr>
                <w:rFonts w:ascii="fb" w:hAnsi="fb" w:eastAsia="fb"/>
                <w:b w:val="0"/>
                <w:i w:val="0"/>
                <w:color w:val="231F20"/>
                <w:sz w:val="18"/>
              </w:rPr>
              <w:t>fi</w:t>
            </w:r>
            <w:r>
              <w:rPr>
                <w:rFonts w:ascii="AdvTT439facf7.BI" w:hAnsi="AdvTT439facf7.BI" w:eastAsia="AdvTT439facf7.BI"/>
                <w:b w:val="0"/>
                <w:i w:val="0"/>
                <w:color w:val="231F20"/>
                <w:sz w:val="18"/>
              </w:rPr>
              <w:t>nition.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 A clear, reproducible de</w:t>
            </w:r>
            <w:r>
              <w:rPr>
                <w:rFonts w:ascii="20" w:hAnsi="20" w:eastAsia="20"/>
                <w:b w:val="0"/>
                <w:i w:val="0"/>
                <w:color w:val="231F20"/>
                <w:sz w:val="18"/>
              </w:rPr>
              <w:t>fi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nition of NAFLD is required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for clinical practice and epidemiological studies because there are several causes of fatty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liver and steatohepatitis, each with differing management implications and clinical out-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comes. An unresolved de</w:t>
            </w:r>
            <w:r>
              <w:rPr>
                <w:rFonts w:ascii="20" w:hAnsi="20" w:eastAsia="20"/>
                <w:b w:val="0"/>
                <w:i w:val="0"/>
                <w:color w:val="231F20"/>
                <w:sz w:val="18"/>
              </w:rPr>
              <w:t>fi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nitional and semantic challenge is that two or more etiological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factors commonly interact to in</w:t>
            </w:r>
            <w:r>
              <w:rPr>
                <w:rFonts w:ascii="20" w:hAnsi="20" w:eastAsia="20"/>
                <w:b w:val="0"/>
                <w:i w:val="0"/>
                <w:color w:val="231F20"/>
                <w:sz w:val="18"/>
              </w:rPr>
              <w:t>fl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uence the incidence, severity, and outcome of fatty liver.</w:t>
            </w:r>
          </w:p>
        </w:tc>
      </w:tr>
    </w:tbl>
    <w:p>
      <w:pPr>
        <w:autoSpaceDN w:val="0"/>
        <w:autoSpaceDE w:val="0"/>
        <w:widowControl/>
        <w:spacing w:line="150" w:lineRule="exact" w:before="22" w:after="0"/>
        <w:ind w:left="2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>Echosens, Gilead, Novartis, and Roche.</w:t>
      </w:r>
    </w:p>
    <w:p>
      <w:pPr>
        <w:autoSpaceDN w:val="0"/>
        <w:tabs>
          <w:tab w:pos="3360" w:val="left"/>
        </w:tabs>
        <w:autoSpaceDE w:val="0"/>
        <w:widowControl/>
        <w:spacing w:line="170" w:lineRule="exact" w:before="0" w:after="0"/>
        <w:ind w:left="2" w:right="0" w:firstLine="0"/>
        <w:jc w:val="left"/>
      </w:pPr>
      <w:r>
        <w:rPr>
          <w:rFonts w:ascii="AdvTT47a11158.B" w:hAnsi="AdvTT47a11158.B" w:eastAsia="AdvTT47a11158.B"/>
          <w:b w:val="0"/>
          <w:i w:val="0"/>
          <w:color w:val="231F20"/>
          <w:sz w:val="15"/>
        </w:rPr>
        <w:t>Financial support: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 This project was supported </w:t>
      </w:r>
      <w:r>
        <w:tab/>
      </w:r>
      <w:r>
        <w:rPr>
          <w:rFonts w:ascii="AdvTT439facf7.BI" w:hAnsi="AdvTT439facf7.BI" w:eastAsia="AdvTT439facf7.BI"/>
          <w:b w:val="0"/>
          <w:i w:val="0"/>
          <w:color w:val="231F20"/>
          <w:sz w:val="18"/>
        </w:rPr>
        <w:t>Established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“</w:t>
      </w:r>
      <w:r>
        <w:rPr>
          <w:rFonts w:ascii="AdvTT439facf7.BI" w:hAnsi="AdvTT439facf7.BI" w:eastAsia="AdvTT439facf7.BI"/>
          <w:b w:val="0"/>
          <w:i w:val="0"/>
          <w:color w:val="231F20"/>
          <w:sz w:val="18"/>
        </w:rPr>
        <w:t>negative</w:t>
      </w:r>
      <w:r>
        <w:rPr>
          <w:rFonts w:ascii="20" w:hAnsi="20" w:eastAsia="20"/>
          <w:b w:val="0"/>
          <w:i w:val="0"/>
          <w:color w:val="231F20"/>
          <w:sz w:val="18"/>
        </w:rPr>
        <w:t>”</w:t>
      </w:r>
      <w:r>
        <w:rPr>
          <w:rFonts w:ascii="AdvTT439facf7.BI" w:hAnsi="AdvTT439facf7.BI" w:eastAsia="AdvTT439facf7.BI"/>
          <w:b w:val="0"/>
          <w:i w:val="0"/>
          <w:color w:val="231F20"/>
          <w:sz w:val="18"/>
        </w:rPr>
        <w:t xml:space="preserve"> de</w:t>
      </w:r>
      <w:r>
        <w:rPr>
          <w:rFonts w:ascii="fb" w:hAnsi="fb" w:eastAsia="fb"/>
          <w:b w:val="0"/>
          <w:i w:val="0"/>
          <w:color w:val="231F20"/>
          <w:sz w:val="18"/>
        </w:rPr>
        <w:t>fi</w:t>
      </w:r>
      <w:r>
        <w:rPr>
          <w:rFonts w:ascii="AdvTT439facf7.BI" w:hAnsi="AdvTT439facf7.BI" w:eastAsia="AdvTT439facf7.BI"/>
          <w:b w:val="0"/>
          <w:i w:val="0"/>
          <w:color w:val="231F20"/>
          <w:sz w:val="18"/>
        </w:rPr>
        <w:t>nition of NAFLD (e.g. AASLD 2012).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The</w:t>
      </w:r>
    </w:p>
    <w:p>
      <w:pPr>
        <w:autoSpaceDN w:val="0"/>
        <w:tabs>
          <w:tab w:pos="3360" w:val="left"/>
        </w:tabs>
        <w:autoSpaceDE w:val="0"/>
        <w:widowControl/>
        <w:spacing w:line="176" w:lineRule="exact" w:before="0" w:after="0"/>
        <w:ind w:left="2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by a grant from the Journal of Gastroenterology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current established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“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negative</w:t>
      </w:r>
      <w:r>
        <w:rPr>
          <w:rFonts w:ascii="20" w:hAnsi="20" w:eastAsia="20"/>
          <w:b w:val="0"/>
          <w:i w:val="0"/>
          <w:color w:val="231F20"/>
          <w:sz w:val="18"/>
        </w:rPr>
        <w:t>”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de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nition of NAFLD requires (i) evidence of hepatic</w:t>
      </w:r>
    </w:p>
    <w:p>
      <w:pPr>
        <w:autoSpaceDN w:val="0"/>
        <w:tabs>
          <w:tab w:pos="3360" w:val="left"/>
        </w:tabs>
        <w:autoSpaceDE w:val="0"/>
        <w:widowControl/>
        <w:spacing w:line="180" w:lineRule="exact" w:before="10" w:after="0"/>
        <w:ind w:left="2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and Hepatology Foundation.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steatosis by either imaging or histology and (ii) absence of other causes of hepatic fat</w:t>
      </w:r>
    </w:p>
    <w:p>
      <w:pPr>
        <w:autoSpaceDN w:val="0"/>
        <w:tabs>
          <w:tab w:pos="6322" w:val="left"/>
        </w:tabs>
        <w:autoSpaceDE w:val="0"/>
        <w:widowControl/>
        <w:spacing w:line="160" w:lineRule="exact" w:before="444" w:after="0"/>
        <w:ind w:left="0" w:right="0" w:firstLine="0"/>
        <w:jc w:val="left"/>
      </w:pPr>
      <w:r>
        <w:rPr>
          <w:rFonts w:ascii="AdvTT47a11158.B" w:hAnsi="AdvTT47a11158.B" w:eastAsia="AdvTT47a11158.B"/>
          <w:b w:val="0"/>
          <w:i w:val="0"/>
          <w:color w:val="231F20"/>
          <w:sz w:val="16"/>
        </w:rPr>
        <w:t xml:space="preserve">70 </w:t>
      </w:r>
      <w:r>
        <w:tab/>
      </w:r>
      <w:r>
        <w:rPr>
          <w:rFonts w:ascii="AdvTT9ce5b9b8.I" w:hAnsi="AdvTT9ce5b9b8.I" w:eastAsia="AdvTT9ce5b9b8.I"/>
          <w:b w:val="0"/>
          <w:i w:val="0"/>
          <w:color w:val="231F20"/>
          <w:sz w:val="13"/>
        </w:rPr>
        <w:t>Journal of Gastroenterology and Hepatology</w:t>
      </w:r>
      <w:r>
        <w:rPr>
          <w:rFonts w:ascii="AdvTT47a11158.B" w:hAnsi="AdvTT47a11158.B" w:eastAsia="AdvTT47a11158.B"/>
          <w:b w:val="0"/>
          <w:i w:val="0"/>
          <w:color w:val="231F20"/>
          <w:sz w:val="13"/>
        </w:rPr>
        <w:t xml:space="preserve"> 33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 xml:space="preserve"> (2018) 70</w:t>
      </w:r>
      <w:r>
        <w:rPr>
          <w:rFonts w:ascii="20" w:hAnsi="20" w:eastAsia="20"/>
          <w:b w:val="0"/>
          <w:i w:val="0"/>
          <w:color w:val="231F20"/>
          <w:sz w:val="13"/>
        </w:rPr>
        <w:t>–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>85</w:t>
      </w:r>
    </w:p>
    <w:p>
      <w:pPr>
        <w:autoSpaceDN w:val="0"/>
        <w:autoSpaceDE w:val="0"/>
        <w:widowControl/>
        <w:spacing w:line="130" w:lineRule="exact" w:before="62" w:after="0"/>
        <w:ind w:left="0" w:right="1098" w:firstLine="0"/>
        <w:jc w:val="right"/>
      </w:pPr>
      <w:r>
        <w:rPr>
          <w:rFonts w:ascii="AdvTT080e16ec" w:hAnsi="AdvTT080e16ec" w:eastAsia="AdvTT080e16ec"/>
          <w:b w:val="0"/>
          <w:i w:val="0"/>
          <w:color w:val="231F20"/>
          <w:sz w:val="13"/>
        </w:rPr>
        <w:t>© 2017 Journal of Gastroenterology and Hepatology Foundation and John Wiley &amp; Sons Australia, Ltd</w:t>
      </w:r>
    </w:p>
    <w:p>
      <w:pPr>
        <w:sectPr>
          <w:pgSz w:w="11906" w:h="15591"/>
          <w:pgMar w:top="0" w:right="0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tabs>
          <w:tab w:pos="7768" w:val="left"/>
        </w:tabs>
        <w:autoSpaceDE w:val="0"/>
        <w:widowControl/>
        <w:spacing w:line="152" w:lineRule="exact" w:before="0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>VW-S Wong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et al. </w:t>
      </w:r>
      <w:r>
        <w:tab/>
      </w:r>
      <w:r>
        <w:rPr>
          <w:rFonts w:ascii="AdvTTc8c83e50" w:hAnsi="AdvTTc8c83e50" w:eastAsia="AdvTTc8c83e50"/>
          <w:b w:val="0"/>
          <w:i w:val="0"/>
          <w:color w:val="231F20"/>
          <w:sz w:val="15"/>
        </w:rPr>
        <w:t>Asia-Pacific NAFLD guidelines</w:t>
      </w:r>
    </w:p>
    <w:p>
      <w:pPr>
        <w:autoSpaceDN w:val="0"/>
        <w:tabs>
          <w:tab w:pos="658" w:val="left"/>
        </w:tabs>
        <w:autoSpaceDE w:val="0"/>
        <w:widowControl/>
        <w:spacing w:line="210" w:lineRule="exact" w:before="390" w:after="108"/>
        <w:ind w:left="0" w:right="0" w:firstLine="0"/>
        <w:jc w:val="left"/>
      </w:pPr>
      <w:r>
        <w:rPr>
          <w:rFonts w:ascii="AdvTT47a11158.B" w:hAnsi="AdvTT47a11158.B" w:eastAsia="AdvTT47a11158.B"/>
          <w:b w:val="0"/>
          <w:i w:val="0"/>
          <w:color w:val="231F20"/>
          <w:sz w:val="15"/>
        </w:rPr>
        <w:t xml:space="preserve">Table 1 </w:t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Grading of evidence and recommendations (adapted from the Grading of Recommendation Assessment, Development, and Evaluation sys-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tem 0)</w:t>
      </w:r>
      <w:r>
        <w:rPr>
          <w:w w:val="96.41422791914506"/>
          <w:rFonts w:ascii="AdvTT080e16ec" w:hAnsi="AdvTT080e16ec" w:eastAsia="AdvTT080e16ec"/>
          <w:b w:val="0"/>
          <w:i w:val="0"/>
          <w:color w:val="231F20"/>
          <w:sz w:val="11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1"/>
        <w:gridCol w:w="4931"/>
      </w:tblGrid>
      <w:tr>
        <w:trPr>
          <w:trHeight w:hRule="exact" w:val="332"/>
        </w:trPr>
        <w:tc>
          <w:tcPr>
            <w:tcW w:type="dxa" w:w="1888"/>
            <w:tcBorders>
              <w:top w:sz="6.399999999999977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82" w:after="0"/>
              <w:ind w:left="0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Grading of evidence</w:t>
            </w:r>
          </w:p>
        </w:tc>
        <w:tc>
          <w:tcPr>
            <w:tcW w:type="dxa" w:w="7952"/>
            <w:tcBorders>
              <w:top w:sz="6.399999999999977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82" w:after="0"/>
              <w:ind w:left="0" w:right="0" w:firstLine="0"/>
              <w:jc w:val="center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Description</w:t>
            </w:r>
          </w:p>
        </w:tc>
      </w:tr>
      <w:tr>
        <w:trPr>
          <w:trHeight w:hRule="exact" w:val="266"/>
        </w:trPr>
        <w:tc>
          <w:tcPr>
            <w:tcW w:type="dxa" w:w="1888"/>
            <w:tcBorders>
              <w:top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82" w:after="0"/>
              <w:ind w:left="0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A</w:t>
            </w:r>
          </w:p>
        </w:tc>
        <w:tc>
          <w:tcPr>
            <w:tcW w:type="dxa" w:w="7952"/>
            <w:tcBorders>
              <w:top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82" w:after="0"/>
              <w:ind w:left="55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High-quality evidence from meta-analysis or randomized controlled trials without major limitations or, in the</w:t>
            </w:r>
          </w:p>
        </w:tc>
      </w:tr>
    </w:tbl>
    <w:p>
      <w:pPr>
        <w:autoSpaceDN w:val="0"/>
        <w:autoSpaceDE w:val="0"/>
        <w:widowControl/>
        <w:spacing w:line="192" w:lineRule="exact" w:before="0" w:after="0"/>
        <w:ind w:left="2446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case of non-interventional studies, evidence from high-quality observational studies. Further research is unlikely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to change our con</w:t>
      </w:r>
      <w:r>
        <w:rPr>
          <w:rFonts w:ascii="fb" w:hAnsi="fb" w:eastAsia="fb"/>
          <w:b w:val="0"/>
          <w:i w:val="0"/>
          <w:color w:val="231F20"/>
          <w:sz w:val="15"/>
        </w:rPr>
        <w:t>fi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dence in the estimate of effect.</w:t>
      </w:r>
    </w:p>
    <w:p>
      <w:pPr>
        <w:autoSpaceDN w:val="0"/>
        <w:tabs>
          <w:tab w:pos="2446" w:val="left"/>
        </w:tabs>
        <w:autoSpaceDE w:val="0"/>
        <w:widowControl/>
        <w:spacing w:line="210" w:lineRule="exact" w:before="0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B </w:t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Moderate-quality evidence from meta-analysis or randomized controlled trials with obvious limitations or </w:t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observational studies. Further research is likely to have an important impact on our con</w:t>
      </w:r>
      <w:r>
        <w:rPr>
          <w:rFonts w:ascii="fb" w:hAnsi="fb" w:eastAsia="fb"/>
          <w:b w:val="0"/>
          <w:i w:val="0"/>
          <w:color w:val="231F20"/>
          <w:sz w:val="15"/>
        </w:rPr>
        <w:t>fi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dence in the estimate </w:t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of effect.</w:t>
      </w:r>
    </w:p>
    <w:p>
      <w:pPr>
        <w:autoSpaceDN w:val="0"/>
        <w:tabs>
          <w:tab w:pos="2446" w:val="left"/>
        </w:tabs>
        <w:autoSpaceDE w:val="0"/>
        <w:widowControl/>
        <w:spacing w:line="210" w:lineRule="exact" w:before="0" w:after="88"/>
        <w:ind w:left="0" w:right="144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C </w:t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Low-quality or very low-quality evidence from randomized controlled trials or observational studies with major </w:t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limitations, case series, and case reports. Further research is very likely to have an important impact on our </w:t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con</w:t>
      </w:r>
      <w:r>
        <w:rPr>
          <w:rFonts w:ascii="fb" w:hAnsi="fb" w:eastAsia="fb"/>
          <w:b w:val="0"/>
          <w:i w:val="0"/>
          <w:color w:val="231F20"/>
          <w:sz w:val="15"/>
        </w:rPr>
        <w:t>fi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dence in the estimate of effect and is likely to change the estimate. Any estimate of effect is uncertain.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1"/>
        <w:gridCol w:w="4931"/>
      </w:tblGrid>
      <w:tr>
        <w:trPr>
          <w:trHeight w:hRule="exact" w:val="328"/>
        </w:trPr>
        <w:tc>
          <w:tcPr>
            <w:tcW w:type="dxa" w:w="2188"/>
            <w:tcBorders>
              <w:top w:sz="3.2000000000000455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82" w:after="0"/>
              <w:ind w:left="0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Grading of recommendations</w:t>
            </w:r>
          </w:p>
        </w:tc>
        <w:tc>
          <w:tcPr>
            <w:tcW w:type="dxa" w:w="7652"/>
            <w:tcBorders>
              <w:top w:sz="3.2000000000000455" w:val="single" w:color="#221F1F"/>
              <w:bottom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82" w:after="0"/>
              <w:ind w:left="0" w:right="3570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Description</w:t>
            </w:r>
          </w:p>
        </w:tc>
      </w:tr>
      <w:tr>
        <w:trPr>
          <w:trHeight w:hRule="exact" w:val="476"/>
        </w:trPr>
        <w:tc>
          <w:tcPr>
            <w:tcW w:type="dxa" w:w="2188"/>
            <w:tcBorders>
              <w:top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" w:after="0"/>
              <w:ind w:left="0" w:right="2016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1 </w:t>
            </w:r>
            <w:r>
              <w:br/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2</w:t>
            </w:r>
          </w:p>
        </w:tc>
        <w:tc>
          <w:tcPr>
            <w:tcW w:type="dxa" w:w="7652"/>
            <w:tcBorders>
              <w:top w:sz="3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" w:after="0"/>
              <w:ind w:left="258" w:right="144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Strong recommendation based on the quality of evidence, presumed patient-important outcomes, and costs. 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Weaker recommendation because of variability in preferences and values, uncertainty, and higher cost or</w:t>
            </w:r>
          </w:p>
        </w:tc>
      </w:tr>
    </w:tbl>
    <w:p>
      <w:pPr>
        <w:autoSpaceDN w:val="0"/>
        <w:autoSpaceDE w:val="0"/>
        <w:widowControl/>
        <w:spacing w:line="150" w:lineRule="exact" w:before="26" w:after="88"/>
        <w:ind w:left="2446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>resource consumption.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1"/>
        <w:gridCol w:w="4931"/>
      </w:tblGrid>
      <w:tr>
        <w:trPr>
          <w:trHeight w:hRule="exact" w:val="908"/>
        </w:trPr>
        <w:tc>
          <w:tcPr>
            <w:tcW w:type="dxa" w:w="5008"/>
            <w:tcBorders>
              <w:top w:sz="6.40000000000009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4" w:after="0"/>
              <w:ind w:left="0" w:right="144" w:firstLine="0"/>
              <w:jc w:val="left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accumulation from conditions such as signi</w:t>
            </w:r>
            <w:r>
              <w:rPr>
                <w:rFonts w:ascii="20" w:hAnsi="20" w:eastAsia="20"/>
                <w:b w:val="0"/>
                <w:i w:val="0"/>
                <w:color w:val="231F20"/>
                <w:sz w:val="18"/>
              </w:rPr>
              <w:t>fi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cant alcohol con-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sumption, hepatitis C, medication use, or hereditary disorders.</w:t>
            </w:r>
          </w:p>
        </w:tc>
        <w:tc>
          <w:tcPr>
            <w:tcW w:type="dxa" w:w="4832"/>
            <w:tcBorders>
              <w:top w:sz="6.40000000000009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40" w:after="0"/>
              <w:ind w:left="292" w:right="0" w:firstLine="0"/>
              <w:jc w:val="left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alcohol-related liver disease, and haemochromatosis needs to be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recognized. (A1)</w:t>
            </w:r>
          </w:p>
        </w:tc>
      </w:tr>
    </w:tbl>
    <w:p>
      <w:pPr>
        <w:autoSpaceDN w:val="0"/>
        <w:autoSpaceDE w:val="0"/>
        <w:widowControl/>
        <w:spacing w:line="188" w:lineRule="exact" w:before="8" w:after="32"/>
        <w:ind w:left="17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While it has been acknowledged that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“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in the majority of</w:t>
      </w:r>
    </w:p>
    <w:p>
      <w:pPr>
        <w:sectPr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0" w:right="180" w:firstLine="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patients</w:t>
      </w:r>
      <w:r>
        <w:rPr>
          <w:rFonts w:ascii="20" w:hAnsi="20" w:eastAsia="20"/>
          <w:b w:val="0"/>
          <w:i w:val="0"/>
          <w:color w:val="231F20"/>
          <w:sz w:val="18"/>
        </w:rPr>
        <w:t>”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NAFLD is associated with metabolic risk factors such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as obesity, diabetes mellitus, and dyslipidemia, this fails to identify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overnutrition (as opposed to established obesity) as pivotal, or to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account for the approximately 25% of patients in Asian cohorts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who have fatty liver but are not obese. However, the vast majority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of such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“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non-obese NAFLD</w:t>
      </w:r>
      <w:r>
        <w:rPr>
          <w:rFonts w:ascii="20" w:hAnsi="20" w:eastAsia="20"/>
          <w:b w:val="0"/>
          <w:i w:val="0"/>
          <w:color w:val="231F20"/>
          <w:sz w:val="18"/>
        </w:rPr>
        <w:t>”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patients exhibit insulin resistance. In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this respect, it is also critical to note that family history of diabetes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(genetic predisposition) and prediabetes as well as established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diabetes are commonly associated with NAFLD. Finally, it has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now been clearly demonstrated that loss of 10% of bodyweight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(in overweight persons) completely reverses all elements of non-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alcoholic steatohepatitis (</w:t>
      </w:r>
      <w:r>
        <w:rPr>
          <w:rFonts w:ascii="20" w:hAnsi="20" w:eastAsia="20"/>
          <w:b w:val="0"/>
          <w:i w:val="0"/>
          <w:color w:val="231F20"/>
          <w:sz w:val="18"/>
        </w:rPr>
        <w:t>“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NASH</w:t>
      </w:r>
      <w:r>
        <w:rPr>
          <w:rFonts w:ascii="20" w:hAnsi="20" w:eastAsia="20"/>
          <w:b w:val="0"/>
          <w:i w:val="0"/>
          <w:color w:val="231F20"/>
          <w:sz w:val="18"/>
        </w:rPr>
        <w:t>”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) pathology, including liver 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brosis. This cements the role of overnutrition in the causation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of NAFLD.</w:t>
      </w:r>
    </w:p>
    <w:p>
      <w:pPr>
        <w:autoSpaceDN w:val="0"/>
        <w:tabs>
          <w:tab w:pos="170" w:val="left"/>
        </w:tabs>
        <w:autoSpaceDE w:val="0"/>
        <w:widowControl/>
        <w:spacing w:line="220" w:lineRule="exact" w:before="300" w:after="0"/>
        <w:ind w:left="0" w:right="144" w:firstLine="0"/>
        <w:jc w:val="left"/>
      </w:pPr>
      <w:r>
        <w:rPr>
          <w:rFonts w:ascii="AdvTT439facf7.BI" w:hAnsi="AdvTT439facf7.BI" w:eastAsia="AdvTT439facf7.BI"/>
          <w:b w:val="0"/>
          <w:i w:val="0"/>
          <w:color w:val="231F20"/>
          <w:sz w:val="18"/>
        </w:rPr>
        <w:t>Proposed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“</w:t>
      </w:r>
      <w:r>
        <w:rPr>
          <w:rFonts w:ascii="AdvTT439facf7.BI" w:hAnsi="AdvTT439facf7.BI" w:eastAsia="AdvTT439facf7.BI"/>
          <w:b w:val="0"/>
          <w:i w:val="0"/>
          <w:color w:val="231F20"/>
          <w:sz w:val="18"/>
        </w:rPr>
        <w:t>positive</w:t>
      </w:r>
      <w:r>
        <w:rPr>
          <w:rFonts w:ascii="20" w:hAnsi="20" w:eastAsia="20"/>
          <w:b w:val="0"/>
          <w:i w:val="0"/>
          <w:color w:val="231F20"/>
          <w:sz w:val="18"/>
        </w:rPr>
        <w:t>”</w:t>
      </w:r>
      <w:r>
        <w:rPr>
          <w:rFonts w:ascii="AdvTT439facf7.BI" w:hAnsi="AdvTT439facf7.BI" w:eastAsia="AdvTT439facf7.BI"/>
          <w:b w:val="0"/>
          <w:i w:val="0"/>
          <w:color w:val="231F20"/>
          <w:sz w:val="18"/>
        </w:rPr>
        <w:t xml:space="preserve"> de</w:t>
      </w:r>
      <w:r>
        <w:rPr>
          <w:rFonts w:ascii="fb" w:hAnsi="fb" w:eastAsia="fb"/>
          <w:b w:val="0"/>
          <w:i w:val="0"/>
          <w:color w:val="231F20"/>
          <w:sz w:val="18"/>
        </w:rPr>
        <w:t>fi</w:t>
      </w:r>
      <w:r>
        <w:rPr>
          <w:rFonts w:ascii="AdvTT439facf7.BI" w:hAnsi="AdvTT439facf7.BI" w:eastAsia="AdvTT439facf7.BI"/>
          <w:b w:val="0"/>
          <w:i w:val="0"/>
          <w:color w:val="231F20"/>
          <w:sz w:val="18"/>
        </w:rPr>
        <w:t>nition of NAFLD.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Review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articles from Europe have tended towards a more positive de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ni-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tion of NAFLD, as did the original Asia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Paci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 Guidelines of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2007. The recommended de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nition for the 11th Revision of the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International Classi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cation of Diseases is</w:t>
      </w:r>
      <w:r>
        <w:br/>
      </w:r>
      <w:r>
        <w:tab/>
      </w:r>
      <w:r>
        <w:rPr>
          <w:rFonts w:ascii="20" w:hAnsi="20" w:eastAsia="20"/>
          <w:b w:val="0"/>
          <w:i w:val="0"/>
          <w:color w:val="231F20"/>
          <w:sz w:val="18"/>
        </w:rPr>
        <w:t>“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NAFLD is characterized by fatty liver (de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ned as earlier) </w:t>
      </w:r>
      <w:r>
        <w:rPr>
          <w:rFonts w:ascii="AdvTT50a2f13e.I" w:hAnsi="AdvTT50a2f13e.I" w:eastAsia="AdvTT50a2f13e.I"/>
          <w:b w:val="0"/>
          <w:i w:val="0"/>
          <w:color w:val="231F20"/>
          <w:sz w:val="18"/>
        </w:rPr>
        <w:t>related to over-nutrition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in</w:t>
      </w:r>
      <w:r>
        <w:rPr>
          <w:rFonts w:ascii="AdvTT50a2f13e.I" w:hAnsi="AdvTT50a2f13e.I" w:eastAsia="AdvTT50a2f13e.I"/>
          <w:b w:val="0"/>
          <w:i w:val="0"/>
          <w:color w:val="231F20"/>
          <w:sz w:val="18"/>
        </w:rPr>
        <w:t xml:space="preserve"> the absence of excessive alcohol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180" w:right="0" w:firstLine="0"/>
        <w:jc w:val="left"/>
      </w:pPr>
      <w:r>
        <w:rPr>
          <w:rFonts w:ascii="AdvTT439facf7.BI" w:hAnsi="AdvTT439facf7.BI" w:eastAsia="AdvTT439facf7.BI"/>
          <w:b w:val="0"/>
          <w:i w:val="0"/>
          <w:color w:val="231F20"/>
          <w:sz w:val="18"/>
        </w:rPr>
        <w:t xml:space="preserve">Pathological subtypes and outcomes of NAFLD.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majority of cases of NAFLD show steatosis with no or mini-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mal liver in</w:t>
      </w:r>
      <w:r>
        <w:rPr>
          <w:rFonts w:ascii="20" w:hAnsi="20" w:eastAsia="20"/>
          <w:b w:val="0"/>
          <w:i w:val="0"/>
          <w:color w:val="231F20"/>
          <w:sz w:val="18"/>
        </w:rPr>
        <w:t>fl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ammation. The term favored by the American Asso-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ciation for the Study of Liver Diseases (AASLD) for this, non-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alcoholic fatty liver, has not been adopted by the 11th Revision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of the International Classi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cation of Diseases as it seems ambigu-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ous. Speci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cally, all NAFLD cases have fatty liver, whether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steatohepatitis (NASH) is present or not. Instead, if the pathology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is known, the terminology should be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“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NAFLD without NASH</w:t>
      </w:r>
      <w:r>
        <w:rPr>
          <w:rFonts w:ascii="20" w:hAnsi="20" w:eastAsia="20"/>
          <w:b w:val="0"/>
          <w:i w:val="0"/>
          <w:color w:val="231F20"/>
          <w:sz w:val="18"/>
        </w:rPr>
        <w:t>”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or</w:t>
      </w:r>
      <w:r>
        <w:rPr>
          <w:rFonts w:ascii="20" w:hAnsi="20" w:eastAsia="20"/>
          <w:b w:val="0"/>
          <w:i w:val="0"/>
          <w:color w:val="231F20"/>
          <w:sz w:val="18"/>
        </w:rPr>
        <w:t>“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simple steatosis,</w:t>
      </w:r>
      <w:r>
        <w:rPr>
          <w:rFonts w:ascii="20" w:hAnsi="20" w:eastAsia="20"/>
          <w:b w:val="0"/>
          <w:i w:val="0"/>
          <w:color w:val="231F20"/>
          <w:sz w:val="18"/>
        </w:rPr>
        <w:t>” “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NASH,</w:t>
      </w:r>
      <w:r>
        <w:rPr>
          <w:rFonts w:ascii="20" w:hAnsi="20" w:eastAsia="20"/>
          <w:b w:val="0"/>
          <w:i w:val="0"/>
          <w:color w:val="231F20"/>
          <w:sz w:val="18"/>
        </w:rPr>
        <w:t>”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and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“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with or without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 or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cirrhosis</w:t>
      </w:r>
      <w:r>
        <w:rPr>
          <w:rFonts w:ascii="20" w:hAnsi="20" w:eastAsia="20"/>
          <w:b w:val="0"/>
          <w:i w:val="0"/>
          <w:color w:val="231F20"/>
          <w:sz w:val="18"/>
        </w:rPr>
        <w:t>”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for either category.</w:t>
      </w:r>
    </w:p>
    <w:p>
      <w:pPr>
        <w:autoSpaceDN w:val="0"/>
        <w:autoSpaceDE w:val="0"/>
        <w:widowControl/>
        <w:spacing w:line="220" w:lineRule="exact" w:before="0" w:after="20"/>
        <w:ind w:left="180" w:right="20" w:firstLine="17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Between 10% and 25% of NAFLD cases show steatohepatitis,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that is, NASH. The hallmarks are conspicuous hepatocyte injury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(especially ballooning and apoptosis) and substantial liver in</w:t>
      </w:r>
      <w:r>
        <w:rPr>
          <w:rFonts w:ascii="20" w:hAnsi="20" w:eastAsia="20"/>
          <w:b w:val="0"/>
          <w:i w:val="0"/>
          <w:color w:val="231F20"/>
          <w:sz w:val="18"/>
        </w:rPr>
        <w:t>fl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am-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mation. NASH is more likely to be associated with liver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than cases showing only steatosis. Notwithstanding the likely im-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portance of NASH in leading to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brosis, it is the presence of 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 (with or without NASH) that predicts progression to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cirrhosis in clinical outcome studies. Hepatocellular carcinoma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(HCC) is a complication of NAFLD, but not exclusively among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cases that progressed to cirrhosis (including cases of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“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crypto-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genic cirrhosis</w:t>
      </w:r>
      <w:r>
        <w:rPr>
          <w:rFonts w:ascii="20" w:hAnsi="20" w:eastAsia="20"/>
          <w:b w:val="0"/>
          <w:i w:val="0"/>
          <w:color w:val="231F20"/>
          <w:sz w:val="18"/>
        </w:rPr>
        <w:t>”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). Besides, it is unclear if a patient must have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tabs>
          <w:tab w:pos="5100" w:val="left"/>
        </w:tabs>
        <w:autoSpaceDE w:val="0"/>
        <w:widowControl/>
        <w:spacing w:line="188" w:lineRule="exact" w:before="0" w:after="68"/>
        <w:ind w:left="0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8"/>
        </w:rPr>
        <w:t>consumption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.</w:t>
      </w:r>
      <w:r>
        <w:rPr>
          <w:rFonts w:ascii="20" w:hAnsi="20" w:eastAsia="20"/>
          <w:b w:val="0"/>
          <w:i w:val="0"/>
          <w:color w:val="231F20"/>
          <w:sz w:val="18"/>
        </w:rPr>
        <w:t>”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NASH before progressing to NAFLD-related HCC.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17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We therefore recommend the following language:</w:t>
      </w:r>
    </w:p>
    <w:p>
      <w:pPr>
        <w:autoSpaceDN w:val="0"/>
        <w:autoSpaceDE w:val="0"/>
        <w:widowControl/>
        <w:spacing w:line="220" w:lineRule="exact" w:before="80" w:after="0"/>
        <w:ind w:left="202" w:right="178" w:firstLine="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2.1 Non-alcoholic fatty liver disease (NAFLD) is a form of fatty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liver disease (as previously de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ned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see 2007 Guidelines and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 2012 American Guidelines) that can reasonably be attributed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to over-nutrition and its complications, such as weight gain,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central obesity, insulin resistance, glucose intolerance, atherogenic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dyslipidemia and arterial hypertension (metabolic syndrome),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particularly in genetically predisposed individuals. For a strict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nition of NAFLD, signi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cant (or excessive) alcohol consump-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tion and other diseases must be excluded. However, the interaction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between over-nutrition and other liver disorders commonly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causing fatty liver disease, including hepatitis C, hepatitis B,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432"/>
        <w:ind w:left="180" w:right="20" w:firstLine="0"/>
        <w:jc w:val="both"/>
      </w:pPr>
      <w:r>
        <w:rPr>
          <w:rFonts w:ascii="AdvTT439facf7.BI" w:hAnsi="AdvTT439facf7.BI" w:eastAsia="AdvTT439facf7.BI"/>
          <w:b w:val="0"/>
          <w:i w:val="0"/>
          <w:color w:val="231F20"/>
          <w:sz w:val="18"/>
        </w:rPr>
        <w:t>Alcohol exclusion criteria.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No more than one standard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drink per day (i.e. 70 g ethanol per week) for women and no more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than two standard drinks per day (i.e. 140 g ethanol per week) for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men have been used by the National Institutes of Health NASH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clinical research network and widely adopted for clinical studies.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relevance of this standard to the populations in the Asia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Paci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 region was discussed in the 2007 Guidelines. The proposed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levels of alcohol intake are based on evidence about daily alcohol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intake and risk of cirrhosis. The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“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cut-off</w:t>
      </w:r>
      <w:r>
        <w:rPr>
          <w:rFonts w:ascii="20" w:hAnsi="20" w:eastAsia="20"/>
          <w:b w:val="0"/>
          <w:i w:val="0"/>
          <w:color w:val="231F20"/>
          <w:sz w:val="18"/>
        </w:rPr>
        <w:t>”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values have been set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lower than the apparent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“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threshold levels</w:t>
      </w:r>
      <w:r>
        <w:rPr>
          <w:rFonts w:ascii="20" w:hAnsi="20" w:eastAsia="20"/>
          <w:b w:val="0"/>
          <w:i w:val="0"/>
          <w:color w:val="231F20"/>
          <w:sz w:val="18"/>
        </w:rPr>
        <w:t>”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so as to avoid the issue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of overlap between alcoholic liver disease and obesity, type 2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diabetes (T2DM), and metabolic syndrome in progression to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tabs>
          <w:tab w:pos="9642" w:val="left"/>
        </w:tabs>
        <w:autoSpaceDE w:val="0"/>
        <w:widowControl/>
        <w:spacing w:line="134" w:lineRule="exact" w:before="0" w:after="0"/>
        <w:ind w:left="0" w:right="0" w:firstLine="0"/>
        <w:jc w:val="left"/>
      </w:pPr>
      <w:r>
        <w:rPr>
          <w:rFonts w:ascii="AdvTT9ce5b9b8.I" w:hAnsi="AdvTT9ce5b9b8.I" w:eastAsia="AdvTT9ce5b9b8.I"/>
          <w:b w:val="0"/>
          <w:i w:val="0"/>
          <w:color w:val="231F20"/>
          <w:sz w:val="13"/>
        </w:rPr>
        <w:t>Journal of Gastroenterology and Hepatology</w:t>
      </w:r>
      <w:r>
        <w:rPr>
          <w:rFonts w:ascii="AdvTT47a11158.B" w:hAnsi="AdvTT47a11158.B" w:eastAsia="AdvTT47a11158.B"/>
          <w:b w:val="0"/>
          <w:i w:val="0"/>
          <w:color w:val="231F20"/>
          <w:sz w:val="13"/>
        </w:rPr>
        <w:t xml:space="preserve"> 33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 xml:space="preserve"> (2018) 70</w:t>
      </w:r>
      <w:r>
        <w:rPr>
          <w:rFonts w:ascii="20" w:hAnsi="20" w:eastAsia="20"/>
          <w:b w:val="0"/>
          <w:i w:val="0"/>
          <w:color w:val="231F20"/>
          <w:sz w:val="13"/>
        </w:rPr>
        <w:t>–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 xml:space="preserve">85 </w:t>
      </w:r>
      <w:r>
        <w:tab/>
      </w:r>
      <w:r>
        <w:rPr>
          <w:rFonts w:ascii="AdvTT47a11158.B" w:hAnsi="AdvTT47a11158.B" w:eastAsia="AdvTT47a11158.B"/>
          <w:b w:val="0"/>
          <w:i w:val="0"/>
          <w:color w:val="231F20"/>
          <w:sz w:val="16"/>
        </w:rPr>
        <w:t>71</w:t>
      </w:r>
    </w:p>
    <w:p>
      <w:pPr>
        <w:autoSpaceDN w:val="0"/>
        <w:autoSpaceDE w:val="0"/>
        <w:widowControl/>
        <w:spacing w:line="130" w:lineRule="exact" w:before="62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3"/>
        </w:rPr>
        <w:t>© 2017 Journal of Gastroenterology and Hepatology Foundation and John Wiley &amp; Sons Australia, Ltd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tabs>
          <w:tab w:pos="8652" w:val="left"/>
        </w:tabs>
        <w:autoSpaceDE w:val="0"/>
        <w:widowControl/>
        <w:spacing w:line="150" w:lineRule="exact" w:before="0" w:after="442"/>
        <w:ind w:left="0" w:right="0" w:firstLine="0"/>
        <w:jc w:val="left"/>
      </w:pPr>
      <w:r>
        <w:rPr>
          <w:rFonts w:ascii="AdvTTc8c83e50" w:hAnsi="AdvTTc8c83e50" w:eastAsia="AdvTTc8c83e50"/>
          <w:b w:val="0"/>
          <w:i w:val="0"/>
          <w:color w:val="231F20"/>
          <w:sz w:val="15"/>
        </w:rPr>
        <w:t xml:space="preserve">Asia-Pacific NAFLD guidelines </w:t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VW-S Wong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et al.</w:t>
      </w:r>
    </w:p>
    <w:p>
      <w:pPr>
        <w:sectPr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180" w:firstLine="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cirrhosis. Patients who may be drinking at safe levels at the time of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presentation with liver disease may have a past history of chronic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excessive alcohol intake for a prolonged period of time and may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have cirrhosis. Lifetime alcohol intake is therefore important and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needs to be incorporated into history taking.</w:t>
      </w:r>
    </w:p>
    <w:p>
      <w:pPr>
        <w:autoSpaceDN w:val="0"/>
        <w:autoSpaceDE w:val="0"/>
        <w:widowControl/>
        <w:spacing w:line="220" w:lineRule="exact" w:before="230" w:after="0"/>
        <w:ind w:left="0" w:right="0" w:firstLine="0"/>
        <w:jc w:val="left"/>
      </w:pPr>
      <w:r>
        <w:rPr>
          <w:rFonts w:ascii="AdvTTb9655705.B" w:hAnsi="AdvTTb9655705.B" w:eastAsia="AdvTTb9655705.B"/>
          <w:b w:val="0"/>
          <w:i w:val="0"/>
          <w:color w:val="231F20"/>
          <w:sz w:val="22"/>
        </w:rPr>
        <w:t>Epidemiology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32"/>
        <w:ind w:left="180" w:right="20" w:firstLine="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320 HCC cases (5.3%) were either associated with NASH or had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unknown (</w:t>
      </w:r>
      <w:r>
        <w:rPr>
          <w:rFonts w:ascii="20" w:hAnsi="20" w:eastAsia="20"/>
          <w:b w:val="0"/>
          <w:i w:val="0"/>
          <w:color w:val="231F20"/>
          <w:sz w:val="18"/>
        </w:rPr>
        <w:t>“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cryptogenic</w:t>
      </w:r>
      <w:r>
        <w:rPr>
          <w:rFonts w:ascii="20" w:hAnsi="20" w:eastAsia="20"/>
          <w:b w:val="0"/>
          <w:i w:val="0"/>
          <w:color w:val="231F20"/>
          <w:sz w:val="18"/>
        </w:rPr>
        <w:t>”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) etiology.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8</w:t>
      </w:r>
      <w:r>
        <w:rPr>
          <w:rFonts w:ascii="20" w:hAnsi="20" w:eastAsia="20"/>
          <w:b w:val="0"/>
          <w:i w:val="0"/>
          <w:color w:val="231F20"/>
          <w:sz w:val="18"/>
        </w:rPr>
        <w:t>“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Cryptogenic</w:t>
      </w:r>
      <w:r>
        <w:rPr>
          <w:rFonts w:ascii="20" w:hAnsi="20" w:eastAsia="20"/>
          <w:b w:val="0"/>
          <w:i w:val="0"/>
          <w:color w:val="231F20"/>
          <w:sz w:val="18"/>
        </w:rPr>
        <w:t>”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HCC also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accounted for 5.4% of all HCCs in Korea. Metabolic syndrome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and its components (i.e. obesity and T2DM) are very common in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cryptogenic cirrhosis and HCC patients. Recent literature from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Asia also suggests a strong association between NAFLD and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HCC in non-cirrhotic livers (see comments under</w:t>
      </w:r>
      <w:r>
        <w:rPr>
          <w:rFonts w:ascii="AdvTT50a2f13e.I" w:hAnsi="AdvTT50a2f13e.I" w:eastAsia="AdvTT50a2f13e.I"/>
          <w:b w:val="0"/>
          <w:i w:val="0"/>
          <w:color w:val="231F20"/>
          <w:sz w:val="18"/>
        </w:rPr>
        <w:t xml:space="preserve"> De</w:t>
      </w:r>
      <w:r>
        <w:rPr>
          <w:rFonts w:ascii="fb" w:hAnsi="fb" w:eastAsia="fb"/>
          <w:b w:val="0"/>
          <w:i w:val="0"/>
          <w:color w:val="231F20"/>
          <w:sz w:val="18"/>
        </w:rPr>
        <w:t>fi</w:t>
      </w:r>
      <w:r>
        <w:rPr>
          <w:rFonts w:ascii="AdvTT50a2f13e.I" w:hAnsi="AdvTT50a2f13e.I" w:eastAsia="AdvTT50a2f13e.I"/>
          <w:b w:val="0"/>
          <w:i w:val="0"/>
          <w:color w:val="231F20"/>
          <w:sz w:val="18"/>
        </w:rPr>
        <w:t>nition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).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majority of NASH-related HCC patients either did not have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tabs>
          <w:tab w:pos="510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AdvTT439facf7.BI" w:hAnsi="AdvTT439facf7.BI" w:eastAsia="AdvTT439facf7.BI"/>
          <w:b w:val="0"/>
          <w:i w:val="0"/>
          <w:color w:val="231F20"/>
          <w:sz w:val="18"/>
        </w:rPr>
        <w:t xml:space="preserve">Adults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nite cirrhosis or cirrhosis was well compensated (Child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Pugh</w:t>
      </w:r>
    </w:p>
    <w:p>
      <w:pPr>
        <w:autoSpaceDN w:val="0"/>
        <w:autoSpaceDE w:val="0"/>
        <w:widowControl/>
        <w:spacing w:line="180" w:lineRule="exact" w:before="38" w:after="44"/>
        <w:ind w:left="0" w:right="22" w:firstLine="0"/>
        <w:jc w:val="righ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A), compared with Child B and C cirrhosis with other etiologies.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0" w:right="180" w:firstLine="0"/>
        <w:jc w:val="both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Prevalence of NAFLD.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Over the past three decades, changing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Western lifestyles and dietary habits, in addition to relatively high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rates of genetic predisposition in several community groups, have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increased the prevalence of NAFLD in the Asia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Paci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 region. On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 basis of hepatic imaging, recent studies suggest that a quarter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(95% con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dence interval [CI]: 23.3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31.9%) of the general popula-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tion in Asia has NAFLD, but the proportion of patients with ad-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vanced liver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 diagnosed by transient elastography (TE)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appears to be low (3.7% among NAFLD patients).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3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Obesity, dys-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lipidemia, T2DM, and metabolic syndrome are established risk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factors for developing NAFLD. In addition, several other risk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factors for NAFLD have been identi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ed in the Asia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Paci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 re-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gion. These include hypothyroidism, polycystic ovary syndrome,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obstructive sleep apnea, hypopituitarism, and hypogonadism.</w:t>
      </w:r>
    </w:p>
    <w:p>
      <w:pPr>
        <w:autoSpaceDN w:val="0"/>
        <w:autoSpaceDE w:val="0"/>
        <w:widowControl/>
        <w:spacing w:line="220" w:lineRule="exact" w:before="0" w:after="0"/>
        <w:ind w:left="0" w:right="180" w:firstLine="17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There may be subtle differences in the phenotype distribution of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NAFLD between Asia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Paci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 and Western countries. Of particu-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lar interest are more frequent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“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lean NAFLD</w:t>
      </w:r>
      <w:r>
        <w:rPr>
          <w:rFonts w:ascii="20" w:hAnsi="20" w:eastAsia="20"/>
          <w:b w:val="0"/>
          <w:i w:val="0"/>
          <w:color w:val="231F20"/>
          <w:sz w:val="18"/>
        </w:rPr>
        <w:t>”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and the urban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rural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differences of prevalence rates of NAFLD in Asia.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4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In addition,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Asian people are particularly susceptible, partly owing to body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composition differences in fat and muscle and genetic suscep-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tibility via predisposition to T2DM,</w:t>
      </w:r>
      <w:r>
        <w:rPr>
          <w:rFonts w:ascii="AdvTT50a2f13e.I" w:hAnsi="AdvTT50a2f13e.I" w:eastAsia="AdvTT50a2f13e.I"/>
          <w:b w:val="0"/>
          <w:i w:val="0"/>
          <w:color w:val="231F20"/>
          <w:sz w:val="18"/>
        </w:rPr>
        <w:t xml:space="preserve"> PNPLA3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SNPs, and polymor-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phisms in apolipoprotein 3.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5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On the other hand, the natural history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of NAFLD and its progression to cirrhosis and HCC (when this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occurs) is over several decades; the fact that NAFLD in Asian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countries may be more recent than in North and South America,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for example, may also in</w:t>
      </w:r>
      <w:r>
        <w:rPr>
          <w:rFonts w:ascii="20" w:hAnsi="20" w:eastAsia="20"/>
          <w:b w:val="0"/>
          <w:i w:val="0"/>
          <w:color w:val="231F20"/>
          <w:sz w:val="18"/>
        </w:rPr>
        <w:t>fl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uence the present distribution of disease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phenotypes towards the milder end of the pathological spectrum.</w:t>
      </w:r>
    </w:p>
    <w:p>
      <w:pPr>
        <w:autoSpaceDN w:val="0"/>
        <w:autoSpaceDE w:val="0"/>
        <w:widowControl/>
        <w:spacing w:line="220" w:lineRule="exact" w:before="328" w:after="0"/>
        <w:ind w:left="0" w:right="180" w:firstLine="0"/>
        <w:jc w:val="both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Prevalence of NASH and incidence of NAFLD.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There are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limited studies evaluating the incidence of NAFLD and the pre-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valence of NASH in the general population. In Japan, pooled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regional NAFLD incidence rate estimates are 52.3 (95%CI: 28.1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96.8) per 1000 person-years.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6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Incident NAFLD is not uncommon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among Chinese people who are not obese; for instance, 8.9% of lean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subjects developed NAFLD during a 5-year follow-up.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6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Because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diagnosis of NASH requires a liver biopsy, the population prev-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alence of NASH in Asia is currently unknown. Among Asian liver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biopsy series, NASH can be found in 63.5% (95%CI: 47.7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76.8). In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natural history studies involving paired liver biopsies, around 25%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of patients may progress from simple steatosis to NASH in 3 years.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7</w:t>
      </w:r>
    </w:p>
    <w:p>
      <w:pPr>
        <w:autoSpaceDN w:val="0"/>
        <w:autoSpaceDE w:val="0"/>
        <w:widowControl/>
        <w:spacing w:line="220" w:lineRule="exact" w:before="326" w:after="0"/>
        <w:ind w:left="0" w:right="180" w:firstLine="0"/>
        <w:jc w:val="both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Prevalence of NASH-related cirrhosis and HCC.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Non-alco-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holic steatohepatitis is the most common cause of cirrhosis and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HCC in patients without other known etiological causes of liver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disease worldwide. Thus, 63.3% of formerly designated crypto-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genic cirrhosis cases could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nally be attributed to NAFLD because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cryptogenic cirrhosis is more associated with metabolic syndrome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than other causes of cirrhosis. A study from Japan found that 17 of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180" w:right="20" w:firstLine="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However, data from carefully controlled long-term studies from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this region, with better documentation of liver disease, are required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to determine the prevalence and incidence of HCC in NAFLD pa-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tients, especially in non-cirrhotic NASH patients in Asia. Another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general need is to better understand the relative importance of in-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dividual host and environmental factors in determining the preva-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lence of NAFLD and its liver complications in different ethnic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groups across geographical areas of the vast Asia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Paci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 region.</w:t>
      </w:r>
    </w:p>
    <w:p>
      <w:pPr>
        <w:autoSpaceDN w:val="0"/>
        <w:autoSpaceDE w:val="0"/>
        <w:widowControl/>
        <w:spacing w:line="180" w:lineRule="exact" w:before="314" w:after="0"/>
        <w:ind w:left="180" w:right="0" w:firstLine="0"/>
        <w:jc w:val="left"/>
      </w:pPr>
      <w:r>
        <w:rPr>
          <w:rFonts w:ascii="AdvTT439facf7.BI" w:hAnsi="AdvTT439facf7.BI" w:eastAsia="AdvTT439facf7.BI"/>
          <w:b w:val="0"/>
          <w:i w:val="0"/>
          <w:color w:val="231F20"/>
          <w:sz w:val="18"/>
        </w:rPr>
        <w:t>Children and adolescents</w:t>
      </w:r>
    </w:p>
    <w:p>
      <w:pPr>
        <w:autoSpaceDN w:val="0"/>
        <w:tabs>
          <w:tab w:pos="350" w:val="left"/>
        </w:tabs>
        <w:autoSpaceDE w:val="0"/>
        <w:widowControl/>
        <w:spacing w:line="220" w:lineRule="exact" w:before="226" w:after="0"/>
        <w:ind w:left="180" w:right="0" w:firstLine="0"/>
        <w:jc w:val="left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The prevalence of NAFLD in children and adolescents.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Es-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timates of the prevalence of NAFLD in children and adolescents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vary widely between epidemiologic studies. Using liver ultraso-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nography, Tominaga</w:t>
      </w:r>
      <w:r>
        <w:rPr>
          <w:rFonts w:ascii="AdvTT50a2f13e.I" w:hAnsi="AdvTT50a2f13e.I" w:eastAsia="AdvTT50a2f13e.I"/>
          <w:b w:val="0"/>
          <w:i w:val="0"/>
          <w:color w:val="231F20"/>
          <w:sz w:val="18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reported that the prevalence of NAFLD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was 2.6% in 810 Japanese children aged 4 to 12 years.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9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Another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study from Shanghai showed the prevalence was 2.1% in 6- to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12-year-old schoolchildren in China.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10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To clarify the prevalence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of NAFLD in obese children (de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ned as the body mass index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[BMI] value</w:t>
      </w:r>
      <w:r>
        <w:rPr>
          <w:rFonts w:ascii="AdvP4C4E51" w:hAnsi="AdvP4C4E51" w:eastAsia="AdvP4C4E51"/>
          <w:b w:val="0"/>
          <w:i w:val="0"/>
          <w:color w:val="231F20"/>
          <w:sz w:val="18"/>
        </w:rPr>
        <w:t xml:space="preserve"> &gt;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95 percentile by age-speci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 and gender-speci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cut-off points), Lin</w:t>
      </w:r>
      <w:r>
        <w:rPr>
          <w:rFonts w:ascii="AdvTT50a2f13e.I" w:hAnsi="AdvTT50a2f13e.I" w:eastAsia="AdvTT50a2f13e.I"/>
          <w:b w:val="0"/>
          <w:i w:val="0"/>
          <w:color w:val="231F20"/>
          <w:sz w:val="18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reported that 22.8% of 832 obese Taiwan-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ese children and adolescents had ultrasound-de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ned NAFLD.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 xml:space="preserve">11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However, the true prevalence of NAFLD may be underestimated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by this method because liver ultrasonography is relatively insensi-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tive for detecting cases with hepatic fat content below 30%.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 xml:space="preserve">12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Serum alanine transferase (ALT) is frequently used to assess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NAFLD prevalence. The prevalence of elevated ALT levels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(</w:t>
      </w:r>
      <w:r>
        <w:rPr>
          <w:rFonts w:ascii="AdvP4C4E51" w:hAnsi="AdvP4C4E51" w:eastAsia="AdvP4C4E51"/>
          <w:b w:val="0"/>
          <w:i w:val="0"/>
          <w:color w:val="231F20"/>
          <w:sz w:val="18"/>
        </w:rPr>
        <w:t>&gt;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40 U/L) was 8% in 1594 adolescents aged 10 to 19 years in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 Korean National Health and Nutrition Examination Survey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1998.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13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 Japanese study of 228 obese children aged 6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15 years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reported a prevalence of ALT</w:t>
      </w:r>
      <w:r>
        <w:rPr>
          <w:rFonts w:ascii="AdvP4C4E51" w:hAnsi="AdvP4C4E51" w:eastAsia="AdvP4C4E51"/>
          <w:b w:val="0"/>
          <w:i w:val="0"/>
          <w:color w:val="231F20"/>
          <w:sz w:val="18"/>
        </w:rPr>
        <w:t xml:space="preserve"> &gt;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35 U/L of 24.1% (the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“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normal</w:t>
      </w:r>
      <w:r>
        <w:rPr>
          <w:rFonts w:ascii="20" w:hAnsi="20" w:eastAsia="20"/>
          <w:b w:val="0"/>
          <w:i w:val="0"/>
          <w:color w:val="231F20"/>
          <w:sz w:val="18"/>
        </w:rPr>
        <w:t>”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value for ALT in the general population is likely to be 25.8 U/L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in boys and</w:t>
      </w:r>
      <w:r>
        <w:rPr>
          <w:rFonts w:ascii="AdvP4C4E51" w:hAnsi="AdvP4C4E51" w:eastAsia="AdvP4C4E51"/>
          <w:b w:val="0"/>
          <w:i w:val="0"/>
          <w:color w:val="231F20"/>
          <w:sz w:val="18"/>
        </w:rPr>
        <w:t xml:space="preserve"> &lt;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22.1 U/L in girls).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14,15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There are some limitations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when using ALT as a screening measure for NAFLD as the upper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limit of normal ALT is not well established and ALT levels do not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parallel the histological severity of NAFLD in children or adults.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16</w:t>
      </w:r>
    </w:p>
    <w:p>
      <w:pPr>
        <w:autoSpaceDN w:val="0"/>
        <w:autoSpaceDE w:val="0"/>
        <w:widowControl/>
        <w:spacing w:line="220" w:lineRule="exact" w:before="380" w:after="432"/>
        <w:ind w:left="180" w:right="20" w:firstLine="0"/>
        <w:jc w:val="both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Prevalence of NASH and NASH-related cirrhosis.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The stan-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dard diagnosis of NASH relies on liver histological features. There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were no studies to estimate NASH prevalence by this method in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Asia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Paci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 region. In the USA, Schwimmer</w:t>
      </w:r>
      <w:r>
        <w:rPr>
          <w:rFonts w:ascii="AdvTT50a2f13e.I" w:hAnsi="AdvTT50a2f13e.I" w:eastAsia="AdvTT50a2f13e.I"/>
          <w:b w:val="0"/>
          <w:i w:val="0"/>
          <w:color w:val="231F20"/>
          <w:sz w:val="18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used au-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topsy data to assess liver steatosis. They found that the prevalence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of NAFLD and NASH was 13% and 3%, respectively, among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children, regardless of the cause of death.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17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Another study in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Poland surveyed children whose death was caused by trauma;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prevalences of NAFLD and NASH were 5.3% and 0.3%, respec-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tively.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18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NASH-related cirrhosis has been reported in children as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young as 10 years of age.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19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tabs>
          <w:tab w:pos="6322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AdvTT47a11158.B" w:hAnsi="AdvTT47a11158.B" w:eastAsia="AdvTT47a11158.B"/>
          <w:b w:val="0"/>
          <w:i w:val="0"/>
          <w:color w:val="231F20"/>
          <w:sz w:val="16"/>
        </w:rPr>
        <w:t xml:space="preserve">72 </w:t>
      </w:r>
      <w:r>
        <w:tab/>
      </w:r>
      <w:r>
        <w:rPr>
          <w:rFonts w:ascii="AdvTT9ce5b9b8.I" w:hAnsi="AdvTT9ce5b9b8.I" w:eastAsia="AdvTT9ce5b9b8.I"/>
          <w:b w:val="0"/>
          <w:i w:val="0"/>
          <w:color w:val="231F20"/>
          <w:sz w:val="13"/>
        </w:rPr>
        <w:t>Journal of Gastroenterology and Hepatology</w:t>
      </w:r>
      <w:r>
        <w:rPr>
          <w:rFonts w:ascii="AdvTT47a11158.B" w:hAnsi="AdvTT47a11158.B" w:eastAsia="AdvTT47a11158.B"/>
          <w:b w:val="0"/>
          <w:i w:val="0"/>
          <w:color w:val="231F20"/>
          <w:sz w:val="13"/>
        </w:rPr>
        <w:t xml:space="preserve"> 33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 xml:space="preserve"> (2018) 70</w:t>
      </w:r>
      <w:r>
        <w:rPr>
          <w:rFonts w:ascii="20" w:hAnsi="20" w:eastAsia="20"/>
          <w:b w:val="0"/>
          <w:i w:val="0"/>
          <w:color w:val="231F20"/>
          <w:sz w:val="13"/>
        </w:rPr>
        <w:t>–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>85</w:t>
      </w:r>
    </w:p>
    <w:p>
      <w:pPr>
        <w:autoSpaceDN w:val="0"/>
        <w:autoSpaceDE w:val="0"/>
        <w:widowControl/>
        <w:spacing w:line="130" w:lineRule="exact" w:before="62" w:after="0"/>
        <w:ind w:left="0" w:right="20" w:firstLine="0"/>
        <w:jc w:val="right"/>
      </w:pPr>
      <w:r>
        <w:rPr>
          <w:rFonts w:ascii="AdvTT080e16ec" w:hAnsi="AdvTT080e16ec" w:eastAsia="AdvTT080e16ec"/>
          <w:b w:val="0"/>
          <w:i w:val="0"/>
          <w:color w:val="231F20"/>
          <w:sz w:val="13"/>
        </w:rPr>
        <w:t>© 2017 Journal of Gastroenterology and Hepatology Foundation and John Wiley &amp; Sons Australia, Ltd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tabs>
          <w:tab w:pos="7768" w:val="left"/>
        </w:tabs>
        <w:autoSpaceDE w:val="0"/>
        <w:widowControl/>
        <w:spacing w:line="152" w:lineRule="exact" w:before="0" w:after="438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>VW-S Wong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et al. </w:t>
      </w:r>
      <w:r>
        <w:tab/>
      </w:r>
      <w:r>
        <w:rPr>
          <w:rFonts w:ascii="AdvTTc8c83e50" w:hAnsi="AdvTTc8c83e50" w:eastAsia="AdvTTc8c83e50"/>
          <w:b w:val="0"/>
          <w:i w:val="0"/>
          <w:color w:val="231F20"/>
          <w:sz w:val="15"/>
        </w:rPr>
        <w:t>Asia-Pacific NAFLD guidelines</w:t>
      </w:r>
    </w:p>
    <w:p>
      <w:pPr>
        <w:sectPr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180" w:firstLine="0"/>
        <w:jc w:val="both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Geographical difference.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A recent meta-analysis reported that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pooled prevalence estimates did not differ by geographical re-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gion in the general population among children and adolescents. In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contrast, in clinical studies of obese population, the prevalence es-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timates varied by geographical region, being higher in the studies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from Asia (62.3%) than studies from Europe (29.8%) and North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America (39.2%).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20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It should be emphasized that diagnostic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methods used in different studies could signi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cantly affect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NAFLD prevalence estimates.</w:t>
      </w:r>
    </w:p>
    <w:p>
      <w:pPr>
        <w:autoSpaceDN w:val="0"/>
        <w:autoSpaceDE w:val="0"/>
        <w:widowControl/>
        <w:spacing w:line="220" w:lineRule="exact" w:before="318" w:after="0"/>
        <w:ind w:left="0" w:right="180" w:firstLine="0"/>
        <w:jc w:val="both"/>
      </w:pPr>
      <w:r>
        <w:rPr>
          <w:rFonts w:ascii="AdvTT439facf7.BI" w:hAnsi="AdvTT439facf7.BI" w:eastAsia="AdvTT439facf7.BI"/>
          <w:b w:val="0"/>
          <w:i w:val="0"/>
          <w:color w:val="231F20"/>
          <w:sz w:val="18"/>
        </w:rPr>
        <w:t>Risk factors of NAFLD.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Overnutrition and insulin resis-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tance are dominant risk factors for the development of NAFLD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(Table 2). The condition of gut microbiota, genetic variations,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and epigenetic regulation induced by microRNAs (miR), DNA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methylation, histone modi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cation, and ubiquitination may alter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 susceptibility to NAFLD. Although the prevalence of NAFLD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increases with age and with the male gender,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21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direct relation-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ships among age, gender, and susceptibility to NAFLD remain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unsettled.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22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180" w:right="20" w:firstLine="17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Fatty liver can also be triggered by exogenous factors including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certain medications and malnutrition,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23</w:t>
      </w:r>
      <w:r>
        <w:rPr>
          <w:w w:val="97.89984042827899"/>
          <w:rFonts w:ascii="20" w:hAnsi="20" w:eastAsia="20"/>
          <w:b w:val="0"/>
          <w:i w:val="0"/>
          <w:color w:val="231F20"/>
          <w:sz w:val="13"/>
        </w:rPr>
        <w:t>–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25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although the liver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pathology in such cases may be indistinguishable from NAFLD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secondary to overnutrition and obesity.</w:t>
      </w:r>
    </w:p>
    <w:p>
      <w:pPr>
        <w:autoSpaceDN w:val="0"/>
        <w:tabs>
          <w:tab w:pos="350" w:val="left"/>
        </w:tabs>
        <w:autoSpaceDE w:val="0"/>
        <w:widowControl/>
        <w:spacing w:line="220" w:lineRule="exact" w:before="330" w:after="40"/>
        <w:ind w:left="180" w:right="0" w:firstLine="0"/>
        <w:jc w:val="left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Overnutrition and insulin resistance.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Overnutrition or inap-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propriate diet, such as excessive carbohydrate intake and/or exces-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sive fat intake, induces insulin resistance and bodyweight gain.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 xml:space="preserve">26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Excessive carbohydrate intake and/or excessive fat intake also lead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to increased circulating concentrations of both glucose and free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fatty acids. Moreover, insulin resistance reduces glucose uptake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by adipose tissue and muscle and reduces the hydrolysis of triglyc-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erides in adipose tissue.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 xml:space="preserve">27,28 </w:t>
      </w:r>
      <w:r>
        <w:br/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Insulin programs hepatic uptake of free fatty acid and free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cholesterol,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29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which consist of the majority of liver fat. De novo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lipogenesis is also increased by insulin, which leads to an in-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creased conversion of glucose to fatty acids in the liver.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30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Thus, in-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sulin resistance with resultant hyperinsulinemia, combined with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increased circulating concentrations of both glucose and free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7"/>
        <w:gridCol w:w="3287"/>
        <w:gridCol w:w="3287"/>
      </w:tblGrid>
      <w:tr>
        <w:trPr>
          <w:trHeight w:hRule="exact" w:val="180"/>
        </w:trPr>
        <w:tc>
          <w:tcPr>
            <w:tcW w:type="dxa" w:w="5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38" w:after="0"/>
              <w:ind w:left="0" w:right="0" w:firstLine="0"/>
              <w:jc w:val="center"/>
            </w:pPr>
            <w:r>
              <w:rPr>
                <w:rFonts w:ascii="AdvTT47a11158.B" w:hAnsi="AdvTT47a11158.B" w:eastAsia="AdvTT47a11158.B"/>
                <w:b w:val="0"/>
                <w:i w:val="0"/>
                <w:color w:val="231F20"/>
                <w:sz w:val="15"/>
              </w:rPr>
              <w:t>Table 2</w:t>
            </w:r>
          </w:p>
        </w:tc>
        <w:tc>
          <w:tcPr>
            <w:tcW w:type="dxa" w:w="3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36" w:after="0"/>
              <w:ind w:left="94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Risk factors for NAFLD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472" w:right="0" w:firstLine="0"/>
              <w:jc w:val="left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fatty acid, contributes to an excessive accumulation of neutral</w:t>
            </w:r>
          </w:p>
        </w:tc>
      </w:tr>
      <w:tr>
        <w:trPr>
          <w:trHeight w:hRule="exact" w:val="200"/>
        </w:trPr>
        <w:tc>
          <w:tcPr>
            <w:tcW w:type="dxa" w:w="3287"/>
            <w:vMerge/>
            <w:tcBorders/>
          </w:tcPr>
          <w:p/>
        </w:tc>
        <w:tc>
          <w:tcPr>
            <w:tcW w:type="dxa" w:w="3287"/>
            <w:vMerge/>
            <w:tcBorders/>
          </w:tcPr>
          <w:p/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472" w:right="0" w:firstLine="0"/>
              <w:jc w:val="left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lipids in the liver.</w:t>
            </w:r>
            <w:r>
              <w:rPr>
                <w:w w:val="97.89984042827899"/>
                <w:rFonts w:ascii="AdvTT6120e2aa" w:hAnsi="AdvTT6120e2aa" w:eastAsia="AdvTT6120e2aa"/>
                <w:b w:val="0"/>
                <w:i w:val="0"/>
                <w:color w:val="231F20"/>
                <w:sz w:val="13"/>
              </w:rPr>
              <w:t>31</w:t>
            </w:r>
            <w:r>
              <w:rPr>
                <w:w w:val="97.89984042827899"/>
                <w:rFonts w:ascii="20" w:hAnsi="20" w:eastAsia="20"/>
                <w:b w:val="0"/>
                <w:i w:val="0"/>
                <w:color w:val="231F20"/>
                <w:sz w:val="13"/>
              </w:rPr>
              <w:t>–</w:t>
            </w:r>
            <w:r>
              <w:rPr>
                <w:w w:val="97.89984042827899"/>
                <w:rFonts w:ascii="AdvTT6120e2aa" w:hAnsi="AdvTT6120e2aa" w:eastAsia="AdvTT6120e2aa"/>
                <w:b w:val="0"/>
                <w:i w:val="0"/>
                <w:color w:val="231F20"/>
                <w:sz w:val="13"/>
              </w:rPr>
              <w:t>33</w:t>
            </w:r>
          </w:p>
        </w:tc>
      </w:tr>
    </w:tbl>
    <w:p>
      <w:pPr>
        <w:autoSpaceDN w:val="0"/>
        <w:autoSpaceDE w:val="0"/>
        <w:widowControl/>
        <w:spacing w:line="14" w:lineRule="exact" w:before="0" w:after="94"/>
        <w:ind w:left="0" w:right="0"/>
      </w:pP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tabs>
          <w:tab w:pos="160" w:val="left"/>
          <w:tab w:pos="320" w:val="left"/>
        </w:tabs>
        <w:autoSpaceDE w:val="0"/>
        <w:widowControl/>
        <w:spacing w:line="210" w:lineRule="exact" w:before="38" w:after="0"/>
        <w:ind w:left="0" w:right="144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1. NAFLD </w:t>
      </w:r>
      <w:r>
        <w:br/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Overnutrition (invariable) </w:t>
      </w:r>
      <w:r>
        <w:br/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Insulin resistance (invariable with NASH) </w:t>
      </w:r>
      <w:r>
        <w:br/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Gut microbiota (mainly experimental data) </w:t>
      </w:r>
      <w:r>
        <w:br/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Genetic variations in addition to family history of T2DM, cirrhosis,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and fatty liver disease: </w:t>
      </w:r>
      <w:r>
        <w:br/>
      </w:r>
      <w:r>
        <w:tab/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>PNPLA3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,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TM6SF2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,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LEPR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,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PPAR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,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SREBP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,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MTTP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, positions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308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or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238 of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TNF-</w:t>
      </w:r>
      <w:r>
        <w:rPr>
          <w:rFonts w:ascii="03" w:hAnsi="03" w:eastAsia="03"/>
          <w:b w:val="0"/>
          <w:i w:val="0"/>
          <w:color w:val="231F20"/>
          <w:sz w:val="15"/>
        </w:rPr>
        <w:t>α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,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MnSOD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,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MBOAT7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,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TMC4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, and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FDFT1</w:t>
      </w:r>
      <w:r>
        <w:rPr>
          <w:w w:val="96.41422791914506"/>
          <w:rFonts w:ascii="20" w:hAnsi="20" w:eastAsia="20"/>
          <w:b w:val="0"/>
          <w:i w:val="0"/>
          <w:color w:val="231F20"/>
          <w:sz w:val="11"/>
        </w:rPr>
        <w:t>†</w:t>
      </w:r>
      <w:r>
        <w:br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2. Fatty liver attributable to causes other than alcohol or overnutrition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(</w:t>
      </w:r>
      <w:r>
        <w:rPr>
          <w:rFonts w:ascii="20" w:hAnsi="20" w:eastAsia="20"/>
          <w:b w:val="0"/>
          <w:i w:val="0"/>
          <w:color w:val="231F20"/>
          <w:sz w:val="15"/>
        </w:rPr>
        <w:t>“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secondary NAFLD</w:t>
      </w:r>
      <w:r>
        <w:rPr>
          <w:rFonts w:ascii="20" w:hAnsi="20" w:eastAsia="20"/>
          <w:b w:val="0"/>
          <w:i w:val="0"/>
          <w:color w:val="231F20"/>
          <w:sz w:val="15"/>
        </w:rPr>
        <w:t>”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)</w:t>
      </w:r>
      <w:r>
        <w:rPr>
          <w:w w:val="96.41422791914506"/>
          <w:rFonts w:ascii="20" w:hAnsi="20" w:eastAsia="20"/>
          <w:b w:val="0"/>
          <w:i w:val="0"/>
          <w:color w:val="231F20"/>
          <w:sz w:val="11"/>
        </w:rPr>
        <w:t>‡</w:t>
      </w:r>
      <w:r>
        <w:br/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Medications </w:t>
      </w:r>
      <w:r>
        <w:br/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Valproic acid, estrogens, tamoxifen, corticosteroids, tetracycline,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amiodarone, perhexiline maleate, methotrexate, 4,4</w:t>
      </w:r>
      <w:r>
        <w:rPr>
          <w:w w:val="104.99600410461424"/>
          <w:rFonts w:ascii="AdvP4C4E74" w:hAnsi="AdvP4C4E74" w:eastAsia="AdvP4C4E74"/>
          <w:b w:val="0"/>
          <w:i w:val="0"/>
          <w:color w:val="231F20"/>
          <w:sz w:val="10"/>
        </w:rPr>
        <w:t>0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-</w:t>
      </w:r>
      <w:r>
        <w:br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diethylaminoethoxyhexesterol, chloroquine, calcium channel blockers,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and</w:t>
      </w:r>
      <w:r>
        <w:rPr>
          <w:rFonts w:ascii="AdvTT080e16ec" w:hAnsi="AdvTT080e16ec" w:eastAsia="AdvTT080e16ec"/>
          <w:b w:val="0"/>
          <w:i w:val="0"/>
          <w:color w:val="231F20"/>
          <w:sz w:val="12"/>
        </w:rPr>
        <w:t xml:space="preserve"> L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-asparaginase </w:t>
      </w:r>
      <w:r>
        <w:br/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Occupational exposure to hepatoxins </w:t>
      </w:r>
      <w:r>
        <w:br/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Malnutrition (especially kwashiorkor) </w:t>
      </w:r>
      <w:r>
        <w:br/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Total parenteral nutrition, rapid weight loss </w:t>
      </w:r>
      <w:r>
        <w:br/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Surgically altered bowel anatomy: </w:t>
      </w:r>
      <w:r>
        <w:br/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Jejunoileal bypass, jejunocolic bypass, gastroplasty, and extensive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small bowel resection </w:t>
      </w:r>
      <w:r>
        <w:br/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Polycystic ovary syndrome </w:t>
      </w:r>
      <w:r>
        <w:br/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Wilson</w:t>
      </w:r>
      <w:r>
        <w:rPr>
          <w:rFonts w:ascii="20" w:hAnsi="20" w:eastAsia="20"/>
          <w:b w:val="0"/>
          <w:i w:val="0"/>
          <w:color w:val="231F20"/>
          <w:sz w:val="15"/>
        </w:rPr>
        <w:t>’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s disease </w:t>
      </w:r>
      <w:r>
        <w:br/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Weber Christian disease </w:t>
      </w:r>
      <w:r>
        <w:br/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Severe insulin resistance with lipodystrophies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896" w:space="0"/>
            <w:col w:w="496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204" w:right="0" w:firstLine="17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It is widely accepted that obesity/overweight is the most signif-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icant risk factor for incident NAFLD.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34</w:t>
      </w:r>
      <w:r>
        <w:rPr>
          <w:w w:val="97.89984042827899"/>
          <w:rFonts w:ascii="20" w:hAnsi="20" w:eastAsia="20"/>
          <w:b w:val="0"/>
          <w:i w:val="0"/>
          <w:color w:val="231F20"/>
          <w:sz w:val="13"/>
        </w:rPr>
        <w:t>–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38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However, weight gain</w:t>
      </w:r>
    </w:p>
    <w:p>
      <w:pPr>
        <w:autoSpaceDN w:val="0"/>
        <w:autoSpaceDE w:val="0"/>
        <w:widowControl/>
        <w:spacing w:line="220" w:lineRule="exact" w:before="0" w:after="0"/>
        <w:ind w:left="204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that has not yet led to obesity is also an important determinant of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NAFLD incidence.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31,39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Thus, bodyweight gain after 20 years of</w:t>
      </w:r>
    </w:p>
    <w:p>
      <w:pPr>
        <w:autoSpaceDN w:val="0"/>
        <w:autoSpaceDE w:val="0"/>
        <w:widowControl/>
        <w:spacing w:line="180" w:lineRule="exact" w:before="40" w:after="0"/>
        <w:ind w:left="204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age as well as bodyweight gain from baseline to onset are both risk</w:t>
      </w:r>
    </w:p>
    <w:p>
      <w:pPr>
        <w:autoSpaceDN w:val="0"/>
        <w:autoSpaceDE w:val="0"/>
        <w:widowControl/>
        <w:spacing w:line="220" w:lineRule="exact" w:before="0" w:after="0"/>
        <w:ind w:left="204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factors for incident NAFLD, in both obese and non-obese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individuals.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40</w:t>
      </w:r>
    </w:p>
    <w:p>
      <w:pPr>
        <w:autoSpaceDN w:val="0"/>
        <w:autoSpaceDE w:val="0"/>
        <w:widowControl/>
        <w:spacing w:line="184" w:lineRule="exact" w:before="366" w:after="0"/>
        <w:ind w:left="204" w:right="0" w:firstLine="0"/>
        <w:jc w:val="left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Gut microbiota.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Several studies in mice indicate that the gut</w:t>
      </w:r>
    </w:p>
    <w:p>
      <w:pPr>
        <w:autoSpaceDN w:val="0"/>
        <w:autoSpaceDE w:val="0"/>
        <w:widowControl/>
        <w:spacing w:line="188" w:lineRule="exact" w:before="32" w:after="0"/>
        <w:ind w:left="204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microbiome in</w:t>
      </w:r>
      <w:r>
        <w:rPr>
          <w:rFonts w:ascii="20" w:hAnsi="20" w:eastAsia="20"/>
          <w:b w:val="0"/>
          <w:i w:val="0"/>
          <w:color w:val="231F20"/>
          <w:sz w:val="18"/>
        </w:rPr>
        <w:t>fl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uences both sides of the energy balance equation</w:t>
      </w:r>
    </w:p>
    <w:p>
      <w:pPr>
        <w:autoSpaceDN w:val="0"/>
        <w:autoSpaceDE w:val="0"/>
        <w:widowControl/>
        <w:spacing w:line="220" w:lineRule="exact" w:before="0" w:after="0"/>
        <w:ind w:left="204" w:right="22" w:firstLine="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by contributing to nutrient absorption and increasing metabolic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endotoxemia, which increases hepatic steatosis.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41</w:t>
      </w:r>
      <w:r>
        <w:rPr>
          <w:w w:val="97.89984042827899"/>
          <w:rFonts w:ascii="20" w:hAnsi="20" w:eastAsia="20"/>
          <w:b w:val="0"/>
          <w:i w:val="0"/>
          <w:color w:val="231F20"/>
          <w:sz w:val="13"/>
        </w:rPr>
        <w:t>–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43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Small intesti-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nal bacterial overgrowth increases intestinal permeability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23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and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could induce endotoxemia.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44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Although a speci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 gut microbiota</w:t>
      </w:r>
    </w:p>
    <w:p>
      <w:pPr>
        <w:autoSpaceDN w:val="0"/>
        <w:autoSpaceDE w:val="0"/>
        <w:widowControl/>
        <w:spacing w:line="180" w:lineRule="exact" w:before="40" w:after="0"/>
        <w:ind w:left="204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might be involved in incident NAFLD, no consensus has yet been</w:t>
      </w:r>
    </w:p>
    <w:p>
      <w:pPr>
        <w:autoSpaceDN w:val="0"/>
        <w:autoSpaceDE w:val="0"/>
        <w:widowControl/>
        <w:spacing w:line="180" w:lineRule="exact" w:before="40" w:after="0"/>
        <w:ind w:left="204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reached about this.</w:t>
      </w:r>
    </w:p>
    <w:p>
      <w:pPr>
        <w:autoSpaceDN w:val="0"/>
        <w:autoSpaceDE w:val="0"/>
        <w:widowControl/>
        <w:spacing w:line="220" w:lineRule="exact" w:before="330" w:after="0"/>
        <w:ind w:left="204" w:right="0" w:firstLine="0"/>
        <w:jc w:val="left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Genetic variations.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The G allele of</w:t>
      </w:r>
      <w:r>
        <w:rPr>
          <w:rFonts w:ascii="AdvTT50a2f13e.I" w:hAnsi="AdvTT50a2f13e.I" w:eastAsia="AdvTT50a2f13e.I"/>
          <w:b w:val="0"/>
          <w:i w:val="0"/>
          <w:color w:val="231F20"/>
          <w:sz w:val="18"/>
        </w:rPr>
        <w:t xml:space="preserve"> PNPLA3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rs738409 is asso-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ciated with the degree of hepatic steatosis,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45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while the T allele of</w:t>
      </w:r>
    </w:p>
    <w:p>
      <w:pPr>
        <w:autoSpaceDN w:val="0"/>
        <w:autoSpaceDE w:val="0"/>
        <w:widowControl/>
        <w:spacing w:line="220" w:lineRule="exact" w:before="0" w:after="0"/>
        <w:ind w:left="204" w:right="20" w:firstLine="0"/>
        <w:jc w:val="both"/>
      </w:pPr>
      <w:r>
        <w:rPr>
          <w:rFonts w:ascii="AdvTT50a2f13e.I" w:hAnsi="AdvTT50a2f13e.I" w:eastAsia="AdvTT50a2f13e.I"/>
          <w:b w:val="0"/>
          <w:i w:val="0"/>
          <w:color w:val="231F20"/>
          <w:sz w:val="18"/>
        </w:rPr>
        <w:t>PNPLA3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rs6006460 is associated with lower hepatic triglyceride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content.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45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variant of</w:t>
      </w:r>
      <w:r>
        <w:rPr>
          <w:rFonts w:ascii="AdvTT50a2f13e.I" w:hAnsi="AdvTT50a2f13e.I" w:eastAsia="AdvTT50a2f13e.I"/>
          <w:b w:val="0"/>
          <w:i w:val="0"/>
          <w:color w:val="231F20"/>
          <w:sz w:val="18"/>
        </w:rPr>
        <w:t xml:space="preserve"> TM6SF2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is associated with the hepatic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triglyceride content.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46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 relationship between the gene polymor-</w:t>
      </w:r>
    </w:p>
    <w:p>
      <w:pPr>
        <w:autoSpaceDN w:val="0"/>
        <w:autoSpaceDE w:val="0"/>
        <w:widowControl/>
        <w:spacing w:line="220" w:lineRule="exact" w:before="0" w:after="32"/>
        <w:ind w:left="204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phisms of</w:t>
      </w:r>
      <w:r>
        <w:rPr>
          <w:rFonts w:ascii="AdvTT50a2f13e.I" w:hAnsi="AdvTT50a2f13e.I" w:eastAsia="AdvTT50a2f13e.I"/>
          <w:b w:val="0"/>
          <w:i w:val="0"/>
          <w:color w:val="231F20"/>
          <w:sz w:val="18"/>
        </w:rPr>
        <w:t xml:space="preserve"> APOC3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and hepatic triglyceride content has been re-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ported,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47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but so have contrary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ndings; a meta-analysis found no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896" w:space="0"/>
            <w:col w:w="496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44"/>
        <w:gridCol w:w="1644"/>
        <w:gridCol w:w="1644"/>
        <w:gridCol w:w="1644"/>
        <w:gridCol w:w="1644"/>
        <w:gridCol w:w="1644"/>
      </w:tblGrid>
      <w:tr>
        <w:trPr>
          <w:trHeight w:hRule="exact" w:val="174"/>
        </w:trPr>
        <w:tc>
          <w:tcPr>
            <w:tcW w:type="dxa" w:w="1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w w:val="96.41422791914506"/>
                <w:rFonts w:ascii="20" w:hAnsi="20" w:eastAsia="20"/>
                <w:b w:val="0"/>
                <w:i w:val="0"/>
                <w:color w:val="231F20"/>
                <w:sz w:val="11"/>
              </w:rPr>
              <w:t>†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45, 46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56" w:after="0"/>
              <w:ind w:left="0" w:right="0" w:firstLine="0"/>
              <w:jc w:val="center"/>
            </w:pPr>
            <w:r>
              <w:rPr>
                <w:rFonts w:ascii="AdvTT9ce5b9b8.I" w:hAnsi="AdvTT9ce5b9b8.I" w:eastAsia="AdvTT9ce5b9b8.I"/>
                <w:b w:val="0"/>
                <w:i w:val="0"/>
                <w:color w:val="231F20"/>
                <w:sz w:val="15"/>
              </w:rPr>
              <w:t>FDFT1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,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56" w:after="0"/>
              <w:ind w:left="0" w:right="0" w:firstLine="0"/>
              <w:jc w:val="center"/>
            </w:pPr>
            <w:r>
              <w:rPr>
                <w:rFonts w:ascii="AdvTT9ce5b9b8.I" w:hAnsi="AdvTT9ce5b9b8.I" w:eastAsia="AdvTT9ce5b9b8.I"/>
                <w:b w:val="0"/>
                <w:i w:val="0"/>
                <w:color w:val="231F20"/>
                <w:sz w:val="15"/>
              </w:rPr>
              <w:t>farnesyl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56" w:after="0"/>
              <w:ind w:left="0" w:right="0" w:firstLine="0"/>
              <w:jc w:val="center"/>
            </w:pPr>
            <w:r>
              <w:rPr>
                <w:rFonts w:ascii="AdvTT9ce5b9b8.I" w:hAnsi="AdvTT9ce5b9b8.I" w:eastAsia="AdvTT9ce5b9b8.I"/>
                <w:b w:val="0"/>
                <w:i w:val="0"/>
                <w:color w:val="231F20"/>
                <w:sz w:val="15"/>
              </w:rPr>
              <w:t>diphosphate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56" w:after="0"/>
              <w:ind w:left="72" w:right="0" w:firstLine="0"/>
              <w:jc w:val="left"/>
            </w:pPr>
            <w:r>
              <w:rPr>
                <w:rFonts w:ascii="AdvTT9ce5b9b8.I" w:hAnsi="AdvTT9ce5b9b8.I" w:eastAsia="AdvTT9ce5b9b8.I"/>
                <w:b w:val="0"/>
                <w:i w:val="0"/>
                <w:color w:val="231F20"/>
                <w:sz w:val="15"/>
              </w:rPr>
              <w:t>farnesyl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92" w:right="0" w:firstLine="0"/>
              <w:jc w:val="left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signi</w:t>
            </w:r>
            <w:r>
              <w:rPr>
                <w:rFonts w:ascii="20" w:hAnsi="20" w:eastAsia="20"/>
                <w:b w:val="0"/>
                <w:i w:val="0"/>
                <w:color w:val="231F20"/>
                <w:sz w:val="18"/>
              </w:rPr>
              <w:t>fi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cant association between</w:t>
            </w:r>
            <w:r>
              <w:rPr>
                <w:rFonts w:ascii="AdvTT50a2f13e.I" w:hAnsi="AdvTT50a2f13e.I" w:eastAsia="AdvTT50a2f13e.I"/>
                <w:b w:val="0"/>
                <w:i w:val="0"/>
                <w:color w:val="231F20"/>
                <w:sz w:val="18"/>
              </w:rPr>
              <w:t xml:space="preserve"> APOC3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 polymorphisms and risk</w:t>
            </w:r>
          </w:p>
        </w:tc>
      </w:tr>
      <w:tr>
        <w:trPr>
          <w:trHeight w:hRule="exact" w:val="240"/>
        </w:trPr>
        <w:tc>
          <w:tcPr>
            <w:tcW w:type="dxa" w:w="1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left"/>
            </w:pPr>
            <w:r>
              <w:rPr>
                <w:w w:val="96.41422791914506"/>
                <w:rFonts w:ascii="20" w:hAnsi="20" w:eastAsia="20"/>
                <w:b w:val="0"/>
                <w:i w:val="0"/>
                <w:color w:val="231F20"/>
                <w:sz w:val="11"/>
              </w:rPr>
              <w:t>‡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25, 37</w:t>
            </w:r>
          </w:p>
        </w:tc>
        <w:tc>
          <w:tcPr>
            <w:tcW w:type="dxa" w:w="1644"/>
            <w:vMerge/>
            <w:tcBorders/>
          </w:tcPr>
          <w:p/>
        </w:tc>
        <w:tc>
          <w:tcPr>
            <w:tcW w:type="dxa" w:w="1644"/>
            <w:vMerge/>
            <w:tcBorders/>
          </w:tcPr>
          <w:p/>
        </w:tc>
        <w:tc>
          <w:tcPr>
            <w:tcW w:type="dxa" w:w="1644"/>
            <w:vMerge/>
            <w:tcBorders/>
          </w:tcPr>
          <w:p/>
        </w:tc>
        <w:tc>
          <w:tcPr>
            <w:tcW w:type="dxa" w:w="1644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192" w:right="0" w:firstLine="0"/>
              <w:jc w:val="left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of NAFLD.</w:t>
            </w:r>
            <w:r>
              <w:rPr>
                <w:w w:val="97.89984042827899"/>
                <w:rFonts w:ascii="AdvTT6120e2aa" w:hAnsi="AdvTT6120e2aa" w:eastAsia="AdvTT6120e2aa"/>
                <w:b w:val="0"/>
                <w:i w:val="0"/>
                <w:color w:val="231F20"/>
                <w:sz w:val="13"/>
              </w:rPr>
              <w:t>48</w:t>
            </w:r>
          </w:p>
        </w:tc>
      </w:tr>
      <w:tr>
        <w:trPr>
          <w:trHeight w:hRule="exact" w:val="172"/>
        </w:trPr>
        <w:tc>
          <w:tcPr>
            <w:tcW w:type="dxa" w:w="1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0" w:right="0" w:firstLine="0"/>
              <w:jc w:val="center"/>
            </w:pPr>
            <w:r>
              <w:rPr>
                <w:rFonts w:ascii="AdvTT9ce5b9b8.I" w:hAnsi="AdvTT9ce5b9b8.I" w:eastAsia="AdvTT9ce5b9b8.I"/>
                <w:b w:val="0"/>
                <w:i w:val="0"/>
                <w:color w:val="231F20"/>
                <w:sz w:val="15"/>
              </w:rPr>
              <w:t>APOC3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, apolipoprotein C3;</w:t>
            </w:r>
          </w:p>
        </w:tc>
        <w:tc>
          <w:tcPr>
            <w:tcW w:type="dxa" w:w="1644"/>
            <w:vMerge/>
            <w:tcBorders/>
          </w:tcPr>
          <w:p/>
        </w:tc>
        <w:tc>
          <w:tcPr>
            <w:tcW w:type="dxa" w:w="1644"/>
            <w:vMerge/>
            <w:tcBorders/>
          </w:tcPr>
          <w:p/>
        </w:tc>
        <w:tc>
          <w:tcPr>
            <w:tcW w:type="dxa" w:w="1644"/>
            <w:vMerge/>
            <w:tcBorders/>
          </w:tcPr>
          <w:p/>
        </w:tc>
        <w:tc>
          <w:tcPr>
            <w:tcW w:type="dxa" w:w="1644"/>
            <w:vMerge/>
            <w:tcBorders/>
          </w:tcPr>
          <w:p/>
        </w:tc>
        <w:tc>
          <w:tcPr>
            <w:tcW w:type="dxa" w:w="164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60"/>
        <w:ind w:left="0" w:right="0"/>
      </w:pP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0" w:right="180" w:firstLine="0"/>
        <w:jc w:val="both"/>
      </w:pP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>transferase 1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; LEPR, leptin receptor; MBOAT7, the membrane-bound 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>O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-acyltransferase domain-containing 7; MnSOD, manganese superoxide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dismutase; MTTP, microsomal triglyceride transfer protein; NAFLD,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non alcoholic fatty liver disease; NASH, non-alcoholic steatohepatitis;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PCOS, polycystic ovary syndrome;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PNPLA3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, the patatin-like phos-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pholipase domain-containing protein 3; PPAR, peroxisome proliferator-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activated receptors; SREBP, sterol regulatory element-binding proteins; 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>TM6SF2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, transmembrane 6 superfamily member 2; TMC4, transmem-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brane channel-like 4; TNF-</w:t>
      </w:r>
      <w:r>
        <w:rPr>
          <w:rFonts w:ascii="03" w:hAnsi="03" w:eastAsia="03"/>
          <w:b w:val="0"/>
          <w:i w:val="0"/>
          <w:color w:val="231F20"/>
          <w:sz w:val="15"/>
        </w:rPr>
        <w:t>α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, tumor necrosis factor-alpha; T2DM, type 2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32"/>
        <w:ind w:left="180" w:right="22" w:firstLine="0"/>
        <w:jc w:val="both"/>
      </w:pPr>
      <w:r>
        <w:rPr>
          <w:rFonts w:ascii="AdvTT439facf7.BI" w:hAnsi="AdvTT439facf7.BI" w:eastAsia="AdvTT439facf7.BI"/>
          <w:b w:val="0"/>
          <w:i w:val="0"/>
          <w:color w:val="231F20"/>
          <w:sz w:val="18"/>
        </w:rPr>
        <w:t>Natural history.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NAFLD is associated with an increase in the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standardized mortality ratio compared with the general population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because of an increased liver-related</w:t>
      </w:r>
      <w:r>
        <w:rPr>
          <w:rFonts w:ascii="20" w:hAnsi="20" w:eastAsia="20"/>
          <w:b w:val="0"/>
          <w:i w:val="0"/>
          <w:color w:val="231F20"/>
          <w:sz w:val="18"/>
        </w:rPr>
        <w:t>—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and cardiovascular-related</w:t>
      </w:r>
      <w:r>
        <w:rPr>
          <w:rFonts w:ascii="20" w:hAnsi="20" w:eastAsia="20"/>
          <w:b w:val="0"/>
          <w:i w:val="0"/>
          <w:color w:val="231F20"/>
          <w:sz w:val="18"/>
        </w:rPr>
        <w:t>—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mortality rate.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49</w:t>
      </w:r>
      <w:r>
        <w:rPr>
          <w:w w:val="97.89984042827899"/>
          <w:rFonts w:ascii="20" w:hAnsi="20" w:eastAsia="20"/>
          <w:b w:val="0"/>
          <w:i w:val="0"/>
          <w:color w:val="231F20"/>
          <w:sz w:val="13"/>
        </w:rPr>
        <w:t>–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54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 most common causes of death in patients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with NAFLD are cardiovascular disease and malignancy, followed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by liver-related disease. Overall, NAFLD appears to be slowly pro-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gressive with liver-related morbidity and mortality occurring in a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small number of patients. The reported risk factors for the develop-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tabs>
          <w:tab w:pos="5100" w:val="left"/>
        </w:tabs>
        <w:autoSpaceDE w:val="0"/>
        <w:widowControl/>
        <w:spacing w:line="150" w:lineRule="exact" w:before="0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diabetes.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ment of advanced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brosis or cirrhosis are advanced age, diabetes,</w:t>
      </w:r>
    </w:p>
    <w:p>
      <w:pPr>
        <w:autoSpaceDN w:val="0"/>
        <w:tabs>
          <w:tab w:pos="9642" w:val="left"/>
        </w:tabs>
        <w:autoSpaceDE w:val="0"/>
        <w:widowControl/>
        <w:spacing w:line="160" w:lineRule="exact" w:before="406" w:after="0"/>
        <w:ind w:left="0" w:right="0" w:firstLine="0"/>
        <w:jc w:val="left"/>
      </w:pPr>
      <w:r>
        <w:rPr>
          <w:rFonts w:ascii="AdvTT9ce5b9b8.I" w:hAnsi="AdvTT9ce5b9b8.I" w:eastAsia="AdvTT9ce5b9b8.I"/>
          <w:b w:val="0"/>
          <w:i w:val="0"/>
          <w:color w:val="231F20"/>
          <w:sz w:val="13"/>
        </w:rPr>
        <w:t>Journal of Gastroenterology and Hepatology</w:t>
      </w:r>
      <w:r>
        <w:rPr>
          <w:rFonts w:ascii="AdvTT47a11158.B" w:hAnsi="AdvTT47a11158.B" w:eastAsia="AdvTT47a11158.B"/>
          <w:b w:val="0"/>
          <w:i w:val="0"/>
          <w:color w:val="231F20"/>
          <w:sz w:val="13"/>
        </w:rPr>
        <w:t xml:space="preserve"> 33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 xml:space="preserve"> (2018) 70</w:t>
      </w:r>
      <w:r>
        <w:rPr>
          <w:rFonts w:ascii="20" w:hAnsi="20" w:eastAsia="20"/>
          <w:b w:val="0"/>
          <w:i w:val="0"/>
          <w:color w:val="231F20"/>
          <w:sz w:val="13"/>
        </w:rPr>
        <w:t>–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 xml:space="preserve">85 </w:t>
      </w:r>
      <w:r>
        <w:tab/>
      </w:r>
      <w:r>
        <w:rPr>
          <w:rFonts w:ascii="AdvTT47a11158.B" w:hAnsi="AdvTT47a11158.B" w:eastAsia="AdvTT47a11158.B"/>
          <w:b w:val="0"/>
          <w:i w:val="0"/>
          <w:color w:val="231F20"/>
          <w:sz w:val="16"/>
        </w:rPr>
        <w:t>73</w:t>
      </w:r>
    </w:p>
    <w:p>
      <w:pPr>
        <w:autoSpaceDN w:val="0"/>
        <w:autoSpaceDE w:val="0"/>
        <w:widowControl/>
        <w:spacing w:line="130" w:lineRule="exact" w:before="62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3"/>
        </w:rPr>
        <w:t>© 2017 Journal of Gastroenterology and Hepatology Foundation and John Wiley &amp; Sons Australia, Ltd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tabs>
          <w:tab w:pos="8652" w:val="left"/>
        </w:tabs>
        <w:autoSpaceDE w:val="0"/>
        <w:widowControl/>
        <w:spacing w:line="150" w:lineRule="exact" w:before="0" w:after="402"/>
        <w:ind w:left="0" w:right="0" w:firstLine="0"/>
        <w:jc w:val="left"/>
      </w:pPr>
      <w:r>
        <w:rPr>
          <w:rFonts w:ascii="AdvTTc8c83e50" w:hAnsi="AdvTTc8c83e50" w:eastAsia="AdvTTc8c83e50"/>
          <w:b w:val="0"/>
          <w:i w:val="0"/>
          <w:color w:val="231F20"/>
          <w:sz w:val="15"/>
        </w:rPr>
        <w:t xml:space="preserve">Asia-Pacific NAFLD guidelines </w:t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VW-S Wong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et al.</w:t>
      </w:r>
    </w:p>
    <w:p>
      <w:pPr>
        <w:sectPr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144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morbid obesity, and transaminase elevation.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55</w:t>
      </w:r>
      <w:r>
        <w:rPr>
          <w:w w:val="97.89984042827899"/>
          <w:rFonts w:ascii="20" w:hAnsi="20" w:eastAsia="20"/>
          <w:b w:val="0"/>
          <w:i w:val="0"/>
          <w:color w:val="231F20"/>
          <w:sz w:val="13"/>
        </w:rPr>
        <w:t>–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58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Prospective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follow-up studies for the incidence and remission of NAFLD in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tabs>
          <w:tab w:pos="350" w:val="left"/>
        </w:tabs>
        <w:autoSpaceDE w:val="0"/>
        <w:widowControl/>
        <w:spacing w:line="200" w:lineRule="exact" w:before="0" w:after="40"/>
        <w:ind w:left="180" w:right="0" w:firstLine="0"/>
        <w:jc w:val="left"/>
      </w:pP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Recommendation Statements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3.1 NAFLD-related HCC is becoming increasingly prevalent in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tabs>
          <w:tab w:pos="5100" w:val="left"/>
        </w:tabs>
        <w:autoSpaceDE w:val="0"/>
        <w:widowControl/>
        <w:spacing w:line="180" w:lineRule="exact" w:before="0" w:after="32"/>
        <w:ind w:left="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 general population showed that the incidence rate of NAFLD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Asia. (B1)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0" w:right="144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was around 7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20% during a 1- to 7-year follow-up period, and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16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37% of patients with NAFLD had remission during that period.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40"/>
        <w:ind w:left="1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3.2 The risk of HCC with NAFLD is directly related to the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degree of liver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brosis, but HCC can occur in non-cirrhotic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tabs>
          <w:tab w:pos="510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It is well known that weight gain is closely related to NAFLD de-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patients. (C1)</w:t>
      </w:r>
    </w:p>
    <w:p>
      <w:pPr>
        <w:autoSpaceDN w:val="0"/>
        <w:autoSpaceDE w:val="0"/>
        <w:widowControl/>
        <w:spacing w:line="180" w:lineRule="exact" w:before="40" w:after="0"/>
        <w:ind w:left="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velopment, and weight loss is associated with NAFLD remission.</w:t>
      </w:r>
    </w:p>
    <w:p>
      <w:pPr>
        <w:autoSpaceDN w:val="0"/>
        <w:autoSpaceDE w:val="0"/>
        <w:widowControl/>
        <w:spacing w:line="220" w:lineRule="exact" w:before="84" w:after="98"/>
        <w:ind w:left="0" w:right="3622" w:firstLine="0"/>
        <w:jc w:val="right"/>
      </w:pPr>
      <w:r>
        <w:rPr>
          <w:rFonts w:ascii="AdvTTb9655705.B" w:hAnsi="AdvTTb9655705.B" w:eastAsia="AdvTTb9655705.B"/>
          <w:b w:val="0"/>
          <w:i w:val="0"/>
          <w:color w:val="231F20"/>
          <w:sz w:val="22"/>
        </w:rPr>
        <w:t>Diagnosis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0" w:right="180" w:firstLine="0"/>
        <w:jc w:val="both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Histological progression.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It is generally agreed that simple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steatosis is mostly a benign, non-progressive clinical entity, while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NASH can progress to cirrhosis, which in rare cases gives rise to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HCC. However, recent paired-biopsy studies have demonstrated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that simple steatosis has the potential to progress to NASH with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development of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brosis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7,59</w:t>
      </w:r>
      <w:r>
        <w:rPr>
          <w:w w:val="97.89984042827899"/>
          <w:rFonts w:ascii="20" w:hAnsi="20" w:eastAsia="20"/>
          <w:b w:val="0"/>
          <w:i w:val="0"/>
          <w:color w:val="231F20"/>
          <w:sz w:val="13"/>
        </w:rPr>
        <w:t>–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61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and that the presence and sever-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ity of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brosis, regardless of the diagnosis of NASH, dictate the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long-term prognosis.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50,62,63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According to a systemic review and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meta-analysis of paired-biopsy studies, the annual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brosis progres-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sion rate in patients with simple steatosis was 0.07 stages, com-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pared with 0.14 stages in patients with NASH.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61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Fibrosis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progresses rapidly in 20% of patients. A histological risk factor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for such progression is more extensive necroin</w:t>
      </w:r>
      <w:r>
        <w:rPr>
          <w:rFonts w:ascii="20" w:hAnsi="20" w:eastAsia="20"/>
          <w:b w:val="0"/>
          <w:i w:val="0"/>
          <w:color w:val="231F20"/>
          <w:sz w:val="18"/>
        </w:rPr>
        <w:t>fl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ammatory change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on baseline liver biopsy.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64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 characteristic features of NASH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disappear in advanced cirrhosis, a phenomenon referred to as</w:t>
      </w:r>
      <w:r>
        <w:rPr>
          <w:rFonts w:ascii="20" w:hAnsi="20" w:eastAsia="20"/>
          <w:b w:val="0"/>
          <w:i w:val="0"/>
          <w:color w:val="231F20"/>
          <w:sz w:val="18"/>
        </w:rPr>
        <w:t>“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burned-out NASH</w:t>
      </w:r>
      <w:r>
        <w:rPr>
          <w:rFonts w:ascii="20" w:hAnsi="20" w:eastAsia="20"/>
          <w:b w:val="0"/>
          <w:i w:val="0"/>
          <w:color w:val="231F20"/>
          <w:sz w:val="18"/>
        </w:rPr>
        <w:t>”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65,66</w:t>
      </w:r>
    </w:p>
    <w:p>
      <w:pPr>
        <w:autoSpaceDN w:val="0"/>
        <w:autoSpaceDE w:val="0"/>
        <w:widowControl/>
        <w:spacing w:line="220" w:lineRule="exact" w:before="368" w:after="0"/>
        <w:ind w:left="0" w:right="180" w:firstLine="0"/>
        <w:jc w:val="both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Cirrhosis and liver decompensation.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Previous studies have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reported that patients with cirrhotic NASH/NAFLD showed a sim-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ilar survival rate to patients with cirrhosis caused by the hepatitis C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virus, although the rate of development of HCC was lower (5-year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HCC development rate: about 10%, 5-year survival rate: 70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80%).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67</w:t>
      </w:r>
      <w:r>
        <w:rPr>
          <w:w w:val="97.89984042827899"/>
          <w:rFonts w:ascii="20" w:hAnsi="20" w:eastAsia="20"/>
          <w:b w:val="0"/>
          <w:i w:val="0"/>
          <w:color w:val="231F20"/>
          <w:sz w:val="13"/>
        </w:rPr>
        <w:t>–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70</w:t>
      </w:r>
    </w:p>
    <w:p>
      <w:pPr>
        <w:autoSpaceDN w:val="0"/>
        <w:tabs>
          <w:tab w:pos="170" w:val="left"/>
        </w:tabs>
        <w:autoSpaceDE w:val="0"/>
        <w:widowControl/>
        <w:spacing w:line="220" w:lineRule="exact" w:before="368" w:after="0"/>
        <w:ind w:left="0" w:right="144" w:firstLine="0"/>
        <w:jc w:val="left"/>
      </w:pPr>
      <w:r>
        <w:rPr>
          <w:rFonts w:ascii="AdvTT439facf7.BI" w:hAnsi="AdvTT439facf7.BI" w:eastAsia="AdvTT439facf7.BI"/>
          <w:b w:val="0"/>
          <w:i w:val="0"/>
          <w:color w:val="231F20"/>
          <w:sz w:val="18"/>
        </w:rPr>
        <w:t>NASH-related HCC.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Non alcoholic fatty liver disease can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lead to cirrhosis and result in HCC.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67,71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Up to 30% of HCC can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be attributable to cryptogenic cirrhosis; the majority of such cases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are believed to be due to NASH.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72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Cross-sectional studies in Asian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countries such as Malaysia, Japan, and Korea suggest that the con-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tribution of NASH to HCC is lower than in the West and is in the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region of 7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16%.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73</w:t>
      </w:r>
      <w:r>
        <w:rPr>
          <w:w w:val="97.89984042827899"/>
          <w:rFonts w:ascii="20" w:hAnsi="20" w:eastAsia="20"/>
          <w:b w:val="0"/>
          <w:i w:val="0"/>
          <w:color w:val="231F20"/>
          <w:sz w:val="13"/>
        </w:rPr>
        <w:t>–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 xml:space="preserve">75 </w:t>
      </w:r>
      <w:r>
        <w:br/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 incidence of HCC in NAFLD is highest in patients who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have cirrhosis. In Japanese cohorts, the retrospective annual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incidence of developing HCC among 6508 NAFLD patients was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0.043%, but it was 25 times more likely among those with ad-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vanced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brosis. Among cirrhotics, the incidence of HCC was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11.3% in 5 years.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70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In addition, obesity and diabetes mellitus are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independent risk factors for HCC and increase the risk of HCC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with other disorders (e.g. hepatitis B and C) 10-fold.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76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 obesity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and diabetes pandemic has caused a sharp rise in incidence of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NASH-related HCC, which has now become the most rapidly ris-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ing cause for liver transplantation in the US.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77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Data from South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180" w:right="20" w:firstLine="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Non alcoholic fatty liver disease should be suspected as the cause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of liver disease in any patient who is overweight and in whom hep-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atitis B or C, alcoholic liver disease, autoimmune liver diseases,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and inherited metabolic diseases have been excluded. Liver dis-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ease may present with abnormal liver tests (usually minor in-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creases in ALT and gamma-glutamyl transpeptidase); a clear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relationship between these changes and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fl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uctuations in bodyweight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is a clue to diagnosis. Hepatic imaging (usually ultrasonography)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should be used to con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rm steatosis. If negative, other techniques,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such as controlled attenuation parameter (CAP) by TE, may pro-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vide supporting data.</w:t>
      </w:r>
    </w:p>
    <w:p>
      <w:pPr>
        <w:autoSpaceDN w:val="0"/>
        <w:autoSpaceDE w:val="0"/>
        <w:widowControl/>
        <w:spacing w:line="220" w:lineRule="exact" w:before="0" w:after="0"/>
        <w:ind w:left="180" w:right="20" w:firstLine="17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Exclusions require meticulous history taking for lifetime and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current alcohol exposure. A lifestyle history, including trajectory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of bodyweight since young adulthood and recently, waist expan-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sion, eating habits, sedentary occupation, and level of physical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activity, is a prerequisite to considering NAFLD diagnosis. A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personal or family history of T2DM, premature vascular disease,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atherogenic dyslipidemia and high blood pressure (metabolic syn-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drome), fatty liver, and cirrhosis is often informative.</w:t>
      </w:r>
    </w:p>
    <w:p>
      <w:pPr>
        <w:autoSpaceDN w:val="0"/>
        <w:autoSpaceDE w:val="0"/>
        <w:widowControl/>
        <w:spacing w:line="220" w:lineRule="exact" w:before="0" w:after="0"/>
        <w:ind w:left="180" w:right="20" w:firstLine="17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In many cases, diagnosis could be made with positive recogni-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tion of risk factors for NAFLD, exclusion of other disorders, and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documentation of fatty liver by hepatic imaging. If biochemical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changes normalize with lifestyle intervention and weight loss, a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diagnosis of NAFLD is very likely. On the other hand, recommen-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dation for liver biopsy will depend on the level of con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dence that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other conditions have been excluded (such as autoimmune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hepatitis and drug-related liver disease) and whether approaches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to reversing NAFLD other than weight reduction by lifestyle inter-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vention or obesity surgery are being considered, such as entry into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 clinical trial of novel pharmacological agents.</w:t>
      </w:r>
    </w:p>
    <w:p>
      <w:pPr>
        <w:autoSpaceDN w:val="0"/>
        <w:autoSpaceDE w:val="0"/>
        <w:widowControl/>
        <w:spacing w:line="180" w:lineRule="exact" w:before="60" w:after="0"/>
        <w:ind w:left="35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Exclusion criteria:</w:t>
      </w:r>
    </w:p>
    <w:p>
      <w:pPr>
        <w:autoSpaceDN w:val="0"/>
        <w:tabs>
          <w:tab w:pos="690" w:val="left"/>
        </w:tabs>
        <w:autoSpaceDE w:val="0"/>
        <w:widowControl/>
        <w:spacing w:line="222" w:lineRule="exact" w:before="110" w:after="16"/>
        <w:ind w:left="378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1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Signi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cant alcohol intake [</w:t>
      </w:r>
      <w:r>
        <w:rPr>
          <w:rFonts w:ascii="AdvP4C4E51" w:hAnsi="AdvP4C4E51" w:eastAsia="AdvP4C4E51"/>
          <w:b w:val="0"/>
          <w:i w:val="0"/>
          <w:color w:val="231F20"/>
          <w:sz w:val="18"/>
        </w:rPr>
        <w:t>&gt;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7 standard alcoholic drinks per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week (70 g ethanol) in women and</w:t>
      </w:r>
      <w:r>
        <w:rPr>
          <w:rFonts w:ascii="AdvP4C4E51" w:hAnsi="AdvP4C4E51" w:eastAsia="AdvP4C4E51"/>
          <w:b w:val="0"/>
          <w:i w:val="0"/>
          <w:color w:val="231F20"/>
          <w:sz w:val="18"/>
        </w:rPr>
        <w:t xml:space="preserve"> &gt;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14 (140 g) in men];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2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hepatitis B and C by serologic and virologic criteria;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3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drug-induced liver disease, including herbal medicines and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dietary supplements;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.00000000000045" w:type="dxa"/>
      </w:tblPr>
      <w:tblGrid>
        <w:gridCol w:w="1972"/>
        <w:gridCol w:w="1972"/>
        <w:gridCol w:w="1972"/>
        <w:gridCol w:w="1972"/>
        <w:gridCol w:w="1972"/>
      </w:tblGrid>
      <w:tr>
        <w:trPr>
          <w:trHeight w:hRule="exact" w:val="22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4" w:after="0"/>
              <w:ind w:left="0" w:right="104" w:firstLine="0"/>
              <w:jc w:val="right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4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4" w:after="0"/>
              <w:ind w:left="0" w:right="0" w:firstLine="0"/>
              <w:jc w:val="center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autoimmune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4" w:after="0"/>
              <w:ind w:left="0" w:right="0" w:firstLine="0"/>
              <w:jc w:val="center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liver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6" w:after="0"/>
              <w:ind w:left="0" w:right="0" w:firstLine="0"/>
              <w:jc w:val="center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disease</w:t>
            </w:r>
            <w:r>
              <w:rPr>
                <w:rFonts w:ascii="20" w:hAnsi="20" w:eastAsia="20"/>
                <w:b w:val="0"/>
                <w:i w:val="0"/>
                <w:color w:val="231F20"/>
                <w:sz w:val="18"/>
              </w:rPr>
              <w:t>—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including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4" w:after="0"/>
              <w:ind w:left="136" w:right="0" w:firstLine="0"/>
              <w:jc w:val="left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autoimmune</w:t>
            </w:r>
          </w:p>
        </w:tc>
      </w:tr>
    </w:tbl>
    <w:p>
      <w:pPr>
        <w:autoSpaceDN w:val="0"/>
        <w:tabs>
          <w:tab w:pos="690" w:val="left"/>
        </w:tabs>
        <w:autoSpaceDE w:val="0"/>
        <w:widowControl/>
        <w:spacing w:line="216" w:lineRule="exact" w:before="0" w:after="150"/>
        <w:ind w:left="378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hepatitis (three subtypes), celiac disease, primary biliary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cholangitis, and primary sclerosing cholangitis;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5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metabolic liver disorders: Wilson</w:t>
      </w:r>
      <w:r>
        <w:rPr>
          <w:rFonts w:ascii="20" w:hAnsi="20" w:eastAsia="20"/>
          <w:b w:val="0"/>
          <w:i w:val="0"/>
          <w:color w:val="231F20"/>
          <w:sz w:val="18"/>
        </w:rPr>
        <w:t>’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 disease, alpha-1-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antitrypsin de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ciency, hemochromatosis, glycogen storage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disorders, cholesterol storage disorders, and so forth.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7"/>
        <w:gridCol w:w="3287"/>
        <w:gridCol w:w="3287"/>
      </w:tblGrid>
      <w:tr>
        <w:trPr>
          <w:trHeight w:hRule="exact" w:val="336"/>
        </w:trPr>
        <w:tc>
          <w:tcPr>
            <w:tcW w:type="dxa" w:w="49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44" w:firstLine="0"/>
              <w:jc w:val="left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Korea corroborate the same trend where NAFLD HCC has risen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from 3.8% to 12% over the last decade.</w:t>
            </w:r>
            <w:r>
              <w:rPr>
                <w:w w:val="97.89984042827899"/>
                <w:rFonts w:ascii="AdvTT6120e2aa" w:hAnsi="AdvTT6120e2aa" w:eastAsia="AdvTT6120e2aa"/>
                <w:b w:val="0"/>
                <w:i w:val="0"/>
                <w:color w:val="231F20"/>
                <w:sz w:val="13"/>
              </w:rPr>
              <w:t>78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144" w:firstLine="170"/>
              <w:jc w:val="left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There is growing evidence that HCC can occur in patients with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NASH without development of liver cirrhosis.</w:t>
            </w:r>
            <w:r>
              <w:rPr>
                <w:w w:val="97.89984042827899"/>
                <w:rFonts w:ascii="AdvTT6120e2aa" w:hAnsi="AdvTT6120e2aa" w:eastAsia="AdvTT6120e2aa"/>
                <w:b w:val="0"/>
                <w:i w:val="0"/>
                <w:color w:val="231F20"/>
                <w:sz w:val="13"/>
              </w:rPr>
              <w:t>79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Japanese series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252" w:firstLine="0"/>
              <w:jc w:val="both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have reported that 38</w:t>
            </w:r>
            <w:r>
              <w:rPr>
                <w:rFonts w:ascii="20" w:hAnsi="20" w:eastAsia="20"/>
                <w:b w:val="0"/>
                <w:i w:val="0"/>
                <w:color w:val="231F20"/>
                <w:sz w:val="18"/>
              </w:rPr>
              <w:t>–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49% of NASH HCC cases do not show evi-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dence of liver cirrhosis,</w:t>
            </w:r>
            <w:r>
              <w:rPr>
                <w:w w:val="97.89984042827899"/>
                <w:rFonts w:ascii="AdvTT6120e2aa" w:hAnsi="AdvTT6120e2aa" w:eastAsia="AdvTT6120e2aa"/>
                <w:b w:val="0"/>
                <w:i w:val="0"/>
                <w:color w:val="231F20"/>
                <w:sz w:val="13"/>
              </w:rPr>
              <w:t>71,75,80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and the risk of non-cirrhotic HCC ap-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pears to be highest with NAFLD compared with other etiologies.</w:t>
            </w:r>
            <w:r>
              <w:rPr>
                <w:w w:val="97.89984042827899"/>
                <w:rFonts w:ascii="AdvTT6120e2aa" w:hAnsi="AdvTT6120e2aa" w:eastAsia="AdvTT6120e2aa"/>
                <w:b w:val="0"/>
                <w:i w:val="0"/>
                <w:color w:val="231F20"/>
                <w:sz w:val="13"/>
              </w:rPr>
              <w:t>81</w:t>
            </w:r>
          </w:p>
          <w:p>
            <w:pPr>
              <w:autoSpaceDN w:val="0"/>
              <w:autoSpaceDE w:val="0"/>
              <w:widowControl/>
              <w:spacing w:line="160" w:lineRule="exact" w:before="432" w:after="0"/>
              <w:ind w:left="0" w:right="0" w:firstLine="0"/>
              <w:jc w:val="left"/>
            </w:pPr>
            <w:r>
              <w:rPr>
                <w:rFonts w:ascii="AdvTT47a11158.B" w:hAnsi="AdvTT47a11158.B" w:eastAsia="AdvTT47a11158.B"/>
                <w:b w:val="0"/>
                <w:i w:val="0"/>
                <w:color w:val="231F20"/>
                <w:sz w:val="16"/>
              </w:rPr>
              <w:t>74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0" w:after="0"/>
              <w:ind w:left="278" w:right="0" w:firstLine="0"/>
              <w:jc w:val="left"/>
            </w:pPr>
            <w:r>
              <w:rPr>
                <w:u w:val="single" w:color="000000"/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Diagnostic workup:</w:t>
            </w:r>
          </w:p>
        </w:tc>
      </w:tr>
      <w:tr>
        <w:trPr>
          <w:trHeight w:hRule="exact" w:val="280"/>
        </w:trPr>
        <w:tc>
          <w:tcPr>
            <w:tcW w:type="dxa" w:w="3287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2" w:after="0"/>
              <w:ind w:left="0" w:right="104" w:firstLine="0"/>
              <w:jc w:val="right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2" w:after="0"/>
              <w:ind w:left="118" w:right="0" w:firstLine="0"/>
              <w:jc w:val="left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Conventional liver biochemistry (include ALT and AST)</w:t>
            </w:r>
          </w:p>
        </w:tc>
      </w:tr>
      <w:tr>
        <w:trPr>
          <w:trHeight w:hRule="exact" w:val="220"/>
        </w:trPr>
        <w:tc>
          <w:tcPr>
            <w:tcW w:type="dxa" w:w="3287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618" w:right="0" w:firstLine="0"/>
              <w:jc w:val="left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and platelet count</w:t>
            </w:r>
          </w:p>
        </w:tc>
      </w:tr>
      <w:tr>
        <w:trPr>
          <w:trHeight w:hRule="exact" w:val="220"/>
        </w:trPr>
        <w:tc>
          <w:tcPr>
            <w:tcW w:type="dxa" w:w="3287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4" w:after="0"/>
              <w:ind w:left="0" w:right="104" w:firstLine="0"/>
              <w:jc w:val="right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2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4" w:after="0"/>
              <w:ind w:left="118" w:right="0" w:firstLine="0"/>
              <w:jc w:val="left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Hepatic ultrasonography. If no evidence of steatosis, con-</w:t>
            </w:r>
          </w:p>
        </w:tc>
      </w:tr>
      <w:tr>
        <w:trPr>
          <w:trHeight w:hRule="exact" w:val="1066"/>
        </w:trPr>
        <w:tc>
          <w:tcPr>
            <w:tcW w:type="dxa" w:w="3287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618" w:right="0" w:firstLine="0"/>
              <w:jc w:val="left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sider magnetic resonance imaging (MRI) liver (more sensi-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tive and quantitative but expensive).</w:t>
            </w:r>
          </w:p>
          <w:p>
            <w:pPr>
              <w:autoSpaceDN w:val="0"/>
              <w:autoSpaceDE w:val="0"/>
              <w:widowControl/>
              <w:spacing w:line="134" w:lineRule="exact" w:before="462" w:after="0"/>
              <w:ind w:left="0" w:right="0" w:firstLine="0"/>
              <w:jc w:val="right"/>
            </w:pPr>
            <w:r>
              <w:rPr>
                <w:rFonts w:ascii="AdvTT9ce5b9b8.I" w:hAnsi="AdvTT9ce5b9b8.I" w:eastAsia="AdvTT9ce5b9b8.I"/>
                <w:b w:val="0"/>
                <w:i w:val="0"/>
                <w:color w:val="231F20"/>
                <w:sz w:val="13"/>
              </w:rPr>
              <w:t>Journal of Gastroenterology and Hepatology</w:t>
            </w:r>
            <w:r>
              <w:rPr>
                <w:rFonts w:ascii="AdvTT47a11158.B" w:hAnsi="AdvTT47a11158.B" w:eastAsia="AdvTT47a11158.B"/>
                <w:b w:val="0"/>
                <w:i w:val="0"/>
                <w:color w:val="231F20"/>
                <w:sz w:val="13"/>
              </w:rPr>
              <w:t xml:space="preserve"> 33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3"/>
              </w:rPr>
              <w:t xml:space="preserve"> (2018) 70</w:t>
            </w:r>
            <w:r>
              <w:rPr>
                <w:rFonts w:ascii="20" w:hAnsi="20" w:eastAsia="20"/>
                <w:b w:val="0"/>
                <w:i w:val="0"/>
                <w:color w:val="231F20"/>
                <w:sz w:val="13"/>
              </w:rPr>
              <w:t>–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3"/>
              </w:rPr>
              <w:t>85</w:t>
            </w:r>
          </w:p>
        </w:tc>
      </w:tr>
    </w:tbl>
    <w:p>
      <w:pPr>
        <w:autoSpaceDN w:val="0"/>
        <w:autoSpaceDE w:val="0"/>
        <w:widowControl/>
        <w:spacing w:line="130" w:lineRule="exact" w:before="32" w:after="0"/>
        <w:ind w:left="0" w:right="20" w:firstLine="0"/>
        <w:jc w:val="right"/>
      </w:pPr>
      <w:r>
        <w:rPr>
          <w:rFonts w:ascii="AdvTT080e16ec" w:hAnsi="AdvTT080e16ec" w:eastAsia="AdvTT080e16ec"/>
          <w:b w:val="0"/>
          <w:i w:val="0"/>
          <w:color w:val="231F20"/>
          <w:sz w:val="13"/>
        </w:rPr>
        <w:t>© 2017 Journal of Gastroenterology and Hepatology Foundation and John Wiley &amp; Sons Australia, Ltd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tabs>
          <w:tab w:pos="7768" w:val="left"/>
        </w:tabs>
        <w:autoSpaceDE w:val="0"/>
        <w:widowControl/>
        <w:spacing w:line="152" w:lineRule="exact" w:before="0" w:after="442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>VW-S Wong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et al. </w:t>
      </w:r>
      <w:r>
        <w:tab/>
      </w:r>
      <w:r>
        <w:rPr>
          <w:rFonts w:ascii="AdvTTc8c83e50" w:hAnsi="AdvTTc8c83e50" w:eastAsia="AdvTTc8c83e50"/>
          <w:b w:val="0"/>
          <w:i w:val="0"/>
          <w:color w:val="231F20"/>
          <w:sz w:val="15"/>
        </w:rPr>
        <w:t>Asia-Pacific NAFLD guidelines</w:t>
      </w:r>
    </w:p>
    <w:p>
      <w:pPr>
        <w:sectPr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tabs>
          <w:tab w:pos="170" w:val="left"/>
        </w:tabs>
        <w:autoSpaceDE w:val="0"/>
        <w:widowControl/>
        <w:spacing w:line="216" w:lineRule="exact" w:before="0" w:after="0"/>
        <w:ind w:left="0" w:right="144" w:firstLine="0"/>
        <w:jc w:val="left"/>
      </w:pP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(Metabolic tests for risk factors are discussed in the section on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Extrahepatic manifestations of NAFLD.) </w:t>
      </w:r>
      <w:r>
        <w:br/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FibroScan (TE) or other modalities may be used to determine liver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stiffness. Although the cut-offs for NASH</w:t>
      </w:r>
      <w:r>
        <w:rPr>
          <w:rFonts w:ascii="AdvTT50a2f13e.I" w:hAnsi="AdvTT50a2f13e.I" w:eastAsia="AdvTT50a2f13e.I"/>
          <w:b w:val="0"/>
          <w:i w:val="0"/>
          <w:color w:val="231F20"/>
          <w:sz w:val="18"/>
        </w:rPr>
        <w:t xml:space="preserve"> versus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not NASH and for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various stages of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 have not yet been agreed to, TE can be a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basis for con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rming the potential bene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ts of lifestyle intervention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by observed changes, including normalization of liver stiffness. In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addition, CAP measurement is an alternative approach to steatosis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quanti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cation, as discussed in detail in the Assessment section.</w:t>
      </w:r>
    </w:p>
    <w:p>
      <w:pPr>
        <w:autoSpaceDN w:val="0"/>
        <w:autoSpaceDE w:val="0"/>
        <w:widowControl/>
        <w:spacing w:line="220" w:lineRule="exact" w:before="0" w:after="0"/>
        <w:ind w:left="0" w:right="180" w:firstLine="17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In patients with abnormal liver tests and/or liver stiffness mea-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surement, the options are immediate liver biopsy or retesting after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lifestyle changes. This is considered in detail in the section on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Non-invasive tests of liver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brosis.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80" w:right="22" w:firstLine="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hepatic steatosis and may be useful as a screening tool for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NAFLD, where available, as well as for assessing progress (re-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sponse to lifestyle intervention and weight loss).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91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Moreover, liver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stiffness measurement is performed simultaneously, allowing as-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sessment of the severity of liver disease at the same setting.</w:t>
      </w:r>
    </w:p>
    <w:p>
      <w:pPr>
        <w:autoSpaceDN w:val="0"/>
        <w:autoSpaceDE w:val="0"/>
        <w:widowControl/>
        <w:spacing w:line="220" w:lineRule="exact" w:before="0" w:after="0"/>
        <w:ind w:left="180" w:right="22" w:firstLine="17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Despite the earlier discussion, there exist knowledge gaps in the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natural history of NAFLD/NASH, optimal screening tool, long-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term outcomes of treatment, and cost-effectiveness of screening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(Table 3). These preclude a concrete recommendation on screen-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ing for NAFLD/NASH.</w:t>
      </w:r>
    </w:p>
    <w:p>
      <w:pPr>
        <w:autoSpaceDN w:val="0"/>
        <w:autoSpaceDE w:val="0"/>
        <w:widowControl/>
        <w:spacing w:line="180" w:lineRule="exact" w:before="40" w:after="0"/>
        <w:ind w:left="35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Recommendation Statements</w:t>
      </w:r>
    </w:p>
    <w:p>
      <w:pPr>
        <w:autoSpaceDN w:val="0"/>
        <w:autoSpaceDE w:val="0"/>
        <w:widowControl/>
        <w:spacing w:line="220" w:lineRule="exact" w:before="220" w:after="40"/>
        <w:ind w:left="1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5.1 Screening of NAFLD may be considered in at risk groups such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as patients with T2DM and obesity. (B2)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1"/>
        <w:gridCol w:w="4931"/>
      </w:tblGrid>
      <w:tr>
        <w:trPr>
          <w:trHeight w:hRule="exact" w:val="380"/>
        </w:trPr>
        <w:tc>
          <w:tcPr>
            <w:tcW w:type="dxa" w:w="31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left"/>
            </w:pPr>
            <w:r>
              <w:rPr>
                <w:rFonts w:ascii="AdvTTb9655705.B" w:hAnsi="AdvTTb9655705.B" w:eastAsia="AdvTTb9655705.B"/>
                <w:b w:val="0"/>
                <w:i w:val="0"/>
                <w:color w:val="231F20"/>
                <w:sz w:val="22"/>
              </w:rPr>
              <w:t>Screening</w:t>
            </w:r>
          </w:p>
        </w:tc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972" w:right="0" w:firstLine="0"/>
              <w:jc w:val="left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 xml:space="preserve">5.2Ultrasonography is a reasonable screening tool for NAFLD, but 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will not detect many cases of minor steatosis. (B1)</w:t>
            </w:r>
          </w:p>
        </w:tc>
      </w:tr>
    </w:tbl>
    <w:p>
      <w:pPr>
        <w:autoSpaceDN w:val="0"/>
        <w:autoSpaceDE w:val="0"/>
        <w:widowControl/>
        <w:spacing w:line="14" w:lineRule="exact" w:before="0" w:after="40"/>
        <w:ind w:left="0" w:right="0"/>
      </w:pP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180" w:firstLine="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Non alcoholic fatty liver disease is the most common cause of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chronic liver disease and is estimated to affect up to 30% of the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general population.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82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However, only a small proportion of the gen-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eral population has severe liver disease because of NAFLD. In a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population-based study on 922 subjects in Hong Kong, NAFLD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40"/>
        <w:ind w:left="1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5.3 Transient elastography may be used as a screening tool where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available. (B2)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5.4 Patients with NAFLD detected by screening should receive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advice and support for lifestyle interventions to reduce the risk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of onset of T2DM and cardiovascular disease, and to resolve fatty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tabs>
          <w:tab w:pos="5100" w:val="left"/>
        </w:tabs>
        <w:autoSpaceDE w:val="0"/>
        <w:widowControl/>
        <w:spacing w:line="180" w:lineRule="exact" w:before="0" w:after="32"/>
        <w:ind w:left="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(based on proton magnetic resonance spectroscopy) was observed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liver disease. (A1)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180" w:firstLine="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in 27.3%, while advanced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brosis (based on liver stiffness mea-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surement) was found in only 3.7%.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83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Nevertheless, subjects found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to have NAFLD on population screening may bene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 from life-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style interventions, as well as assessment for, and treatment of,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other components of the metabolic syndrome to reduce the risk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of cardiovascular disease. However, the cost-effectiveness of such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an approach is unknown. On the other hand, the prevalence of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NAFLD and severe liver disease is remarkably high among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480"/>
        <w:ind w:left="1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5.5 Patients with NAFLD detected by screening should be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assessed for other components of metabolic syndrome (including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T2DM, atherogenic dyslipidemia, and arterial hypertension) and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be treated accordingly. (A1)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5.6 Patients with NAFLD detected by screening should be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assessed for severity of liver disease. (B1)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31"/>
        <w:gridCol w:w="4931"/>
      </w:tblGrid>
      <w:tr>
        <w:trPr>
          <w:trHeight w:hRule="exact" w:val="380"/>
        </w:trPr>
        <w:tc>
          <w:tcPr>
            <w:tcW w:type="dxa" w:w="49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44" w:firstLine="0"/>
              <w:jc w:val="left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patients with diabetes mellitus and obesity. In a study on 1918 pa-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tients with diabetes mellitus using TE, the proportions of patients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192" w:right="0" w:firstLine="0"/>
              <w:jc w:val="left"/>
            </w:pPr>
            <w:r>
              <w:rPr>
                <w:rFonts w:ascii="AdvTTb9655705.B" w:hAnsi="AdvTTb9655705.B" w:eastAsia="AdvTTb9655705.B"/>
                <w:b w:val="0"/>
                <w:i w:val="0"/>
                <w:color w:val="231F20"/>
                <w:sz w:val="22"/>
              </w:rPr>
              <w:t>Assessment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40"/>
        <w:ind w:left="0" w:right="0"/>
      </w:pP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0" w:right="178" w:firstLine="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with increased CAP (consistent with NAFLD) and liver stiffness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measurement (consistent with advanced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brosis) was 73% and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18%, respectively.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84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In a separate study, the prevalence of NAFLD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(based on proton magnetic resonance spectroscopy) and advanced 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 (based on liver stiffness measurement) was 61% and 19%,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respectively, among obese subjects.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85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In another study on 102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patients with morbid obesity undergoing bariatric surgery,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NAFLD, NASH, and advanced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 were observed in 82%,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78% and 16%, respectively.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86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These groups of patients would ful-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ll most of the classic criteria for screening.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87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While the current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lack of an effective drug treatment is a stumbling block to strongly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recommending community screening (whether all or those with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risk factors), the results of lifestyle intervention with reduction of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10% of bodyweight are now such that it can be reasoned that those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180" w:right="0" w:firstLine="0"/>
        <w:jc w:val="left"/>
      </w:pPr>
      <w:r>
        <w:rPr>
          <w:rFonts w:ascii="AdvTT439facf7.BI" w:hAnsi="AdvTT439facf7.BI" w:eastAsia="AdvTT439facf7.BI"/>
          <w:b w:val="0"/>
          <w:i w:val="0"/>
          <w:color w:val="231F20"/>
          <w:sz w:val="18"/>
        </w:rPr>
        <w:t>Liver histology</w:t>
      </w:r>
    </w:p>
    <w:p>
      <w:pPr>
        <w:autoSpaceDN w:val="0"/>
        <w:autoSpaceDE w:val="0"/>
        <w:widowControl/>
        <w:spacing w:line="220" w:lineRule="exact" w:before="224" w:after="456"/>
        <w:ind w:left="180" w:right="20" w:firstLine="0"/>
        <w:jc w:val="both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Who should undergo liver biopsy?.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Liver biopsy is essential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for the diagnosis of NASH, as opposed to the other liver pheno-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types of NAFLD. However, it is an expensive and invasive proce-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dure with a very low risk of morbidity and mortality. Additionally,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sampling errors and variability in interpretation by pathologists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may occur. Moreover, in clinics with a large number of referred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931"/>
        <w:gridCol w:w="4931"/>
      </w:tblGrid>
      <w:tr>
        <w:trPr>
          <w:trHeight w:hRule="exact" w:val="358"/>
        </w:trPr>
        <w:tc>
          <w:tcPr>
            <w:tcW w:type="dxa" w:w="568"/>
            <w:tcBorders>
              <w:bottom w:sz="6.40000000000054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94" w:after="0"/>
              <w:ind w:left="0" w:right="0" w:firstLine="0"/>
              <w:jc w:val="center"/>
            </w:pPr>
            <w:r>
              <w:rPr>
                <w:rFonts w:ascii="AdvTT47a11158.B" w:hAnsi="AdvTT47a11158.B" w:eastAsia="AdvTT47a11158.B"/>
                <w:b w:val="0"/>
                <w:i w:val="0"/>
                <w:color w:val="231F20"/>
                <w:sz w:val="15"/>
              </w:rPr>
              <w:t>Table 3</w:t>
            </w:r>
          </w:p>
        </w:tc>
        <w:tc>
          <w:tcPr>
            <w:tcW w:type="dxa" w:w="4172"/>
            <w:tcBorders>
              <w:bottom w:sz="6.40000000000054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0" w:after="0"/>
              <w:ind w:left="94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Wilson and Jungner classic screening criteria</w:t>
            </w:r>
            <w:r>
              <w:rPr>
                <w:w w:val="96.41422791914506"/>
                <w:rFonts w:ascii="AdvTT080e16ec" w:hAnsi="AdvTT080e16ec" w:eastAsia="AdvTT080e16ec"/>
                <w:b w:val="0"/>
                <w:i w:val="0"/>
                <w:color w:val="231F20"/>
                <w:sz w:val="11"/>
              </w:rPr>
              <w:t>85</w:t>
            </w:r>
          </w:p>
        </w:tc>
      </w:tr>
    </w:tbl>
    <w:p>
      <w:pPr>
        <w:autoSpaceDN w:val="0"/>
        <w:autoSpaceDE w:val="0"/>
        <w:widowControl/>
        <w:spacing w:line="210" w:lineRule="exact" w:before="30" w:after="58"/>
        <w:ind w:left="18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1. The condition sought should be an important health problem.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2. There should be an accepted treatment for patients with recognized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tabs>
          <w:tab w:pos="5260" w:val="left"/>
        </w:tabs>
        <w:autoSpaceDE w:val="0"/>
        <w:widowControl/>
        <w:spacing w:line="180" w:lineRule="exact" w:before="0" w:after="40"/>
        <w:ind w:left="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affected by NAFLD, with their increased standardized mortality </w:t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disease.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0" w:right="178" w:firstLine="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largely attributable to cardiovascular disease and common cancers,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need to be appraised of the merits and importance of interrupting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health consequences of NAFLD.</w:t>
      </w:r>
    </w:p>
    <w:p>
      <w:pPr>
        <w:autoSpaceDN w:val="0"/>
        <w:autoSpaceDE w:val="0"/>
        <w:widowControl/>
        <w:spacing w:line="220" w:lineRule="exact" w:before="0" w:after="0"/>
        <w:ind w:left="0" w:right="178" w:firstLine="17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Serum aminotransferase levels are not useful for screening for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NAFLD as they may be normal in patients with severe liver dis-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ease due to NAFLD,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88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, and they may be increased in some patients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with only simple steatosis. Ultrasonography is a reasonable screen-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ing tool. Using a scoring system, ultrasonography was found to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have excellent sensitivity (92%) and speci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city (100%) for the di-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agnosis of NAFLD.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89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However, it is operator dependent and may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be less accurate for mild fatty liver.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90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 CAP using FibroScan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has been shown to be excellent for the detection of signi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cant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18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>3. Facilities for diagnosis and treatment should be available.</w:t>
      </w:r>
    </w:p>
    <w:p>
      <w:pPr>
        <w:autoSpaceDN w:val="0"/>
        <w:autoSpaceDE w:val="0"/>
        <w:widowControl/>
        <w:spacing w:line="210" w:lineRule="exact" w:before="0" w:after="0"/>
        <w:ind w:left="180" w:right="144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4. There should be a recognizable latent or early symptomatic stage.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5. There should be a suitable test or examination.</w:t>
      </w:r>
    </w:p>
    <w:p>
      <w:pPr>
        <w:autoSpaceDN w:val="0"/>
        <w:autoSpaceDE w:val="0"/>
        <w:widowControl/>
        <w:spacing w:line="150" w:lineRule="exact" w:before="60" w:after="0"/>
        <w:ind w:left="18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>6. The test should be acceptable to the population.</w:t>
      </w:r>
    </w:p>
    <w:p>
      <w:pPr>
        <w:autoSpaceDN w:val="0"/>
        <w:autoSpaceDE w:val="0"/>
        <w:widowControl/>
        <w:spacing w:line="210" w:lineRule="exact" w:before="0" w:after="0"/>
        <w:ind w:left="18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7. The natural history of the condition, including development from latent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to declared disease, should be adequately understood.</w:t>
      </w:r>
    </w:p>
    <w:p>
      <w:pPr>
        <w:autoSpaceDN w:val="0"/>
        <w:tabs>
          <w:tab w:pos="340" w:val="left"/>
        </w:tabs>
        <w:autoSpaceDE w:val="0"/>
        <w:widowControl/>
        <w:spacing w:line="210" w:lineRule="exact" w:before="0" w:after="0"/>
        <w:ind w:left="18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8. There should be an agreed policy on whom to treat as patients.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9. The cost of case-</w:t>
      </w:r>
      <w:r>
        <w:rPr>
          <w:rFonts w:ascii="fb" w:hAnsi="fb" w:eastAsia="fb"/>
          <w:b w:val="0"/>
          <w:i w:val="0"/>
          <w:color w:val="231F20"/>
          <w:sz w:val="15"/>
        </w:rPr>
        <w:t>fi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nding (including diagnosis and treatment of patients </w:t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diagnosed) should be economically balanced in relation to possible </w:t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expenditure on medical care as a whole.</w:t>
      </w:r>
    </w:p>
    <w:p>
      <w:pPr>
        <w:autoSpaceDN w:val="0"/>
        <w:tabs>
          <w:tab w:pos="440" w:val="left"/>
        </w:tabs>
        <w:autoSpaceDE w:val="0"/>
        <w:widowControl/>
        <w:spacing w:line="210" w:lineRule="exact" w:before="0" w:after="476"/>
        <w:ind w:left="18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>10. Case-</w:t>
      </w:r>
      <w:r>
        <w:rPr>
          <w:rFonts w:ascii="fb" w:hAnsi="fb" w:eastAsia="fb"/>
          <w:b w:val="0"/>
          <w:i w:val="0"/>
          <w:color w:val="231F20"/>
          <w:sz w:val="15"/>
        </w:rPr>
        <w:t>fi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nding should be a continuing process and not a</w:t>
      </w:r>
      <w:r>
        <w:rPr>
          <w:rFonts w:ascii="20" w:hAnsi="20" w:eastAsia="20"/>
          <w:b w:val="0"/>
          <w:i w:val="0"/>
          <w:color w:val="231F20"/>
          <w:sz w:val="15"/>
        </w:rPr>
        <w:t xml:space="preserve"> “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once and for </w:t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all</w:t>
      </w:r>
      <w:r>
        <w:rPr>
          <w:rFonts w:ascii="20" w:hAnsi="20" w:eastAsia="20"/>
          <w:b w:val="0"/>
          <w:i w:val="0"/>
          <w:color w:val="231F20"/>
          <w:sz w:val="15"/>
        </w:rPr>
        <w:t>”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 project.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tabs>
          <w:tab w:pos="9642" w:val="left"/>
        </w:tabs>
        <w:autoSpaceDE w:val="0"/>
        <w:widowControl/>
        <w:spacing w:line="134" w:lineRule="exact" w:before="0" w:after="0"/>
        <w:ind w:left="0" w:right="0" w:firstLine="0"/>
        <w:jc w:val="left"/>
      </w:pPr>
      <w:r>
        <w:rPr>
          <w:rFonts w:ascii="AdvTT9ce5b9b8.I" w:hAnsi="AdvTT9ce5b9b8.I" w:eastAsia="AdvTT9ce5b9b8.I"/>
          <w:b w:val="0"/>
          <w:i w:val="0"/>
          <w:color w:val="231F20"/>
          <w:sz w:val="13"/>
        </w:rPr>
        <w:t>Journal of Gastroenterology and Hepatology</w:t>
      </w:r>
      <w:r>
        <w:rPr>
          <w:rFonts w:ascii="AdvTT47a11158.B" w:hAnsi="AdvTT47a11158.B" w:eastAsia="AdvTT47a11158.B"/>
          <w:b w:val="0"/>
          <w:i w:val="0"/>
          <w:color w:val="231F20"/>
          <w:sz w:val="13"/>
        </w:rPr>
        <w:t xml:space="preserve"> 33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 xml:space="preserve"> (2018) 70</w:t>
      </w:r>
      <w:r>
        <w:rPr>
          <w:rFonts w:ascii="20" w:hAnsi="20" w:eastAsia="20"/>
          <w:b w:val="0"/>
          <w:i w:val="0"/>
          <w:color w:val="231F20"/>
          <w:sz w:val="13"/>
        </w:rPr>
        <w:t>–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 xml:space="preserve">85 </w:t>
      </w:r>
      <w:r>
        <w:tab/>
      </w:r>
      <w:r>
        <w:rPr>
          <w:rFonts w:ascii="AdvTT47a11158.B" w:hAnsi="AdvTT47a11158.B" w:eastAsia="AdvTT47a11158.B"/>
          <w:b w:val="0"/>
          <w:i w:val="0"/>
          <w:color w:val="231F20"/>
          <w:sz w:val="16"/>
        </w:rPr>
        <w:t>75</w:t>
      </w:r>
    </w:p>
    <w:p>
      <w:pPr>
        <w:autoSpaceDN w:val="0"/>
        <w:autoSpaceDE w:val="0"/>
        <w:widowControl/>
        <w:spacing w:line="130" w:lineRule="exact" w:before="62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3"/>
        </w:rPr>
        <w:t>© 2017 Journal of Gastroenterology and Hepatology Foundation and John Wiley &amp; Sons Australia, Ltd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tabs>
          <w:tab w:pos="8652" w:val="left"/>
        </w:tabs>
        <w:autoSpaceDE w:val="0"/>
        <w:widowControl/>
        <w:spacing w:line="150" w:lineRule="exact" w:before="0" w:after="442"/>
        <w:ind w:left="0" w:right="0" w:firstLine="0"/>
        <w:jc w:val="left"/>
      </w:pPr>
      <w:r>
        <w:rPr>
          <w:rFonts w:ascii="AdvTTc8c83e50" w:hAnsi="AdvTTc8c83e50" w:eastAsia="AdvTTc8c83e50"/>
          <w:b w:val="0"/>
          <w:i w:val="0"/>
          <w:color w:val="231F20"/>
          <w:sz w:val="15"/>
        </w:rPr>
        <w:t xml:space="preserve">Asia-Pacific NAFLD guidelines </w:t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VW-S Wong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et al.</w:t>
      </w:r>
    </w:p>
    <w:p>
      <w:pPr>
        <w:sectPr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180" w:firstLine="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patients or in a community setting, a liver biopsy is not logistically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suitable as a general diagnostic procedure. Accordingly, liver bi-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opsies may strongly be advocated for patients with NAFLD who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are suspected to have coexisting chronic liver diseases and/or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when there is a need to distinguish NASH from other chronic liver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diseases, especially autoimmune hepatitis.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92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 development and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application of new imaging modalities and diagnostic scores can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reduce the clinical need for liver biopsy.</w:t>
      </w:r>
    </w:p>
    <w:p>
      <w:pPr>
        <w:autoSpaceDN w:val="0"/>
        <w:autoSpaceDE w:val="0"/>
        <w:widowControl/>
        <w:spacing w:line="220" w:lineRule="exact" w:before="362" w:after="0"/>
        <w:ind w:left="0" w:right="180" w:firstLine="0"/>
        <w:jc w:val="both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What histological features should be examined and re-</w:t>
      </w: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ported?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Non-alcoholic steatohepatitis is de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ned as the presence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of hepatic steatosis, in</w:t>
      </w:r>
      <w:r>
        <w:rPr>
          <w:rFonts w:ascii="20" w:hAnsi="20" w:eastAsia="20"/>
          <w:b w:val="0"/>
          <w:i w:val="0"/>
          <w:color w:val="231F20"/>
          <w:sz w:val="18"/>
        </w:rPr>
        <w:t>fl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ammation, and hepatocyte injury (balloon-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ing degeneration).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93</w:t>
      </w:r>
      <w:r>
        <w:rPr>
          <w:w w:val="97.89984042827899"/>
          <w:rFonts w:ascii="20" w:hAnsi="20" w:eastAsia="20"/>
          <w:b w:val="0"/>
          <w:i w:val="0"/>
          <w:color w:val="231F20"/>
          <w:sz w:val="13"/>
        </w:rPr>
        <w:t>–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99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Simple steatosis encompasses steatosis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alone or steatosis with in</w:t>
      </w:r>
      <w:r>
        <w:rPr>
          <w:rFonts w:ascii="20" w:hAnsi="20" w:eastAsia="20"/>
          <w:b w:val="0"/>
          <w:i w:val="0"/>
          <w:color w:val="231F20"/>
          <w:sz w:val="18"/>
        </w:rPr>
        <w:t>fl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ammation. The histological checklist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is as follows: steatosis, lobular and portal in</w:t>
      </w:r>
      <w:r>
        <w:rPr>
          <w:rFonts w:ascii="20" w:hAnsi="20" w:eastAsia="20"/>
          <w:b w:val="0"/>
          <w:i w:val="0"/>
          <w:color w:val="231F20"/>
          <w:sz w:val="18"/>
        </w:rPr>
        <w:t>fl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ammation, balloon-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180" w:right="20" w:firstLine="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is important to note that steatosis does not include activity, but this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is reported separately in the SAF score; this is because the degree of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steatosis is not a histological marker of ongoing liver damage. Fi-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brosis staging basically relies on the Kleiner classi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cation.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104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On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basis of the distinctive histological pattern, a speci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 histolog-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ical score</w:t>
      </w:r>
      <w:r>
        <w:rPr>
          <w:rFonts w:ascii="20" w:hAnsi="20" w:eastAsia="20"/>
          <w:b w:val="0"/>
          <w:i w:val="0"/>
          <w:color w:val="231F20"/>
          <w:sz w:val="18"/>
        </w:rPr>
        <w:t>—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pediatric NAFLD histological score</w:t>
      </w:r>
      <w:r>
        <w:rPr>
          <w:rFonts w:ascii="20" w:hAnsi="20" w:eastAsia="20"/>
          <w:b w:val="0"/>
          <w:i w:val="0"/>
          <w:color w:val="231F20"/>
          <w:sz w:val="18"/>
        </w:rPr>
        <w:t>—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has been val-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idated for better classi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cation of children with/without NASH.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101</w:t>
      </w:r>
    </w:p>
    <w:p>
      <w:pPr>
        <w:autoSpaceDN w:val="0"/>
        <w:autoSpaceDE w:val="0"/>
        <w:widowControl/>
        <w:spacing w:line="220" w:lineRule="exact" w:before="124" w:after="40"/>
        <w:ind w:left="180" w:right="20" w:firstLine="0"/>
        <w:jc w:val="both"/>
      </w:pPr>
      <w:r>
        <w:rPr>
          <w:rFonts w:ascii="AdvTT439facf7.BI" w:hAnsi="AdvTT439facf7.BI" w:eastAsia="AdvTT439facf7.BI"/>
          <w:b w:val="0"/>
          <w:i w:val="0"/>
          <w:color w:val="231F20"/>
          <w:sz w:val="18"/>
        </w:rPr>
        <w:t xml:space="preserve">Non-invasive tests of hepatic steatosis (Table 4) </w:t>
      </w: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Prediction models.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Several prediction models composed of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common clinical and laboratory parameters have been used in clin-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ical studies. While none of these allow precise estimation of liver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fat content, they collectively point to simple biochemical indices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for clinicians to consider the presence of NAFLD. In fact, the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extent of steatosis (or its biochemical equivalent of total liver fat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content) may not be relevant to the outcome of NAFLD or its sub-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43"/>
        <w:gridCol w:w="1643"/>
        <w:gridCol w:w="1643"/>
        <w:gridCol w:w="1643"/>
        <w:gridCol w:w="1643"/>
        <w:gridCol w:w="1643"/>
      </w:tblGrid>
      <w:tr>
        <w:trPr>
          <w:trHeight w:hRule="exact" w:val="176"/>
        </w:trPr>
        <w:tc>
          <w:tcPr>
            <w:tcW w:type="dxa" w:w="2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0" w:firstLine="0"/>
              <w:jc w:val="center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ing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0" w:firstLine="0"/>
              <w:jc w:val="center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degeneration,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" w:after="0"/>
              <w:ind w:left="0" w:right="0" w:firstLine="0"/>
              <w:jc w:val="center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Mallory</w:t>
            </w:r>
            <w:r>
              <w:rPr>
                <w:rFonts w:ascii="20" w:hAnsi="20" w:eastAsia="20"/>
                <w:b w:val="0"/>
                <w:i w:val="0"/>
                <w:color w:val="231F20"/>
                <w:sz w:val="18"/>
              </w:rPr>
              <w:t>–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Denk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0" w:firstLine="0"/>
              <w:jc w:val="center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bodies,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86" w:right="0" w:firstLine="0"/>
              <w:jc w:val="left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megamitochondria,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88" w:right="0" w:firstLine="0"/>
              <w:jc w:val="left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8"/>
              </w:rPr>
              <w:t>type of NASH (see sections on Natural history and Liver histology).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40"/>
        <w:ind w:left="0" w:right="0"/>
      </w:pP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180" w:firstLine="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lipogranulomas, iron granules, glycogenated nuclei, acidophilic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bodies, veno-occlusive lesions, pericellular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brosis, and degree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of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brosis. Degree of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brosis and portal in</w:t>
      </w:r>
      <w:r>
        <w:rPr>
          <w:rFonts w:ascii="20" w:hAnsi="20" w:eastAsia="20"/>
          <w:b w:val="0"/>
          <w:i w:val="0"/>
          <w:color w:val="231F20"/>
          <w:sz w:val="18"/>
        </w:rPr>
        <w:t>fl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ammation have been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reported to be very important features for prognosis but not neces-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sary for the diagnosis for NASH.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50,63,100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In children, steatosis and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portal-based chronic in</w:t>
      </w:r>
      <w:r>
        <w:rPr>
          <w:rFonts w:ascii="20" w:hAnsi="20" w:eastAsia="20"/>
          <w:b w:val="0"/>
          <w:i w:val="0"/>
          <w:color w:val="231F20"/>
          <w:sz w:val="18"/>
        </w:rPr>
        <w:t>fl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ammation are more prominent than in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adults, and hepatocellular ballooning and Mallory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Denk bodies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are not conspicuous.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101</w:t>
      </w:r>
      <w:r>
        <w:rPr>
          <w:w w:val="97.89984042827899"/>
          <w:rFonts w:ascii="20" w:hAnsi="20" w:eastAsia="20"/>
          <w:b w:val="0"/>
          <w:i w:val="0"/>
          <w:color w:val="231F20"/>
          <w:sz w:val="13"/>
        </w:rPr>
        <w:t>–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103</w:t>
      </w:r>
    </w:p>
    <w:p>
      <w:pPr>
        <w:autoSpaceDN w:val="0"/>
        <w:autoSpaceDE w:val="0"/>
        <w:widowControl/>
        <w:spacing w:line="222" w:lineRule="exact" w:before="362" w:after="0"/>
        <w:ind w:left="0" w:right="180" w:firstLine="0"/>
        <w:jc w:val="both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 xml:space="preserve">What kind of histological staining should be performed?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minimum staining includes HE, picrosirius red or Mallory</w:t>
      </w:r>
      <w:r>
        <w:rPr>
          <w:rFonts w:ascii="20" w:hAnsi="20" w:eastAsia="20"/>
          <w:b w:val="0"/>
          <w:i w:val="0"/>
          <w:color w:val="231F20"/>
          <w:sz w:val="18"/>
        </w:rPr>
        <w:t>’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stain for the detection of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brosis, and Perls staining for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hemosiderosis.</w:t>
      </w:r>
    </w:p>
    <w:p>
      <w:pPr>
        <w:autoSpaceDN w:val="0"/>
        <w:autoSpaceDE w:val="0"/>
        <w:widowControl/>
        <w:spacing w:line="220" w:lineRule="exact" w:before="366" w:after="0"/>
        <w:ind w:left="0" w:right="180" w:firstLine="0"/>
        <w:jc w:val="both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Which scoring system, if any, should be used?.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In 2005,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NASH Clinical Research Network Pathology Committee de-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veloped and validated the NAFLD activity score (NAS) as a semi-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quantitative instrument to judge treatment responses and disease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progression in clinical studies.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104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NAS was not developed to diag-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nose NASH; it was developed as a potential end-point for clinical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trials, but even in this respect has now been replaced by the US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Food and Drug Administration (FDA) and AASLD recommended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end-point of NASH reversal without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 worsening. The NAS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system is the unweighted sum of the scores for steatosis (0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3), lob-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ular in</w:t>
      </w:r>
      <w:r>
        <w:rPr>
          <w:rFonts w:ascii="20" w:hAnsi="20" w:eastAsia="20"/>
          <w:b w:val="0"/>
          <w:i w:val="0"/>
          <w:color w:val="231F20"/>
          <w:sz w:val="18"/>
        </w:rPr>
        <w:t>fl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ammation (0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3), and ballooning degeneration (0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2). A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score of greater than or equal to 5 correlates with a diagnosis of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NASH; scores less than 3 correlate with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“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non-NASH</w:t>
      </w:r>
      <w:r>
        <w:rPr>
          <w:rFonts w:ascii="20" w:hAnsi="20" w:eastAsia="20"/>
          <w:b w:val="0"/>
          <w:i w:val="0"/>
          <w:color w:val="231F20"/>
          <w:sz w:val="18"/>
        </w:rPr>
        <w:t>”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; and scores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of 3 or 4 are regarded as borderline. With regard to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brosis, stage 1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refers to perisinusoidal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 in the perivenular area (delicate </w:t>
      </w:r>
      <w:r>
        <w:rPr>
          <w:rFonts w:ascii="AdvP4C4E51" w:hAnsi="AdvP4C4E51" w:eastAsia="AdvP4C4E51"/>
          <w:b w:val="0"/>
          <w:i w:val="0"/>
          <w:color w:val="231F20"/>
          <w:sz w:val="18"/>
        </w:rPr>
        <w:t>&lt;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1A</w:t>
      </w:r>
      <w:r>
        <w:rPr>
          <w:rFonts w:ascii="AdvP4C4E51" w:hAnsi="AdvP4C4E51" w:eastAsia="AdvP4C4E51"/>
          <w:b w:val="0"/>
          <w:i w:val="0"/>
          <w:color w:val="231F20"/>
          <w:sz w:val="18"/>
        </w:rPr>
        <w:t>&gt;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or dense</w:t>
      </w:r>
      <w:r>
        <w:rPr>
          <w:rFonts w:ascii="AdvP4C4E51" w:hAnsi="AdvP4C4E51" w:eastAsia="AdvP4C4E51"/>
          <w:b w:val="0"/>
          <w:i w:val="0"/>
          <w:color w:val="231F20"/>
          <w:sz w:val="18"/>
        </w:rPr>
        <w:t xml:space="preserve"> &lt;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1B</w:t>
      </w:r>
      <w:r>
        <w:rPr>
          <w:rFonts w:ascii="AdvP4C4E51" w:hAnsi="AdvP4C4E51" w:eastAsia="AdvP4C4E51"/>
          <w:b w:val="0"/>
          <w:i w:val="0"/>
          <w:color w:val="231F20"/>
          <w:sz w:val="18"/>
        </w:rPr>
        <w:t>&gt;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). Detection of portal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 without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perisinusoidal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brosis is de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ned as 1C. Stage 2 is characterized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by perisinusoidal and portal/periportal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brosis. Stage 3 is de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ned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as bridging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brosis, and stage 4 as cirrhosis.</w:t>
      </w:r>
    </w:p>
    <w:p>
      <w:pPr>
        <w:autoSpaceDN w:val="0"/>
        <w:autoSpaceDE w:val="0"/>
        <w:widowControl/>
        <w:spacing w:line="220" w:lineRule="exact" w:before="0" w:after="0"/>
        <w:ind w:left="0" w:right="180" w:firstLine="17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 recently reported fatty liver inhibition of progression (FLIP)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algorithm and steatosis, activity, and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 (SAF) score increase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observer agreement.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105,106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FLIP algorithm is based on semi-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quantitative evaluation of steatosis, hepatocellular ballooning,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and lobular in</w:t>
      </w:r>
      <w:r>
        <w:rPr>
          <w:rFonts w:ascii="20" w:hAnsi="20" w:eastAsia="20"/>
          <w:b w:val="0"/>
          <w:i w:val="0"/>
          <w:color w:val="231F20"/>
          <w:sz w:val="18"/>
        </w:rPr>
        <w:t>fl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ammation for segregating normal liver, NAFLD,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and NASH. The SAF score consists of the semiquantitative scoring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of steatosis (S), activity (A), and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 (F). The activity score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consists of ballooning degeneration and lobular in</w:t>
      </w:r>
      <w:r>
        <w:rPr>
          <w:rFonts w:ascii="20" w:hAnsi="20" w:eastAsia="20"/>
          <w:b w:val="0"/>
          <w:i w:val="0"/>
          <w:color w:val="231F20"/>
          <w:sz w:val="18"/>
        </w:rPr>
        <w:t>fl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ammation. It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180" w:right="20" w:firstLine="17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Fatty liver index is derived from serum triglyceride and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gamma-glutamyltransferase (GGT) levels, BMI, and waist circum-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ference.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107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NAFLD liver fat score estimates liver fat content (in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percentage) with a formula consisting of metabolic syndrome,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T2DM, fasting serum insulin, aspartate aminotransferase (AST),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and the AST/ALT ratio.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108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SteatoTest is a complex logistic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regression model of 12 parameters:</w:t>
      </w:r>
      <w:r>
        <w:rPr>
          <w:rFonts w:ascii="03" w:hAnsi="03" w:eastAsia="03"/>
          <w:b w:val="0"/>
          <w:i w:val="0"/>
          <w:color w:val="231F20"/>
          <w:sz w:val="18"/>
        </w:rPr>
        <w:t xml:space="preserve"> α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2-macroglobulin (A2M),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apolipoprotein A-I (ApoA1), haptoglobin, total bilirubin, GGT,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cholesterol, triglycerides, glucose, age, gender, and BMI.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109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issue of SteatoTest is that some of the parameters (e.g. A2M and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ApoA1) may not be readily available in local laboratories.</w:t>
      </w:r>
    </w:p>
    <w:p>
      <w:pPr>
        <w:autoSpaceDN w:val="0"/>
        <w:autoSpaceDE w:val="0"/>
        <w:widowControl/>
        <w:spacing w:line="220" w:lineRule="exact" w:before="330" w:after="0"/>
        <w:ind w:left="180" w:right="20" w:firstLine="0"/>
        <w:jc w:val="both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Abdominal ultrasonography.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Abdominal ultrasonography is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most common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rst-line imaging modality for patients with el-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evated liver enzymes or suspected NAFLD.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110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An increase in the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echogenicity of the liver parenchyma appearing brighter than the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cortex of the kidney, intrahepatic vessels blurring, and deep atten-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uation are the typical imaging features of fatty liver.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111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 6-point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score based on these ultrasonographic features was found to corre-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late well with histological steatosis.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89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However, ultrasonography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does not perform well in morbidly obese patients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112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and may miss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diagnosis (because of insensitivity) if steatosis is</w:t>
      </w:r>
      <w:r>
        <w:rPr>
          <w:rFonts w:ascii="22" w:hAnsi="22" w:eastAsia="22"/>
          <w:b w:val="0"/>
          <w:i w:val="0"/>
          <w:color w:val="231F20"/>
          <w:sz w:val="18"/>
        </w:rPr>
        <w:t xml:space="preserve"> ≤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30%.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113</w:t>
      </w:r>
    </w:p>
    <w:p>
      <w:pPr>
        <w:autoSpaceDN w:val="0"/>
        <w:autoSpaceDE w:val="0"/>
        <w:widowControl/>
        <w:spacing w:line="220" w:lineRule="exact" w:before="320" w:after="0"/>
        <w:ind w:left="180" w:right="20" w:firstLine="0"/>
        <w:jc w:val="both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Controlled attenuation parameter by FibroScan.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Controlled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attenuation parameter measures ultrasound attenuation (go and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return path) using signals acquired by the M probe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114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or XL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probe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115,116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of a FibroScan machine. CAP has demonstrated satis-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factory diagnostic performance in detecting steatosis, with area un-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der receiver operating characteristics curves (AUROC) ranging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from 0.80 to 0.97 for steatosis</w:t>
      </w:r>
      <w:r>
        <w:rPr>
          <w:rFonts w:ascii="22" w:hAnsi="22" w:eastAsia="22"/>
          <w:b w:val="0"/>
          <w:i w:val="0"/>
          <w:color w:val="231F20"/>
          <w:sz w:val="18"/>
        </w:rPr>
        <w:t xml:space="preserve"> ≥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11%, 0.81 to 0.95 for steatosis</w:t>
      </w:r>
      <w:r>
        <w:rPr>
          <w:rFonts w:ascii="22" w:hAnsi="22" w:eastAsia="22"/>
          <w:b w:val="0"/>
          <w:i w:val="0"/>
          <w:color w:val="231F20"/>
          <w:sz w:val="18"/>
        </w:rPr>
        <w:t>≥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34%, and 0.66 to 0.93 for steatosis</w:t>
      </w:r>
      <w:r>
        <w:rPr>
          <w:rFonts w:ascii="22" w:hAnsi="22" w:eastAsia="22"/>
          <w:b w:val="0"/>
          <w:i w:val="0"/>
          <w:color w:val="231F20"/>
          <w:sz w:val="18"/>
        </w:rPr>
        <w:t xml:space="preserve"> ≥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67%.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91,117,118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FibroScan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has the advantages of being painless, rapid (usually less than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5 min), and user-friendly. CAP can be measured simultaneously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with liver stiffness (see succeeding sections) and thus may be used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to diagnose NAFLD by con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rming the presence of steatosis and to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assess its severity (albeit the uncertainty remains regarding the</w:t>
      </w:r>
      <w:r>
        <w:rPr>
          <w:rFonts w:ascii="20" w:hAnsi="20" w:eastAsia="20"/>
          <w:b w:val="0"/>
          <w:i w:val="0"/>
          <w:color w:val="231F20"/>
          <w:sz w:val="18"/>
        </w:rPr>
        <w:t>“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cut-offs</w:t>
      </w:r>
      <w:r>
        <w:rPr>
          <w:rFonts w:ascii="20" w:hAnsi="20" w:eastAsia="20"/>
          <w:b w:val="0"/>
          <w:i w:val="0"/>
          <w:color w:val="231F20"/>
          <w:sz w:val="18"/>
        </w:rPr>
        <w:t>”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for NASH</w:t>
      </w:r>
      <w:r>
        <w:rPr>
          <w:rFonts w:ascii="AdvTT50a2f13e.I" w:hAnsi="AdvTT50a2f13e.I" w:eastAsia="AdvTT50a2f13e.I"/>
          <w:b w:val="0"/>
          <w:i w:val="0"/>
          <w:color w:val="231F20"/>
          <w:sz w:val="18"/>
        </w:rPr>
        <w:t xml:space="preserve"> vs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SS, and for advanced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 or cirrhosis </w:t>
      </w:r>
      <w:r>
        <w:rPr>
          <w:rFonts w:ascii="AdvTT50a2f13e.I" w:hAnsi="AdvTT50a2f13e.I" w:eastAsia="AdvTT50a2f13e.I"/>
          <w:b w:val="0"/>
          <w:i w:val="0"/>
          <w:color w:val="231F20"/>
          <w:sz w:val="18"/>
        </w:rPr>
        <w:t>vs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no or other degrees of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brosis; see earlier section).</w:t>
      </w:r>
    </w:p>
    <w:p>
      <w:pPr>
        <w:autoSpaceDN w:val="0"/>
        <w:autoSpaceDE w:val="0"/>
        <w:widowControl/>
        <w:spacing w:line="220" w:lineRule="exact" w:before="320" w:after="432"/>
        <w:ind w:left="180" w:right="0" w:firstLine="0"/>
        <w:jc w:val="left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Magnetic resonance imaging.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Proton magnetic resonance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spectroscopy measures proton signals from the acyl groups of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tabs>
          <w:tab w:pos="6322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AdvTT47a11158.B" w:hAnsi="AdvTT47a11158.B" w:eastAsia="AdvTT47a11158.B"/>
          <w:b w:val="0"/>
          <w:i w:val="0"/>
          <w:color w:val="231F20"/>
          <w:sz w:val="16"/>
        </w:rPr>
        <w:t xml:space="preserve">76 </w:t>
      </w:r>
      <w:r>
        <w:tab/>
      </w:r>
      <w:r>
        <w:rPr>
          <w:rFonts w:ascii="AdvTT9ce5b9b8.I" w:hAnsi="AdvTT9ce5b9b8.I" w:eastAsia="AdvTT9ce5b9b8.I"/>
          <w:b w:val="0"/>
          <w:i w:val="0"/>
          <w:color w:val="231F20"/>
          <w:sz w:val="13"/>
        </w:rPr>
        <w:t>Journal of Gastroenterology and Hepatology</w:t>
      </w:r>
      <w:r>
        <w:rPr>
          <w:rFonts w:ascii="AdvTT47a11158.B" w:hAnsi="AdvTT47a11158.B" w:eastAsia="AdvTT47a11158.B"/>
          <w:b w:val="0"/>
          <w:i w:val="0"/>
          <w:color w:val="231F20"/>
          <w:sz w:val="13"/>
        </w:rPr>
        <w:t xml:space="preserve"> 33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 xml:space="preserve"> (2018) 70</w:t>
      </w:r>
      <w:r>
        <w:rPr>
          <w:rFonts w:ascii="20" w:hAnsi="20" w:eastAsia="20"/>
          <w:b w:val="0"/>
          <w:i w:val="0"/>
          <w:color w:val="231F20"/>
          <w:sz w:val="13"/>
        </w:rPr>
        <w:t>–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>85</w:t>
      </w:r>
    </w:p>
    <w:p>
      <w:pPr>
        <w:autoSpaceDN w:val="0"/>
        <w:autoSpaceDE w:val="0"/>
        <w:widowControl/>
        <w:spacing w:line="130" w:lineRule="exact" w:before="62" w:after="0"/>
        <w:ind w:left="0" w:right="20" w:firstLine="0"/>
        <w:jc w:val="right"/>
      </w:pPr>
      <w:r>
        <w:rPr>
          <w:rFonts w:ascii="AdvTT080e16ec" w:hAnsi="AdvTT080e16ec" w:eastAsia="AdvTT080e16ec"/>
          <w:b w:val="0"/>
          <w:i w:val="0"/>
          <w:color w:val="231F20"/>
          <w:sz w:val="13"/>
        </w:rPr>
        <w:t>© 2017 Journal of Gastroenterology and Hepatology Foundation and John Wiley &amp; Sons Australia, Ltd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</w:tblGrid>
      <w:tr>
        <w:trPr>
          <w:trHeight w:hRule="exact" w:val="330"/>
        </w:trPr>
        <w:tc>
          <w:tcPr>
            <w:tcW w:type="dxa" w:w="3628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0" w:after="0"/>
              <w:ind w:left="0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VW-S Wong</w:t>
            </w:r>
            <w:r>
              <w:rPr>
                <w:rFonts w:ascii="AdvTT9ce5b9b8.I" w:hAnsi="AdvTT9ce5b9b8.I" w:eastAsia="AdvTT9ce5b9b8.I"/>
                <w:b w:val="0"/>
                <w:i w:val="0"/>
                <w:color w:val="231F20"/>
                <w:sz w:val="15"/>
              </w:rPr>
              <w:t xml:space="preserve"> et al.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10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71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32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Modest accuracy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10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54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32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parameters involved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0" w:right="6460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High cost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0" w:after="0"/>
              <w:ind w:left="0" w:right="5872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Modest speci</w:t>
            </w:r>
            <w:r>
              <w:rPr>
                <w:rFonts w:ascii="fb" w:hAnsi="fb" w:eastAsia="fb"/>
                <w:b w:val="0"/>
                <w:i w:val="0"/>
                <w:color w:val="231F20"/>
                <w:sz w:val="15"/>
              </w:rPr>
              <w:t>fi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city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10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89%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32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obesity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32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Operator dependent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0" w:right="5102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Cannot detect subtle changes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40" w:after="0"/>
              <w:ind w:left="10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79</w:t>
            </w:r>
            <w:r>
              <w:rPr>
                <w:rFonts w:ascii="20" w:hAnsi="20" w:eastAsia="20"/>
                <w:b w:val="0"/>
                <w:i w:val="0"/>
                <w:color w:val="231F20"/>
                <w:sz w:val="15"/>
              </w:rPr>
              <w:t>–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81%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10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86%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10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78%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0" w:after="0"/>
              <w:ind w:left="3444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Can grade steatosis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62" w:after="0"/>
              <w:ind w:left="454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N.A. N.A.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10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S1: 100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0" w:right="910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S2: 95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32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Long imaging time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06" w:after="0"/>
              <w:ind w:left="66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Hepatic steatosis: S1 =</w:t>
            </w:r>
            <w:r>
              <w:rPr>
                <w:rFonts w:ascii="22" w:hAnsi="22" w:eastAsia="22"/>
                <w:b w:val="0"/>
                <w:i w:val="0"/>
                <w:color w:val="231F20"/>
                <w:sz w:val="15"/>
              </w:rPr>
              <w:t xml:space="preserve"> ≥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11%; S2 =</w:t>
            </w:r>
            <w:r>
              <w:rPr>
                <w:rFonts w:ascii="22" w:hAnsi="22" w:eastAsia="22"/>
                <w:b w:val="0"/>
                <w:i w:val="0"/>
                <w:color w:val="231F20"/>
                <w:sz w:val="15"/>
              </w:rPr>
              <w:t xml:space="preserve"> ≥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34%; S3 =</w:t>
            </w:r>
            <w:r>
              <w:rPr>
                <w:rFonts w:ascii="22" w:hAnsi="22" w:eastAsia="22"/>
                <w:b w:val="0"/>
                <w:i w:val="0"/>
                <w:color w:val="231F20"/>
                <w:sz w:val="15"/>
              </w:rPr>
              <w:t xml:space="preserve"> ≥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67%.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" w:after="0"/>
              <w:ind w:left="0" w:right="0" w:firstLine="0"/>
              <w:jc w:val="center"/>
            </w:pPr>
            <w:r>
              <w:rPr>
                <w:rFonts w:ascii="AdvTTc8c83e50" w:hAnsi="AdvTTc8c83e50" w:eastAsia="AdvTTc8c83e50"/>
                <w:b w:val="0"/>
                <w:i w:val="0"/>
                <w:color w:val="231F20"/>
                <w:sz w:val="15"/>
              </w:rPr>
              <w:t>Asia-Pacific NAFLD guidelines</w:t>
            </w:r>
          </w:p>
        </w:tc>
      </w:tr>
      <w:tr>
        <w:trPr>
          <w:trHeight w:hRule="exact" w:val="180"/>
        </w:trPr>
        <w:tc>
          <w:tcPr>
            <w:tcW w:type="dxa" w:w="2464"/>
            <w:gridSpan w:val="7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2" w:after="0"/>
              <w:ind w:left="0" w:right="0" w:firstLine="0"/>
              <w:jc w:val="center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AUROC, area under receiver operating characteristics curve; H</w:t>
            </w:r>
            <w:r>
              <w:rPr>
                <w:w w:val="96.41422791914506"/>
                <w:rFonts w:ascii="AdvTT080e16ec" w:hAnsi="AdvTT080e16ec" w:eastAsia="AdvTT080e16ec"/>
                <w:b w:val="0"/>
                <w:i w:val="0"/>
                <w:color w:val="231F20"/>
                <w:sz w:val="11"/>
              </w:rPr>
              <w:t>1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-MRS, proton magnetic resonance spectroscopy; MRI-PDFF, magnetic resonance imaging-estimated proton density fat fraction; N.A.,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8" w:after="0"/>
              <w:ind w:left="220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not available.</w:t>
            </w:r>
          </w:p>
        </w:tc>
      </w:tr>
      <w:tr>
        <w:trPr>
          <w:trHeight w:hRule="exact" w:val="864"/>
        </w:trPr>
        <w:tc>
          <w:tcPr>
            <w:tcW w:type="dxa" w:w="2668"/>
            <w:gridSpan w:val="3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2500" w:after="0"/>
              <w:ind w:left="0" w:right="0" w:firstLine="0"/>
              <w:jc w:val="center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Speci</w:t>
            </w:r>
            <w:r>
              <w:rPr>
                <w:rFonts w:ascii="fb" w:hAnsi="fb" w:eastAsia="fb"/>
                <w:b w:val="0"/>
                <w:i w:val="0"/>
                <w:color w:val="231F20"/>
                <w:sz w:val="15"/>
              </w:rPr>
              <w:t>fi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city</w:t>
            </w:r>
          </w:p>
        </w:tc>
        <w:tc>
          <w:tcPr>
            <w:tcW w:type="dxa" w:w="286"/>
            <w:tcBorders>
              <w:end w:sz="2.400000000000091" w:val="single" w:color="#221F1F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50" w:lineRule="exact" w:before="44" w:after="0"/>
              <w:ind w:left="0" w:right="0" w:firstLine="0"/>
              <w:jc w:val="center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(%)</w:t>
            </w:r>
          </w:p>
        </w:tc>
        <w:tc>
          <w:tcPr>
            <w:tcW w:type="dxa" w:w="474"/>
            <w:gridSpan w:val="2"/>
            <w:tcBorders>
              <w:start w:sz="2.400000000000091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92" w:after="0"/>
              <w:ind w:left="3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64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3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86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2416"/>
            <w:gridSpan w:val="2"/>
            <w:vMerge w:val="restart"/>
            <w:tcBorders>
              <w:end w:sz="3.2000000000000455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174" w:after="0"/>
              <w:ind w:left="25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Diagnostic performance</w:t>
            </w:r>
          </w:p>
        </w:tc>
        <w:tc>
          <w:tcPr>
            <w:tcW w:type="dxa" w:w="252"/>
            <w:vMerge w:val="restart"/>
            <w:tcBorders>
              <w:start w:sz="3.2000000000000455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82" w:after="0"/>
              <w:ind w:left="0" w:right="0" w:firstLine="0"/>
              <w:jc w:val="center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Sensitivity</w:t>
            </w:r>
          </w:p>
        </w:tc>
        <w:tc>
          <w:tcPr>
            <w:tcW w:type="dxa" w:w="286"/>
            <w:vMerge w:val="restart"/>
            <w:tcBorders>
              <w:end w:sz="2.400000000000091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4" w:after="0"/>
              <w:ind w:left="0" w:right="260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(%)</w:t>
            </w:r>
          </w:p>
        </w:tc>
        <w:tc>
          <w:tcPr>
            <w:tcW w:type="dxa" w:w="474"/>
            <w:gridSpan w:val="2"/>
            <w:vMerge w:val="restart"/>
            <w:tcBorders>
              <w:start w:sz="2.400000000000091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92" w:after="0"/>
              <w:ind w:left="0" w:right="174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87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0" w:right="174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61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668"/>
        </w:trPr>
        <w:tc>
          <w:tcPr>
            <w:tcW w:type="dxa" w:w="704"/>
            <w:gridSpan w:val="2"/>
            <w:vMerge/>
            <w:tcBorders>
              <w:end w:sz="3.2000000000000455" w:val="single" w:color="#221F1F"/>
            </w:tcBorders>
          </w:tcPr>
          <w:p/>
        </w:tc>
        <w:tc>
          <w:tcPr>
            <w:tcW w:type="dxa" w:w="352"/>
            <w:vMerge/>
            <w:tcBorders>
              <w:start w:sz="3.2000000000000455" w:val="single" w:color="#221F1F"/>
            </w:tcBorders>
          </w:tcPr>
          <w:p/>
        </w:tc>
        <w:tc>
          <w:tcPr>
            <w:tcW w:type="dxa" w:w="352"/>
            <w:vMerge/>
            <w:tcBorders>
              <w:end w:sz="2.400000000000091" w:val="single" w:color="#221F1F"/>
            </w:tcBorders>
          </w:tcPr>
          <w:p/>
        </w:tc>
        <w:tc>
          <w:tcPr>
            <w:tcW w:type="dxa" w:w="704"/>
            <w:gridSpan w:val="2"/>
            <w:vMerge/>
            <w:tcBorders>
              <w:start w:sz="2.400000000000091" w:val="single" w:color="#221F1F"/>
            </w:tcBorders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0" w:right="106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86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0" w:right="106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90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0" w:right="106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91%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52" w:lineRule="exact" w:before="40" w:after="0"/>
              <w:ind w:left="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76</w:t>
            </w:r>
            <w:r>
              <w:rPr>
                <w:rFonts w:ascii="20" w:hAnsi="20" w:eastAsia="20"/>
                <w:b w:val="0"/>
                <w:i w:val="0"/>
                <w:color w:val="231F20"/>
                <w:sz w:val="15"/>
              </w:rPr>
              <w:t>–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91%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0" w:right="106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89%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0" w:right="0" w:firstLine="0"/>
              <w:jc w:val="center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100%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0" w:after="0"/>
              <w:ind w:left="0" w:right="0" w:firstLine="0"/>
              <w:jc w:val="center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S1</w:t>
            </w:r>
            <w:r>
              <w:rPr>
                <w:rFonts w:ascii="20" w:hAnsi="20" w:eastAsia="20"/>
                <w:b w:val="0"/>
                <w:i w:val="0"/>
                <w:color w:val="231F20"/>
                <w:sz w:val="15"/>
              </w:rPr>
              <w:t>–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2: 80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704"/>
            <w:gridSpan w:val="2"/>
            <w:vMerge/>
            <w:tcBorders>
              <w:end w:sz="3.2000000000000455" w:val="single" w:color="#221F1F"/>
            </w:tcBorders>
          </w:tcPr>
          <w:p/>
        </w:tc>
        <w:tc>
          <w:tcPr>
            <w:tcW w:type="dxa" w:w="252"/>
            <w:vMerge w:val="restart"/>
            <w:tcBorders>
              <w:start w:sz="3.2000000000000455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82" w:after="0"/>
              <w:ind w:left="0" w:right="0" w:firstLine="0"/>
              <w:jc w:val="center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Cut-off</w:t>
            </w:r>
          </w:p>
        </w:tc>
        <w:tc>
          <w:tcPr>
            <w:tcW w:type="dxa" w:w="352"/>
            <w:vMerge/>
            <w:tcBorders>
              <w:end w:sz="2.400000000000091" w:val="single" w:color="#221F1F"/>
            </w:tcBorders>
          </w:tcPr>
          <w:p/>
        </w:tc>
        <w:tc>
          <w:tcPr>
            <w:tcW w:type="dxa" w:w="474"/>
            <w:gridSpan w:val="2"/>
            <w:vMerge w:val="restart"/>
            <w:tcBorders>
              <w:start w:sz="2.400000000000091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92" w:after="0"/>
              <w:ind w:left="0" w:right="560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30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0" w:right="560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60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0" w:right="270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0.640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0" w:right="354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0.30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0" w:right="378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N.A.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40" w:after="0"/>
              <w:ind w:left="404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S1: 0.80 to 0.91215</w:t>
            </w:r>
            <w:r>
              <w:rPr>
                <w:rFonts w:ascii="20" w:hAnsi="20" w:eastAsia="20"/>
                <w:b w:val="0"/>
                <w:i w:val="0"/>
                <w:color w:val="231F20"/>
                <w:sz w:val="15"/>
              </w:rPr>
              <w:t>–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283 dB/m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0" w:after="0"/>
              <w:ind w:left="254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S2: 0.81 to 0.95252</w:t>
            </w:r>
            <w:r>
              <w:rPr>
                <w:rFonts w:ascii="20" w:hAnsi="20" w:eastAsia="20"/>
                <w:b w:val="0"/>
                <w:i w:val="0"/>
                <w:color w:val="231F20"/>
                <w:sz w:val="15"/>
              </w:rPr>
              <w:t>–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259 dB/m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40" w:after="0"/>
              <w:ind w:left="0" w:right="560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S3: 0.66 to 0.93292</w:t>
            </w:r>
            <w:r>
              <w:rPr>
                <w:rFonts w:ascii="20" w:hAnsi="20" w:eastAsia="20"/>
                <w:b w:val="0"/>
                <w:i w:val="0"/>
                <w:color w:val="231F20"/>
                <w:sz w:val="15"/>
              </w:rPr>
              <w:t>–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296 dB/m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62" w:after="0"/>
              <w:ind w:left="0" w:right="52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55.6 mg/g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32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Need on patients cooperation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962"/>
        </w:trPr>
        <w:tc>
          <w:tcPr>
            <w:tcW w:type="dxa" w:w="704"/>
            <w:gridSpan w:val="2"/>
            <w:vMerge/>
            <w:tcBorders>
              <w:end w:sz="3.2000000000000455" w:val="single" w:color="#221F1F"/>
            </w:tcBorders>
          </w:tcPr>
          <w:p/>
        </w:tc>
        <w:tc>
          <w:tcPr>
            <w:tcW w:type="dxa" w:w="352"/>
            <w:vMerge/>
            <w:tcBorders>
              <w:start w:sz="3.2000000000000455" w:val="single" w:color="#221F1F"/>
            </w:tcBorders>
          </w:tcPr>
          <w:p/>
        </w:tc>
        <w:tc>
          <w:tcPr>
            <w:tcW w:type="dxa" w:w="352"/>
            <w:vMerge/>
            <w:tcBorders>
              <w:end w:sz="2.400000000000091" w:val="single" w:color="#221F1F"/>
            </w:tcBorders>
          </w:tcPr>
          <w:p/>
        </w:tc>
        <w:tc>
          <w:tcPr>
            <w:tcW w:type="dxa" w:w="704"/>
            <w:gridSpan w:val="2"/>
            <w:vMerge/>
            <w:tcBorders>
              <w:start w:sz="2.400000000000091" w:val="single" w:color="#221F1F"/>
            </w:tcBorders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0" w:right="178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N.A.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704"/>
            <w:gridSpan w:val="2"/>
            <w:vMerge/>
            <w:tcBorders>
              <w:end w:sz="3.2000000000000455" w:val="single" w:color="#221F1F"/>
            </w:tcBorders>
          </w:tcPr>
          <w:p/>
        </w:tc>
        <w:tc>
          <w:tcPr>
            <w:tcW w:type="dxa" w:w="352"/>
            <w:vMerge/>
            <w:tcBorders>
              <w:start w:sz="3.2000000000000455" w:val="single" w:color="#221F1F"/>
            </w:tcBorders>
          </w:tcPr>
          <w:p/>
        </w:tc>
        <w:tc>
          <w:tcPr>
            <w:tcW w:type="dxa" w:w="352"/>
            <w:vMerge/>
            <w:tcBorders>
              <w:end w:sz="2.400000000000091" w:val="single" w:color="#221F1F"/>
            </w:tcBorders>
          </w:tcPr>
          <w:p/>
        </w:tc>
        <w:tc>
          <w:tcPr>
            <w:tcW w:type="dxa" w:w="704"/>
            <w:gridSpan w:val="2"/>
            <w:vMerge/>
            <w:tcBorders>
              <w:start w:sz="2.400000000000091" w:val="single" w:color="#221F1F"/>
            </w:tcBorders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40" w:after="0"/>
              <w:ind w:left="0" w:right="518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0.86</w:t>
            </w:r>
            <w:r>
              <w:rPr>
                <w:rFonts w:ascii="20" w:hAnsi="20" w:eastAsia="20"/>
                <w:b w:val="0"/>
                <w:i w:val="0"/>
                <w:color w:val="231F20"/>
                <w:sz w:val="15"/>
              </w:rPr>
              <w:t>–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0.87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40" w:after="0"/>
              <w:ind w:left="382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0.72</w:t>
            </w:r>
            <w:r>
              <w:rPr>
                <w:rFonts w:ascii="20" w:hAnsi="20" w:eastAsia="20"/>
                <w:b w:val="0"/>
                <w:i w:val="0"/>
                <w:color w:val="231F20"/>
                <w:sz w:val="15"/>
              </w:rPr>
              <w:t>–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0.86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704"/>
            <w:gridSpan w:val="2"/>
            <w:vMerge/>
            <w:tcBorders>
              <w:end w:sz="3.2000000000000455" w:val="single" w:color="#221F1F"/>
            </w:tcBorders>
          </w:tcPr>
          <w:p/>
        </w:tc>
        <w:tc>
          <w:tcPr>
            <w:tcW w:type="dxa" w:w="352"/>
            <w:vMerge/>
            <w:tcBorders>
              <w:start w:sz="3.2000000000000455" w:val="single" w:color="#221F1F"/>
            </w:tcBorders>
          </w:tcPr>
          <w:p/>
        </w:tc>
        <w:tc>
          <w:tcPr>
            <w:tcW w:type="dxa" w:w="352"/>
            <w:vMerge/>
            <w:tcBorders>
              <w:end w:sz="2.400000000000091" w:val="single" w:color="#221F1F"/>
            </w:tcBorders>
          </w:tcPr>
          <w:p/>
        </w:tc>
        <w:tc>
          <w:tcPr>
            <w:tcW w:type="dxa" w:w="704"/>
            <w:gridSpan w:val="2"/>
            <w:vMerge/>
            <w:tcBorders>
              <w:start w:sz="2.400000000000091" w:val="single" w:color="#221F1F"/>
            </w:tcBorders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18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N.A.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62" w:after="0"/>
              <w:ind w:left="0" w:right="0" w:firstLine="0"/>
              <w:jc w:val="center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N.A.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0" w:right="664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0.95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1000"/>
        </w:trPr>
        <w:tc>
          <w:tcPr>
            <w:tcW w:type="dxa" w:w="2954"/>
            <w:gridSpan w:val="4"/>
            <w:vMerge w:val="restart"/>
            <w:tcBorders>
              <w:end w:sz="2.400000000000091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502" w:after="0"/>
              <w:ind w:left="0" w:right="258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AUROC</w:t>
            </w:r>
          </w:p>
        </w:tc>
        <w:tc>
          <w:tcPr>
            <w:tcW w:type="dxa" w:w="674"/>
            <w:gridSpan w:val="3"/>
            <w:vMerge w:val="restart"/>
            <w:tcBorders>
              <w:start w:sz="2.400000000000091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92" w:after="0"/>
              <w:ind w:left="0" w:right="0" w:firstLine="0"/>
              <w:jc w:val="center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0.84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408"/>
            <w:gridSpan w:val="4"/>
            <w:vMerge/>
            <w:tcBorders>
              <w:end w:sz="2.400000000000091" w:val="single" w:color="#221F1F"/>
            </w:tcBorders>
          </w:tcPr>
          <w:p/>
        </w:tc>
        <w:tc>
          <w:tcPr>
            <w:tcW w:type="dxa" w:w="1056"/>
            <w:gridSpan w:val="3"/>
            <w:vMerge/>
            <w:tcBorders>
              <w:start w:sz="2.400000000000091" w:val="single" w:color="#221F1F"/>
            </w:tcBorders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32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Sensitivity decreased with morbid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1408"/>
            <w:gridSpan w:val="4"/>
            <w:vMerge/>
            <w:tcBorders>
              <w:end w:sz="2.400000000000091" w:val="single" w:color="#221F1F"/>
            </w:tcBorders>
          </w:tcPr>
          <w:p/>
        </w:tc>
        <w:tc>
          <w:tcPr>
            <w:tcW w:type="dxa" w:w="1056"/>
            <w:gridSpan w:val="3"/>
            <w:vMerge/>
            <w:tcBorders>
              <w:start w:sz="2.400000000000091" w:val="single" w:color="#221F1F"/>
            </w:tcBorders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32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Some uncommon laboratory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954"/>
            <w:gridSpan w:val="4"/>
            <w:vMerge w:val="restart"/>
            <w:tcBorders>
              <w:end w:sz="2.400000000000091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174" w:after="0"/>
              <w:ind w:left="0" w:right="500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Disadvantages</w:t>
            </w:r>
          </w:p>
        </w:tc>
        <w:tc>
          <w:tcPr>
            <w:tcW w:type="dxa" w:w="474"/>
            <w:gridSpan w:val="2"/>
            <w:vMerge w:val="restart"/>
            <w:tcBorders>
              <w:start w:sz="2.400000000000091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92" w:after="0"/>
              <w:ind w:left="32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Complex formula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32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Modest accuracy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0" w:after="0"/>
              <w:ind w:left="32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Sensitive but not as speci</w:t>
            </w:r>
            <w:r>
              <w:rPr>
                <w:rFonts w:ascii="fb" w:hAnsi="fb" w:eastAsia="fb"/>
                <w:b w:val="0"/>
                <w:i w:val="0"/>
                <w:color w:val="231F20"/>
                <w:sz w:val="15"/>
              </w:rPr>
              <w:t>fi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c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81"/>
        </w:trPr>
        <w:tc>
          <w:tcPr>
            <w:tcW w:type="dxa" w:w="1408"/>
            <w:gridSpan w:val="4"/>
            <w:vMerge/>
            <w:tcBorders>
              <w:end w:sz="2.400000000000091" w:val="single" w:color="#221F1F"/>
            </w:tcBorders>
          </w:tcPr>
          <w:p/>
        </w:tc>
        <w:tc>
          <w:tcPr>
            <w:tcW w:type="dxa" w:w="704"/>
            <w:gridSpan w:val="2"/>
            <w:vMerge/>
            <w:tcBorders>
              <w:start w:sz="2.400000000000091" w:val="single" w:color="#221F1F"/>
            </w:tcBorders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32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No consensus in cut-off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265"/>
        </w:trPr>
        <w:tc>
          <w:tcPr>
            <w:tcW w:type="dxa" w:w="1408"/>
            <w:gridSpan w:val="4"/>
            <w:vMerge/>
            <w:tcBorders>
              <w:end w:sz="2.400000000000091" w:val="single" w:color="#221F1F"/>
            </w:tcBorders>
          </w:tcPr>
          <w:p/>
        </w:tc>
        <w:tc>
          <w:tcPr>
            <w:tcW w:type="dxa" w:w="704"/>
            <w:gridSpan w:val="2"/>
            <w:vMerge/>
            <w:tcBorders>
              <w:start w:sz="2.400000000000091" w:val="single" w:color="#221F1F"/>
            </w:tcBorders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32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Complex formula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62" w:after="0"/>
              <w:ind w:left="32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Limited availability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1758"/>
        </w:trPr>
        <w:tc>
          <w:tcPr>
            <w:tcW w:type="dxa" w:w="1408"/>
            <w:gridSpan w:val="4"/>
            <w:vMerge/>
            <w:tcBorders>
              <w:end w:sz="2.400000000000091" w:val="single" w:color="#221F1F"/>
            </w:tcBorders>
          </w:tcPr>
          <w:p/>
        </w:tc>
        <w:tc>
          <w:tcPr>
            <w:tcW w:type="dxa" w:w="704"/>
            <w:gridSpan w:val="2"/>
            <w:vMerge/>
            <w:tcBorders>
              <w:start w:sz="2.400000000000091" w:val="single" w:color="#221F1F"/>
            </w:tcBorders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32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High cost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3560"/>
        </w:trPr>
        <w:tc>
          <w:tcPr>
            <w:tcW w:type="dxa" w:w="2084"/>
            <w:vMerge w:val="restart"/>
            <w:tcBorders>
              <w:end w:sz="6.399999999999864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818" w:after="0"/>
              <w:ind w:left="82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Non-invasive tests of hepatic steatosis</w:t>
            </w:r>
          </w:p>
        </w:tc>
        <w:tc>
          <w:tcPr>
            <w:tcW w:type="dxa" w:w="870"/>
            <w:gridSpan w:val="3"/>
            <w:tcBorders>
              <w:start w:sz="6.399999999999864" w:val="single" w:color="#221F1F"/>
              <w:end w:sz="2.400000000000091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82" w:after="0"/>
              <w:ind w:left="0" w:right="1346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Advantages</w:t>
            </w:r>
          </w:p>
        </w:tc>
        <w:tc>
          <w:tcPr>
            <w:tcW w:type="dxa" w:w="254"/>
            <w:vMerge w:val="restart"/>
            <w:tcBorders>
              <w:start w:sz="2.400000000000091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82" w:after="0"/>
              <w:ind w:left="160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Prediction models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5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Common clinical and laboratory parameters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0" w:right="2306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High applicability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5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Common clinical and laboratory parameters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0" w:right="2306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High applicability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0" w:right="0" w:firstLine="0"/>
              <w:jc w:val="center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High sensitivity and negative predictive value even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0" w:right="1772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with mild steatosis (</w:t>
            </w:r>
            <w:r>
              <w:rPr>
                <w:rFonts w:ascii="AdvP4C4E51" w:hAnsi="AdvP4C4E51" w:eastAsia="AdvP4C4E51"/>
                <w:b w:val="0"/>
                <w:i w:val="0"/>
                <w:color w:val="231F20"/>
                <w:sz w:val="15"/>
              </w:rPr>
              <w:t>&gt;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5%)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5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Inexpensive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0" w:right="2352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Widely available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0" w:right="1282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Can be used as a screening tool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52" w:lineRule="exact" w:before="40" w:after="0"/>
              <w:ind w:left="5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High sensitivity even with mild steatosis (</w:t>
            </w:r>
            <w:r>
              <w:rPr>
                <w:rFonts w:ascii="AdvP4C4E51" w:hAnsi="AdvP4C4E51" w:eastAsia="AdvP4C4E51"/>
                <w:b w:val="0"/>
                <w:i w:val="0"/>
                <w:color w:val="231F20"/>
                <w:sz w:val="15"/>
              </w:rPr>
              <w:t>&gt;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10%)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5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Instant results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0" w:right="2622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Inexpensive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50" w:lineRule="exact" w:before="62" w:after="0"/>
              <w:ind w:left="5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High sensitivity even with mild steatosis (more than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52" w:lineRule="exact" w:before="30" w:after="0"/>
              <w:ind w:left="5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5</w:t>
            </w:r>
            <w:r>
              <w:rPr>
                <w:rFonts w:ascii="20" w:hAnsi="20" w:eastAsia="20"/>
                <w:b w:val="0"/>
                <w:i w:val="0"/>
                <w:color w:val="231F20"/>
                <w:sz w:val="15"/>
              </w:rPr>
              <w:t>–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10%)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0" w:right="798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Can differentiate tissue characterization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0" w:right="1960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 Operator independent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2140"/>
        </w:trPr>
        <w:tc>
          <w:tcPr>
            <w:tcW w:type="dxa" w:w="352"/>
            <w:vMerge/>
            <w:tcBorders>
              <w:end w:sz="6.399999999999864" w:val="single" w:color="#221F1F"/>
            </w:tcBorders>
          </w:tcPr>
          <w:p/>
        </w:tc>
        <w:tc>
          <w:tcPr>
            <w:tcW w:type="dxa" w:w="870"/>
            <w:gridSpan w:val="3"/>
            <w:vMerge w:val="restart"/>
            <w:tcBorders>
              <w:start w:sz="6.399999999999864" w:val="single" w:color="#221F1F"/>
              <w:end w:sz="2.400000000000091" w:val="single" w:color="#221F1F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82" w:after="0"/>
              <w:ind w:left="0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Modalities</w:t>
            </w:r>
          </w:p>
        </w:tc>
        <w:tc>
          <w:tcPr>
            <w:tcW w:type="dxa" w:w="352"/>
            <w:vMerge/>
            <w:tcBorders>
              <w:start w:sz="2.400000000000091" w:val="single" w:color="#221F1F"/>
            </w:tcBorders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0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Fatty liver index(Bedogni)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0" w:right="0" w:firstLine="0"/>
              <w:jc w:val="center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NAFLD liver fat score(Kotronen)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66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SteatoTest(Poynard05)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66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Abdominal ultrasonography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2" w:after="0"/>
              <w:ind w:left="66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Controlled attenuation parameter(Wong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66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WJH13)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6" w:after="0"/>
              <w:ind w:left="66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H</w:t>
            </w:r>
            <w:r>
              <w:rPr>
                <w:w w:val="96.41422791914506"/>
                <w:rFonts w:ascii="AdvTT080e16ec" w:hAnsi="AdvTT080e16ec" w:eastAsia="AdvTT080e16ec"/>
                <w:b w:val="0"/>
                <w:i w:val="0"/>
                <w:color w:val="231F20"/>
                <w:sz w:val="11"/>
              </w:rPr>
              <w:t>1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-MRS(Szczepaniak)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66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MRI-PDFF (Idilman)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2084"/>
            <w:tcBorders>
              <w:end w:sz="6.399999999999864" w:val="single" w:color="#221F1F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50" w:lineRule="exact" w:before="1822" w:after="0"/>
              <w:ind w:left="0" w:right="0" w:firstLine="0"/>
              <w:jc w:val="left"/>
            </w:pPr>
            <w:r>
              <w:rPr>
                <w:rFonts w:ascii="AdvTT47a11158.B" w:hAnsi="AdvTT47a11158.B" w:eastAsia="AdvTT47a11158.B"/>
                <w:b w:val="0"/>
                <w:i w:val="0"/>
                <w:color w:val="231F20"/>
                <w:sz w:val="15"/>
              </w:rPr>
              <w:t>Table 4</w:t>
            </w:r>
          </w:p>
        </w:tc>
        <w:tc>
          <w:tcPr>
            <w:tcW w:type="dxa" w:w="1056"/>
            <w:gridSpan w:val="3"/>
            <w:vMerge/>
            <w:tcBorders>
              <w:start w:sz="6.399999999999864" w:val="single" w:color="#221F1F"/>
              <w:end w:sz="2.400000000000091" w:val="single" w:color="#221F1F"/>
            </w:tcBorders>
          </w:tcPr>
          <w:p/>
        </w:tc>
        <w:tc>
          <w:tcPr>
            <w:tcW w:type="dxa" w:w="352"/>
            <w:vMerge/>
            <w:tcBorders>
              <w:start w:sz="2.400000000000091" w:val="single" w:color="#221F1F"/>
            </w:tcBorders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628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96" w:after="0"/>
              <w:ind w:left="0" w:right="0" w:firstLine="0"/>
              <w:jc w:val="left"/>
            </w:pPr>
            <w:r>
              <w:rPr>
                <w:rFonts w:ascii="AdvTT9ce5b9b8.I" w:hAnsi="AdvTT9ce5b9b8.I" w:eastAsia="AdvTT9ce5b9b8.I"/>
                <w:b w:val="0"/>
                <w:i w:val="0"/>
                <w:color w:val="231F20"/>
                <w:sz w:val="13"/>
              </w:rPr>
              <w:t>Journal of Gastroenterology and Hepatology</w:t>
            </w:r>
            <w:r>
              <w:rPr>
                <w:rFonts w:ascii="AdvTT47a11158.B" w:hAnsi="AdvTT47a11158.B" w:eastAsia="AdvTT47a11158.B"/>
                <w:b w:val="0"/>
                <w:i w:val="0"/>
                <w:color w:val="231F20"/>
                <w:sz w:val="13"/>
              </w:rPr>
              <w:t xml:space="preserve"> 33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3"/>
              </w:rPr>
              <w:t xml:space="preserve"> (2018) 70</w:t>
            </w:r>
            <w:r>
              <w:rPr>
                <w:rFonts w:ascii="20" w:hAnsi="20" w:eastAsia="20"/>
                <w:b w:val="0"/>
                <w:i w:val="0"/>
                <w:color w:val="231F20"/>
                <w:sz w:val="13"/>
              </w:rPr>
              <w:t>–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3"/>
              </w:rPr>
              <w:t>85</w:t>
            </w:r>
          </w:p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</w:tr>
      <w:tr>
        <w:trPr>
          <w:trHeight w:hRule="exact" w:val="446"/>
        </w:trPr>
        <w:tc>
          <w:tcPr>
            <w:tcW w:type="dxa" w:w="2464"/>
            <w:gridSpan w:val="7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352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56" w:after="0"/>
              <w:ind w:left="0" w:right="6" w:firstLine="0"/>
              <w:jc w:val="right"/>
            </w:pPr>
            <w:r>
              <w:rPr>
                <w:rFonts w:ascii="AdvTT47a11158.B" w:hAnsi="AdvTT47a11158.B" w:eastAsia="AdvTT47a11158.B"/>
                <w:b w:val="0"/>
                <w:i w:val="0"/>
                <w:color w:val="231F20"/>
                <w:sz w:val="16"/>
              </w:rPr>
              <w:t>77</w:t>
            </w:r>
          </w:p>
        </w:tc>
      </w:tr>
    </w:tbl>
    <w:p>
      <w:pPr>
        <w:autoSpaceDN w:val="0"/>
        <w:autoSpaceDE w:val="0"/>
        <w:widowControl/>
        <w:spacing w:line="130" w:lineRule="exact" w:before="32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3"/>
        </w:rPr>
        <w:t>© 2017 Journal of Gastroenterology and Hepatology Foundation and John Wiley &amp; Sons Australia, Ltd</w:t>
      </w:r>
    </w:p>
    <w:p>
      <w:pPr>
        <w:sectPr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tabs>
          <w:tab w:pos="8652" w:val="left"/>
        </w:tabs>
        <w:autoSpaceDE w:val="0"/>
        <w:widowControl/>
        <w:spacing w:line="150" w:lineRule="exact" w:before="0" w:after="442"/>
        <w:ind w:left="0" w:right="0" w:firstLine="0"/>
        <w:jc w:val="left"/>
      </w:pPr>
      <w:r>
        <w:rPr>
          <w:rFonts w:ascii="AdvTTc8c83e50" w:hAnsi="AdvTTc8c83e50" w:eastAsia="AdvTTc8c83e50"/>
          <w:b w:val="0"/>
          <w:i w:val="0"/>
          <w:color w:val="231F20"/>
          <w:sz w:val="15"/>
        </w:rPr>
        <w:t xml:space="preserve">Asia-Pacific NAFLD guidelines </w:t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VW-S Wong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et al.</w:t>
      </w:r>
    </w:p>
    <w:p>
      <w:pPr>
        <w:sectPr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tabs>
          <w:tab w:pos="170" w:val="left"/>
        </w:tabs>
        <w:autoSpaceDE w:val="0"/>
        <w:widowControl/>
        <w:spacing w:line="218" w:lineRule="exact" w:before="0" w:after="0"/>
        <w:ind w:left="0" w:right="144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hepatocyte triglyceride stores directly. MRS accurately measures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intrahepatic triglyceride content; the results correlate well with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histological assessments of hepatic steatosis.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119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An intrahepatic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triglyceride content cut-off of 5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5.5% is often used to de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ne fatty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liver with high sensitivity.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 xml:space="preserve">83 </w:t>
      </w:r>
      <w:r>
        <w:br/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Magnetic resonance imaging-estimated proton density fat frac-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tion (MRI-PDFF) is an imaging-based biomarker that allows fat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mapping of the entire liver,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120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whereas MRS-PDFF provides a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biochemical measure of liver fat in small regions of interest.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 xml:space="preserve">119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MRI-PDFF is potentially more suitable to quantify changes in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liver fat in clinical trials as it is more sensitive than the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histology-determined steatosis grade in quantifying changes in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liver fat content.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121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MRI-PDFF has an AUROC of 0.95 for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steatosis</w:t>
      </w:r>
      <w:r>
        <w:rPr>
          <w:rFonts w:ascii="22" w:hAnsi="22" w:eastAsia="22"/>
          <w:b w:val="0"/>
          <w:i w:val="0"/>
          <w:color w:val="231F20"/>
          <w:sz w:val="18"/>
        </w:rPr>
        <w:t xml:space="preserve"> ≥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67%; nonetheless, the PDFF results were affected by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presence of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brosis.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120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Despite their high degree of accuracy,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 availability and cost of magnetic resonance-based techniques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are the key hurdles in limiting their applicability, especially to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general population.</w:t>
      </w:r>
    </w:p>
    <w:p>
      <w:pPr>
        <w:autoSpaceDN w:val="0"/>
        <w:autoSpaceDE w:val="0"/>
        <w:widowControl/>
        <w:spacing w:line="180" w:lineRule="exact" w:before="396" w:after="0"/>
        <w:ind w:left="0" w:right="0" w:firstLine="0"/>
        <w:jc w:val="left"/>
      </w:pPr>
      <w:r>
        <w:rPr>
          <w:rFonts w:ascii="AdvTT439facf7.BI" w:hAnsi="AdvTT439facf7.BI" w:eastAsia="AdvTT439facf7.BI"/>
          <w:b w:val="0"/>
          <w:i w:val="0"/>
          <w:color w:val="231F20"/>
          <w:sz w:val="18"/>
        </w:rPr>
        <w:t>Non-invasive tests of NASH</w:t>
      </w:r>
    </w:p>
    <w:p>
      <w:pPr>
        <w:autoSpaceDN w:val="0"/>
        <w:tabs>
          <w:tab w:pos="170" w:val="left"/>
        </w:tabs>
        <w:autoSpaceDE w:val="0"/>
        <w:widowControl/>
        <w:spacing w:line="220" w:lineRule="exact" w:before="224" w:after="0"/>
        <w:ind w:left="0" w:right="144" w:firstLine="0"/>
        <w:jc w:val="left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Cytokeratin-18 fragment.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Plasma cytokeratin-18 fragment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(CK-18) re</w:t>
      </w:r>
      <w:r>
        <w:rPr>
          <w:rFonts w:ascii="20" w:hAnsi="20" w:eastAsia="20"/>
          <w:b w:val="0"/>
          <w:i w:val="0"/>
          <w:color w:val="231F20"/>
          <w:sz w:val="18"/>
        </w:rPr>
        <w:t>fl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ects the degree of hepatocellular apoptotic activity, a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characteristic feature of NASH.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122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Three ELISA-based CK-18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assays have been developed to assess NAFLD. The M30 assay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detects hepatocyte apoptosis through the identi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cation of a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caspase-cleaved fragment of CK-18. In contrast, both M65 and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M65ED assays detect total cell death through the identi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cation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of both caspase-cleaved and uncleaved CK-18.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 xml:space="preserve">123 </w:t>
      </w:r>
      <w:r>
        <w:br/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CK-18 level is signi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cantly increased in NASH.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124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It has dem-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onstrated good diagnostic accuracy for NAFLD</w:t>
      </w:r>
      <w:r>
        <w:rPr>
          <w:rFonts w:ascii="AdvTT50a2f13e.I" w:hAnsi="AdvTT50a2f13e.I" w:eastAsia="AdvTT50a2f13e.I"/>
          <w:b w:val="0"/>
          <w:i w:val="0"/>
          <w:color w:val="231F20"/>
          <w:sz w:val="18"/>
        </w:rPr>
        <w:t xml:space="preserve"> versus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healthy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livers, but less satisfactory accuracy for NASH</w:t>
      </w:r>
      <w:r>
        <w:rPr>
          <w:rFonts w:ascii="AdvTT50a2f13e.I" w:hAnsi="AdvTT50a2f13e.I" w:eastAsia="AdvTT50a2f13e.I"/>
          <w:b w:val="0"/>
          <w:i w:val="0"/>
          <w:color w:val="231F20"/>
          <w:sz w:val="18"/>
        </w:rPr>
        <w:t xml:space="preserve"> versus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simple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steatosis.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125,126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 latter is arguably the greater diagnostic need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in clinical assessment. The test was also criticized for limited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sensitivity at a cut-off value of 165 U/L, making it inadequate as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 screening test for staging NASH.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127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 meta-analysis of 10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studies showed that CK-18 fragments had an AUROC of 0.8 to di-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agnose NASH</w:t>
      </w:r>
      <w:r>
        <w:rPr>
          <w:rFonts w:ascii="AdvTT50a2f13e.I" w:hAnsi="AdvTT50a2f13e.I" w:eastAsia="AdvTT50a2f13e.I"/>
          <w:b w:val="0"/>
          <w:i w:val="0"/>
          <w:color w:val="231F20"/>
          <w:sz w:val="18"/>
        </w:rPr>
        <w:t xml:space="preserve"> versus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non-NASH.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128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Two other models combin-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ing CK-18 with hyaluronic acid,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129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or soluble Fas,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130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showed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better predictive value for NASH</w:t>
      </w:r>
      <w:r>
        <w:rPr>
          <w:rFonts w:ascii="AdvTT50a2f13e.I" w:hAnsi="AdvTT50a2f13e.I" w:eastAsia="AdvTT50a2f13e.I"/>
          <w:b w:val="0"/>
          <w:i w:val="0"/>
          <w:color w:val="231F20"/>
          <w:sz w:val="18"/>
        </w:rPr>
        <w:t xml:space="preserve"> versus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non-NASH in patients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with NAFLD. As the diagnostic accuracy is modest, CK-18 is un-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likely to be used alone but probably either as the initial screening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test with a low cut-off or part of a diagnostic panel.</w:t>
      </w:r>
    </w:p>
    <w:p>
      <w:pPr>
        <w:autoSpaceDN w:val="0"/>
        <w:autoSpaceDE w:val="0"/>
        <w:widowControl/>
        <w:spacing w:line="220" w:lineRule="exact" w:before="310" w:after="0"/>
        <w:ind w:left="0" w:right="180" w:firstLine="0"/>
        <w:jc w:val="both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Other biomarkers.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Adiponectin is an adipokine that is exclu-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sively synthesized by adipose tissue with roles in glucose and lipid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metabolism.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131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Hypoadiponectinemia is associated with NAFLD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and NASH.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132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Nonetheless, the large variations in adiponectin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levels observed in different studies make it unsuitable to be the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sole diagnostic biomarker in NAFLD/NASH.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7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Leptin is another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potential biomarker that is often studied with adiponectin; a model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combining serum suboptimal adiponectin and elevated leptin was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used to predicted NASH or borderline NASH.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133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Nonetheless,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con</w:t>
      </w:r>
      <w:r>
        <w:rPr>
          <w:rFonts w:ascii="20" w:hAnsi="20" w:eastAsia="20"/>
          <w:b w:val="0"/>
          <w:i w:val="0"/>
          <w:color w:val="231F20"/>
          <w:sz w:val="18"/>
        </w:rPr>
        <w:t>fl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icting data exist concerning its relationship with NASH or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just with morbid obesity independent of liver disease.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134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Other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biomarkers including resistin, ghrelin, and retinol-binding protein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4 may be appropriate biomarkers of NASH, but are unlikely to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serve as diagnostic markers on their own.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135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tabs>
          <w:tab w:pos="350" w:val="left"/>
        </w:tabs>
        <w:autoSpaceDE w:val="0"/>
        <w:widowControl/>
        <w:spacing w:line="218" w:lineRule="exact" w:before="0" w:after="0"/>
        <w:ind w:left="180" w:right="0" w:firstLine="0"/>
        <w:jc w:val="left"/>
      </w:pP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NashTest is made by the same manufacturer as SteatoTest,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using patented algorithms combining 13 parameters: age; sex;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height; weight; and serum levels of triglycerides, cholesterol,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A2M, ApoA1, haptoglobin, GGT, ALT, AST, and total bilirubin.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It has modest diagnostic accuracy for NASH (AUROC 0.79) and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borderline NASH (AUROC 0.69).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136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It has poor concordance with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histological NAS and so cannot be recommended.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 xml:space="preserve">137 </w:t>
      </w:r>
      <w:r>
        <w:br/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MicroRNAs are highly conserved, small non-coding RNAs of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sizes 18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25 nucleotides that regulate gene expression at the post-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transcriptional level.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138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Each miR can regulate hundreds of target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genes. miRs have been increasingly recognized in the pathogene-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sis and diagnosis of NAFLD and NASH.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139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 miR-122 and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miR-34a levels were higher in NASH group compared with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patients with simple steatosis.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140</w:t>
      </w:r>
    </w:p>
    <w:p>
      <w:pPr>
        <w:autoSpaceDN w:val="0"/>
        <w:autoSpaceDE w:val="0"/>
        <w:widowControl/>
        <w:spacing w:line="220" w:lineRule="exact" w:before="152" w:after="0"/>
        <w:ind w:left="180" w:right="20" w:firstLine="0"/>
        <w:jc w:val="both"/>
      </w:pPr>
      <w:r>
        <w:rPr>
          <w:rFonts w:ascii="AdvTT439facf7.BI" w:hAnsi="AdvTT439facf7.BI" w:eastAsia="AdvTT439facf7.BI"/>
          <w:b w:val="0"/>
          <w:i w:val="0"/>
          <w:color w:val="231F20"/>
          <w:sz w:val="18"/>
        </w:rPr>
        <w:t>Non-invasive tests of liver</w:t>
      </w:r>
      <w:r>
        <w:rPr>
          <w:rFonts w:ascii="fb" w:hAnsi="fb" w:eastAsia="fb"/>
          <w:b w:val="0"/>
          <w:i w:val="0"/>
          <w:color w:val="231F20"/>
          <w:sz w:val="18"/>
        </w:rPr>
        <w:t xml:space="preserve"> fi</w:t>
      </w:r>
      <w:r>
        <w:rPr>
          <w:rFonts w:ascii="AdvTT439facf7.BI" w:hAnsi="AdvTT439facf7.BI" w:eastAsia="AdvTT439facf7.BI"/>
          <w:b w:val="0"/>
          <w:i w:val="0"/>
          <w:color w:val="231F20"/>
          <w:sz w:val="18"/>
        </w:rPr>
        <w:t>brosis (Table 5)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Because 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 is the most powerful (and possibly the only independent)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prognostic factor for liver-related outcomes in NAFLD, including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HCC development and mortality,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62,141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 assessment is of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paramount clinical importance. Screening for varices and HCC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should be offered in case of cirrhosis. Because of the pitfalls of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liver biopsy discussed in the Liver histology section, non-invasive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serological and physical tests have been developed to assess liver 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brosis.</w:t>
      </w:r>
    </w:p>
    <w:p>
      <w:pPr>
        <w:autoSpaceDN w:val="0"/>
        <w:autoSpaceDE w:val="0"/>
        <w:widowControl/>
        <w:spacing w:line="220" w:lineRule="exact" w:before="312" w:after="0"/>
        <w:ind w:left="180" w:right="20" w:firstLine="0"/>
        <w:jc w:val="both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Serum tests.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Over the past several decades, panels of tests (often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with clinical variables) including NAFLD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 score, FIB-4,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BARD score (BMI, AST/ALT ratio and diabetes), enhanced liver 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 panel, FibroTest, FibroMeter, and HepaScore have shown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reasonable diagnostic accuracy (AUROC</w:t>
      </w:r>
      <w:r>
        <w:rPr>
          <w:rFonts w:ascii="AdvP4C4E51" w:hAnsi="AdvP4C4E51" w:eastAsia="AdvP4C4E51"/>
          <w:b w:val="0"/>
          <w:i w:val="0"/>
          <w:color w:val="231F20"/>
          <w:sz w:val="18"/>
        </w:rPr>
        <w:t xml:space="preserve"> &gt;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0.8) when used to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assess the extent of liver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brosis.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93,142</w:t>
      </w:r>
      <w:r>
        <w:rPr>
          <w:w w:val="97.89984042827899"/>
          <w:rFonts w:ascii="20" w:hAnsi="20" w:eastAsia="20"/>
          <w:b w:val="0"/>
          <w:i w:val="0"/>
          <w:color w:val="231F20"/>
          <w:sz w:val="13"/>
        </w:rPr>
        <w:t>–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144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In addition, some of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these tests predict long-term prognoses such as the risk of incident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diabetes and overall, cardiovascular-related, and liver-related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mortality.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145</w:t>
      </w:r>
      <w:r>
        <w:rPr>
          <w:w w:val="97.89984042827899"/>
          <w:rFonts w:ascii="20" w:hAnsi="20" w:eastAsia="20"/>
          <w:b w:val="0"/>
          <w:i w:val="0"/>
          <w:color w:val="231F20"/>
          <w:sz w:val="13"/>
        </w:rPr>
        <w:t>–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147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However, each of the reported studies appears to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have used its own cut-off values; as a result of which, no widely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accepted cut-off values to separate patients at low and high risk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have been de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ned.</w:t>
      </w:r>
    </w:p>
    <w:p>
      <w:pPr>
        <w:autoSpaceDN w:val="0"/>
        <w:autoSpaceDE w:val="0"/>
        <w:widowControl/>
        <w:spacing w:line="220" w:lineRule="exact" w:before="314" w:after="0"/>
        <w:ind w:left="180" w:right="20" w:firstLine="0"/>
        <w:jc w:val="both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Physical tests.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Recent tools to assess liver stiffness include TE,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acoustic radiation force impulse elastography, and magnetic reso-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nance elastography (MRE). A recent meta-analysis showed that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TE had high sensitivity and speci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city when used to identify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bro-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sis in patients with NAFLD.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148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However, up to 20% of TE exam-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inations yielded unreliable results, especially among patients with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high BMI.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149,150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 use of XL probe can increase the success rate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of examination in obese patients, but proper training is required.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 xml:space="preserve">151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Acoustic radiation force impulse elastography has also afforded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acceptable accuracy in patients with NAFLD (AUC</w:t>
      </w:r>
      <w:r>
        <w:rPr>
          <w:rFonts w:ascii="AdvP4C4E51" w:hAnsi="AdvP4C4E51" w:eastAsia="AdvP4C4E51"/>
          <w:b w:val="0"/>
          <w:i w:val="0"/>
          <w:color w:val="231F20"/>
          <w:sz w:val="18"/>
        </w:rPr>
        <w:t xml:space="preserve"> &gt;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0.8).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152</w:t>
      </w:r>
      <w:r>
        <w:rPr>
          <w:w w:val="97.89984042827899"/>
          <w:rFonts w:ascii="20" w:hAnsi="20" w:eastAsia="20"/>
          <w:b w:val="0"/>
          <w:i w:val="0"/>
          <w:color w:val="231F20"/>
          <w:sz w:val="13"/>
        </w:rPr>
        <w:t>–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 xml:space="preserve">156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MRE was the most accurate of the non-invasive physical assess-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ment tools.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157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However, MRE is not widely available and is rarely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used in clinical practice because of the high cost.</w:t>
      </w:r>
    </w:p>
    <w:p>
      <w:pPr>
        <w:autoSpaceDN w:val="0"/>
        <w:autoSpaceDE w:val="0"/>
        <w:widowControl/>
        <w:spacing w:line="220" w:lineRule="exact" w:before="314" w:after="432"/>
        <w:ind w:left="180" w:right="20" w:firstLine="0"/>
        <w:jc w:val="both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Investigations in the Asia</w:t>
      </w:r>
      <w:r>
        <w:rPr>
          <w:rFonts w:ascii="20" w:hAnsi="20" w:eastAsia="20"/>
          <w:b w:val="0"/>
          <w:i w:val="0"/>
          <w:color w:val="231F20"/>
          <w:sz w:val="18"/>
        </w:rPr>
        <w:t>–</w:t>
      </w: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Pacific region.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Several studies in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this region have assessed the cross-sectional accuracy of non-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invasive surrogates of liver biopsy among Asian patients with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NAFLD.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150,157</w:t>
      </w:r>
      <w:r>
        <w:rPr>
          <w:w w:val="97.89984042827899"/>
          <w:rFonts w:ascii="20" w:hAnsi="20" w:eastAsia="20"/>
          <w:b w:val="0"/>
          <w:i w:val="0"/>
          <w:color w:val="231F20"/>
          <w:sz w:val="13"/>
        </w:rPr>
        <w:t>–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159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Some have suggested that the combined use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of serum tests and physical tools can yield more reliable data than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that afforded by either method alone.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160</w:t>
      </w:r>
      <w:r>
        <w:rPr>
          <w:w w:val="97.89984042827899"/>
          <w:rFonts w:ascii="20" w:hAnsi="20" w:eastAsia="20"/>
          <w:b w:val="0"/>
          <w:i w:val="0"/>
          <w:color w:val="231F20"/>
          <w:sz w:val="13"/>
        </w:rPr>
        <w:t>–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163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However, cut-off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tabs>
          <w:tab w:pos="6322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AdvTT47a11158.B" w:hAnsi="AdvTT47a11158.B" w:eastAsia="AdvTT47a11158.B"/>
          <w:b w:val="0"/>
          <w:i w:val="0"/>
          <w:color w:val="231F20"/>
          <w:sz w:val="16"/>
        </w:rPr>
        <w:t xml:space="preserve">78 </w:t>
      </w:r>
      <w:r>
        <w:tab/>
      </w:r>
      <w:r>
        <w:rPr>
          <w:rFonts w:ascii="AdvTT9ce5b9b8.I" w:hAnsi="AdvTT9ce5b9b8.I" w:eastAsia="AdvTT9ce5b9b8.I"/>
          <w:b w:val="0"/>
          <w:i w:val="0"/>
          <w:color w:val="231F20"/>
          <w:sz w:val="13"/>
        </w:rPr>
        <w:t>Journal of Gastroenterology and Hepatology</w:t>
      </w:r>
      <w:r>
        <w:rPr>
          <w:rFonts w:ascii="AdvTT47a11158.B" w:hAnsi="AdvTT47a11158.B" w:eastAsia="AdvTT47a11158.B"/>
          <w:b w:val="0"/>
          <w:i w:val="0"/>
          <w:color w:val="231F20"/>
          <w:sz w:val="13"/>
        </w:rPr>
        <w:t xml:space="preserve"> 33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 xml:space="preserve"> (2018) 70</w:t>
      </w:r>
      <w:r>
        <w:rPr>
          <w:rFonts w:ascii="20" w:hAnsi="20" w:eastAsia="20"/>
          <w:b w:val="0"/>
          <w:i w:val="0"/>
          <w:color w:val="231F20"/>
          <w:sz w:val="13"/>
        </w:rPr>
        <w:t>–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>85</w:t>
      </w:r>
    </w:p>
    <w:p>
      <w:pPr>
        <w:autoSpaceDN w:val="0"/>
        <w:autoSpaceDE w:val="0"/>
        <w:widowControl/>
        <w:spacing w:line="130" w:lineRule="exact" w:before="62" w:after="0"/>
        <w:ind w:left="0" w:right="20" w:firstLine="0"/>
        <w:jc w:val="right"/>
      </w:pPr>
      <w:r>
        <w:rPr>
          <w:rFonts w:ascii="AdvTT080e16ec" w:hAnsi="AdvTT080e16ec" w:eastAsia="AdvTT080e16ec"/>
          <w:b w:val="0"/>
          <w:i w:val="0"/>
          <w:color w:val="231F20"/>
          <w:sz w:val="13"/>
        </w:rPr>
        <w:t>© 2017 Journal of Gastroenterology and Hepatology Foundation and John Wiley &amp; Sons Australia, Ltd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tabs>
          <w:tab w:pos="7768" w:val="left"/>
        </w:tabs>
        <w:autoSpaceDE w:val="0"/>
        <w:widowControl/>
        <w:spacing w:line="152" w:lineRule="exact" w:before="0" w:after="434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>VW-S Wong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et al. </w:t>
      </w:r>
      <w:r>
        <w:tab/>
      </w:r>
      <w:r>
        <w:rPr>
          <w:rFonts w:ascii="AdvTTc8c83e50" w:hAnsi="AdvTTc8c83e50" w:eastAsia="AdvTTc8c83e50"/>
          <w:b w:val="0"/>
          <w:i w:val="0"/>
          <w:color w:val="231F20"/>
          <w:sz w:val="15"/>
        </w:rPr>
        <w:t>Asia-Pacific NAFLD guidelines</w:t>
      </w:r>
    </w:p>
    <w:p>
      <w:pPr>
        <w:sectPr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180" w:firstLine="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thresholds remain unde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ned, and as a result, the prognostic impli-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cations of various values have not yet been adequately investi-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gated. Thus, at the present time, the clinical use of such tools to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avoid liver biopsy remains unde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ned.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164,165</w:t>
      </w:r>
    </w:p>
    <w:p>
      <w:pPr>
        <w:autoSpaceDN w:val="0"/>
        <w:autoSpaceDE w:val="0"/>
        <w:widowControl/>
        <w:spacing w:line="220" w:lineRule="exact" w:before="470" w:after="0"/>
        <w:ind w:left="0" w:right="144" w:firstLine="0"/>
        <w:jc w:val="left"/>
      </w:pPr>
      <w:r>
        <w:rPr>
          <w:rFonts w:ascii="AdvTT6b11a639.I" w:hAnsi="AdvTT6b11a639.I" w:eastAsia="AdvTT6b11a639.I"/>
          <w:b w:val="0"/>
          <w:i w:val="0"/>
          <w:color w:val="231F20"/>
          <w:sz w:val="18"/>
        </w:rPr>
        <w:t>Limitations.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A major limitation of non-invasive testing is that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most investigations have been performed in studies featuring a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180" w:right="22" w:firstLine="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cross-sectional design. Thus, the ability of the tests to monitor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 natural history of disease and to predict outcomes or responses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to therapeutic intervention remains unclear.</w:t>
      </w:r>
    </w:p>
    <w:p>
      <w:pPr>
        <w:autoSpaceDN w:val="0"/>
        <w:autoSpaceDE w:val="0"/>
        <w:widowControl/>
        <w:spacing w:line="220" w:lineRule="exact" w:before="470" w:after="346"/>
        <w:ind w:left="180" w:right="22" w:firstLine="0"/>
        <w:jc w:val="both"/>
      </w:pPr>
      <w:r>
        <w:rPr>
          <w:rFonts w:ascii="AdvTT439facf7.BI" w:hAnsi="AdvTT439facf7.BI" w:eastAsia="AdvTT439facf7.BI"/>
          <w:b w:val="0"/>
          <w:i w:val="0"/>
          <w:color w:val="231F20"/>
          <w:sz w:val="18"/>
        </w:rPr>
        <w:t>HCC screening.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The annual incidence of developing HCC in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NASH cirrhosis is 2.26%, and the mortality of such cases is 47%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HCC-related deaths over 5.3 years.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70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Cost-effectiveness data from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65"/>
        <w:gridCol w:w="2465"/>
        <w:gridCol w:w="2465"/>
        <w:gridCol w:w="2465"/>
      </w:tblGrid>
      <w:tr>
        <w:trPr>
          <w:trHeight w:hRule="exact" w:val="268"/>
        </w:trPr>
        <w:tc>
          <w:tcPr>
            <w:tcW w:type="dxa" w:w="568"/>
            <w:tcBorders>
              <w:bottom w:sz="6.40000000000009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" w:after="0"/>
              <w:ind w:left="0" w:right="0" w:firstLine="0"/>
              <w:jc w:val="center"/>
            </w:pPr>
            <w:r>
              <w:rPr>
                <w:rFonts w:ascii="AdvTT47a11158.B" w:hAnsi="AdvTT47a11158.B" w:eastAsia="AdvTT47a11158.B"/>
                <w:b w:val="0"/>
                <w:i w:val="0"/>
                <w:color w:val="231F20"/>
                <w:sz w:val="15"/>
              </w:rPr>
              <w:t>Table 5</w:t>
            </w:r>
          </w:p>
        </w:tc>
        <w:tc>
          <w:tcPr>
            <w:tcW w:type="dxa" w:w="5940"/>
            <w:gridSpan w:val="2"/>
            <w:tcBorders>
              <w:bottom w:sz="6.400000000000091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0" w:after="0"/>
              <w:ind w:left="94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Comparison of different tests for NAFLD to assess the degree of liver</w:t>
            </w:r>
            <w:r>
              <w:rPr>
                <w:rFonts w:ascii="fb" w:hAnsi="fb" w:eastAsia="fb"/>
                <w:b w:val="0"/>
                <w:i w:val="0"/>
                <w:color w:val="231F20"/>
                <w:sz w:val="15"/>
              </w:rPr>
              <w:t xml:space="preserve"> fi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brosis</w:t>
            </w:r>
          </w:p>
        </w:tc>
        <w:tc>
          <w:tcPr>
            <w:tcW w:type="dxa" w:w="3332"/>
            <w:tcBorders>
              <w:bottom w:sz="6.400000000000091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2"/>
        </w:trPr>
        <w:tc>
          <w:tcPr>
            <w:tcW w:type="dxa" w:w="6508"/>
            <w:gridSpan w:val="3"/>
            <w:tcBorders>
              <w:top w:sz="6.400000000000091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82" w:after="0"/>
              <w:ind w:left="0" w:right="2516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Pros</w:t>
            </w:r>
          </w:p>
        </w:tc>
        <w:tc>
          <w:tcPr>
            <w:tcW w:type="dxa" w:w="3332"/>
            <w:vMerge w:val="restart"/>
            <w:tcBorders>
              <w:top w:sz="6.400000000000091" w:val="single" w:color="#221F1F"/>
              <w:bottom w:sz="3.19999999999981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" w:after="0"/>
              <w:ind w:left="576" w:right="1296" w:firstLine="0"/>
              <w:jc w:val="center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 xml:space="preserve">Cons </w:t>
            </w:r>
            <w:r>
              <w:br/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Not speci</w:t>
            </w:r>
            <w:r>
              <w:rPr>
                <w:rFonts w:ascii="fb" w:hAnsi="fb" w:eastAsia="fb"/>
                <w:b w:val="0"/>
                <w:i w:val="0"/>
                <w:color w:val="231F20"/>
                <w:sz w:val="15"/>
              </w:rPr>
              <w:t>fi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c for liver</w:t>
            </w:r>
          </w:p>
        </w:tc>
      </w:tr>
      <w:tr>
        <w:trPr>
          <w:trHeight w:hRule="exact" w:val="270"/>
        </w:trPr>
        <w:tc>
          <w:tcPr>
            <w:tcW w:type="dxa" w:w="1988"/>
            <w:gridSpan w:val="2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8" w:after="0"/>
              <w:ind w:left="0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Serum tests</w:t>
            </w:r>
          </w:p>
        </w:tc>
        <w:tc>
          <w:tcPr>
            <w:tcW w:type="dxa" w:w="4520"/>
            <w:tcBorders>
              <w:bottom w:sz="3.19999999999981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8" w:after="0"/>
              <w:ind w:left="0" w:right="2002" w:firstLine="0"/>
              <w:jc w:val="righ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Good reproducibility</w:t>
            </w:r>
          </w:p>
        </w:tc>
        <w:tc>
          <w:tcPr>
            <w:tcW w:type="dxa" w:w="2465"/>
            <w:vMerge/>
            <w:tcBorders>
              <w:top w:sz="6.400000000000091" w:val="single" w:color="#221F1F"/>
              <w:bottom w:sz="3.199999999999818" w:val="single" w:color="#221F1F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82"/>
        <w:ind w:left="0" w:right="0"/>
      </w:pP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0" w:lineRule="exact" w:before="0" w:after="0"/>
        <w:ind w:left="2504" w:right="292" w:firstLine="0"/>
        <w:jc w:val="both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High applicability, readily available </w:t>
      </w:r>
      <w:r>
        <w:br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No additional cost, if not patented </w:t>
      </w:r>
      <w:r>
        <w:br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Acceptable accuracy to exclude advanced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5571" w:space="0"/>
            <w:col w:w="4290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exact" w:before="0" w:after="58"/>
        <w:ind w:left="294" w:right="576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Not immediate result acquisition </w:t>
      </w:r>
      <w:r>
        <w:br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High cost and limited availability, if patented </w:t>
      </w:r>
      <w:r>
        <w:br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Inappropriate to discriminate between intermediate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5571" w:space="0"/>
            <w:col w:w="4290" w:space="0"/>
          </w:cols>
          <w:docGrid w:linePitch="360"/>
        </w:sectPr>
      </w:pPr>
    </w:p>
    <w:p>
      <w:pPr>
        <w:autoSpaceDN w:val="0"/>
        <w:tabs>
          <w:tab w:pos="2504" w:val="left"/>
          <w:tab w:pos="5866" w:val="left"/>
        </w:tabs>
        <w:autoSpaceDE w:val="0"/>
        <w:widowControl/>
        <w:spacing w:line="190" w:lineRule="exact" w:before="0" w:after="28"/>
        <w:ind w:left="0" w:right="2736" w:firstLine="0"/>
        <w:jc w:val="left"/>
      </w:pPr>
      <w:r>
        <w:tab/>
      </w:r>
      <w:r>
        <w:rPr>
          <w:rFonts w:ascii="fb" w:hAnsi="fb" w:eastAsia="fb"/>
          <w:b w:val="0"/>
          <w:i w:val="0"/>
          <w:color w:val="231F20"/>
          <w:sz w:val="15"/>
        </w:rPr>
        <w:t>fi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brosis and cirrhosis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stages of</w:t>
      </w:r>
      <w:r>
        <w:rPr>
          <w:rFonts w:ascii="fb" w:hAnsi="fb" w:eastAsia="fb"/>
          <w:b w:val="0"/>
          <w:i w:val="0"/>
          <w:color w:val="231F20"/>
          <w:sz w:val="15"/>
        </w:rPr>
        <w:t xml:space="preserve"> fi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brosis </w:t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Has prognostic value </w:t>
      </w:r>
      <w:r>
        <w:br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Physical tests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97" w:type="dxa"/>
      </w:tblPr>
      <w:tblGrid>
        <w:gridCol w:w="3287"/>
        <w:gridCol w:w="3287"/>
        <w:gridCol w:w="3287"/>
      </w:tblGrid>
      <w:tr>
        <w:trPr>
          <w:trHeight w:hRule="exact" w:val="196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92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Transient elastography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0" w:after="0"/>
              <w:ind w:left="43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Speci</w:t>
            </w:r>
            <w:r>
              <w:rPr>
                <w:rFonts w:ascii="fb" w:hAnsi="fb" w:eastAsia="fb"/>
                <w:b w:val="0"/>
                <w:i w:val="0"/>
                <w:color w:val="231F20"/>
                <w:sz w:val="15"/>
              </w:rPr>
              <w:t>fi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c for liver</w:t>
            </w:r>
            <w:r>
              <w:rPr>
                <w:rFonts w:ascii="20" w:hAnsi="20" w:eastAsia="20"/>
                <w:b w:val="0"/>
                <w:i w:val="0"/>
                <w:color w:val="231F20"/>
                <w:sz w:val="15"/>
              </w:rPr>
              <w:t>—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check pure physical property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13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Needs a high-cost tool</w:t>
            </w:r>
          </w:p>
        </w:tc>
      </w:tr>
      <w:tr>
        <w:trPr>
          <w:trHeight w:hRule="exact" w:val="226"/>
        </w:trPr>
        <w:tc>
          <w:tcPr>
            <w:tcW w:type="dxa" w:w="3287"/>
            <w:vMerge/>
            <w:tcBorders/>
          </w:tcPr>
          <w:p/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6" w:after="0"/>
              <w:ind w:left="43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Short learning curve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6" w:after="0"/>
              <w:ind w:left="13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Reliable results only 75% in obese subjects despite</w:t>
            </w:r>
          </w:p>
        </w:tc>
      </w:tr>
    </w:tbl>
    <w:p>
      <w:pPr>
        <w:autoSpaceDN w:val="0"/>
        <w:tabs>
          <w:tab w:pos="5866" w:val="left"/>
        </w:tabs>
        <w:autoSpaceDE w:val="0"/>
        <w:widowControl/>
        <w:spacing w:line="206" w:lineRule="exact" w:before="0" w:after="28"/>
        <w:ind w:left="2504" w:right="576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of XL probe </w:t>
      </w:r>
      <w:r>
        <w:br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Fast acquisition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False positivity with high ALT, ascites, cholestasis,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and heart failure </w:t>
      </w:r>
      <w:r>
        <w:br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Immediate results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Inappropriate to discriminate between intermediate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stages of</w:t>
      </w:r>
      <w:r>
        <w:rPr>
          <w:rFonts w:ascii="fb" w:hAnsi="fb" w:eastAsia="fb"/>
          <w:b w:val="0"/>
          <w:i w:val="0"/>
          <w:color w:val="231F20"/>
          <w:sz w:val="15"/>
        </w:rPr>
        <w:t xml:space="preserve"> fi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brosis </w:t>
      </w:r>
      <w:r>
        <w:br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Good reproducibility </w:t>
      </w:r>
      <w:r>
        <w:br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Low intra-observer and inter-observer variability </w:t>
      </w:r>
      <w:r>
        <w:br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Good performance to exclude advanced</w:t>
      </w:r>
      <w:r>
        <w:rPr>
          <w:rFonts w:ascii="fb" w:hAnsi="fb" w:eastAsia="fb"/>
          <w:b w:val="0"/>
          <w:i w:val="0"/>
          <w:color w:val="231F20"/>
          <w:sz w:val="15"/>
        </w:rPr>
        <w:t xml:space="preserve"> fi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brosis </w:t>
      </w:r>
      <w:r>
        <w:br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and cirrhosis </w:t>
      </w:r>
      <w:r>
        <w:br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Has prognostic value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97" w:type="dxa"/>
      </w:tblPr>
      <w:tblGrid>
        <w:gridCol w:w="3287"/>
        <w:gridCol w:w="3287"/>
        <w:gridCol w:w="3287"/>
      </w:tblGrid>
      <w:tr>
        <w:trPr>
          <w:trHeight w:hRule="exact" w:val="19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92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ARFI elastography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0" w:after="0"/>
              <w:ind w:left="57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Speci</w:t>
            </w:r>
            <w:r>
              <w:rPr>
                <w:rFonts w:ascii="fb" w:hAnsi="fb" w:eastAsia="fb"/>
                <w:b w:val="0"/>
                <w:i w:val="0"/>
                <w:color w:val="231F20"/>
                <w:sz w:val="15"/>
              </w:rPr>
              <w:t>fi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c for liver</w:t>
            </w:r>
            <w:r>
              <w:rPr>
                <w:rFonts w:ascii="20" w:hAnsi="20" w:eastAsia="20"/>
                <w:b w:val="0"/>
                <w:i w:val="0"/>
                <w:color w:val="231F20"/>
                <w:sz w:val="15"/>
              </w:rPr>
              <w:t>—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check pure physical property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" w:after="0"/>
              <w:ind w:left="13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Needs a high-cost tool</w:t>
            </w:r>
          </w:p>
        </w:tc>
      </w:tr>
      <w:tr>
        <w:trPr>
          <w:trHeight w:hRule="exact" w:val="220"/>
        </w:trPr>
        <w:tc>
          <w:tcPr>
            <w:tcW w:type="dxa" w:w="3287"/>
            <w:vMerge/>
            <w:tcBorders/>
          </w:tcPr>
          <w:p/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6" w:after="0"/>
              <w:ind w:left="57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Fast acquisition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6" w:after="0"/>
              <w:ind w:left="13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Limited data</w:t>
            </w:r>
          </w:p>
        </w:tc>
      </w:tr>
      <w:tr>
        <w:trPr>
          <w:trHeight w:hRule="exact" w:val="200"/>
        </w:trPr>
        <w:tc>
          <w:tcPr>
            <w:tcW w:type="dxa" w:w="3287"/>
            <w:vMerge/>
            <w:tcBorders/>
          </w:tcPr>
          <w:p/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6" w:after="0"/>
              <w:ind w:left="57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Immediate results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6" w:after="0"/>
              <w:ind w:left="13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Narrow range</w:t>
            </w:r>
          </w:p>
        </w:tc>
      </w:tr>
      <w:tr>
        <w:trPr>
          <w:trHeight w:hRule="exact" w:val="226"/>
        </w:trPr>
        <w:tc>
          <w:tcPr>
            <w:tcW w:type="dxa" w:w="3287"/>
            <w:vMerge/>
            <w:tcBorders/>
          </w:tcPr>
          <w:p/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6" w:after="0"/>
              <w:ind w:left="57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Simultaneous acquisition of hepatic and tumor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6" w:after="0"/>
              <w:ind w:left="13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Smaller ROI than transient elastography</w:t>
            </w:r>
          </w:p>
        </w:tc>
      </w:tr>
    </w:tbl>
    <w:p>
      <w:pPr>
        <w:autoSpaceDN w:val="0"/>
        <w:tabs>
          <w:tab w:pos="5866" w:val="left"/>
        </w:tabs>
        <w:autoSpaceDE w:val="0"/>
        <w:widowControl/>
        <w:spacing w:line="204" w:lineRule="exact" w:before="0" w:after="30"/>
        <w:ind w:left="2504" w:right="576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information </w:t>
      </w:r>
      <w:r>
        <w:br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Good performance to exclude advanced</w:t>
      </w:r>
      <w:r>
        <w:rPr>
          <w:rFonts w:ascii="fb" w:hAnsi="fb" w:eastAsia="fb"/>
          <w:b w:val="0"/>
          <w:i w:val="0"/>
          <w:color w:val="231F20"/>
          <w:sz w:val="15"/>
        </w:rPr>
        <w:t xml:space="preserve"> fi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brosis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No quality criteria </w:t>
      </w:r>
      <w:r>
        <w:br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and cirrhosis </w:t>
      </w:r>
      <w:r>
        <w:br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Inappropriate to discriminate between intermediate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stages of</w:t>
      </w:r>
      <w:r>
        <w:rPr>
          <w:rFonts w:ascii="fb" w:hAnsi="fb" w:eastAsia="fb"/>
          <w:b w:val="0"/>
          <w:i w:val="0"/>
          <w:color w:val="231F20"/>
          <w:sz w:val="15"/>
        </w:rPr>
        <w:t xml:space="preserve"> fi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brosis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97" w:type="dxa"/>
      </w:tblPr>
      <w:tblGrid>
        <w:gridCol w:w="3287"/>
        <w:gridCol w:w="3287"/>
        <w:gridCol w:w="3287"/>
      </w:tblGrid>
      <w:tr>
        <w:trPr>
          <w:trHeight w:hRule="exact" w:val="20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0" w:after="0"/>
              <w:ind w:left="92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Shear wave elastography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28" w:after="0"/>
              <w:ind w:left="35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Speci</w:t>
            </w:r>
            <w:r>
              <w:rPr>
                <w:rFonts w:ascii="fb" w:hAnsi="fb" w:eastAsia="fb"/>
                <w:b w:val="0"/>
                <w:i w:val="0"/>
                <w:color w:val="231F20"/>
                <w:sz w:val="15"/>
              </w:rPr>
              <w:t>fi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c for liver</w:t>
            </w:r>
            <w:r>
              <w:rPr>
                <w:rFonts w:ascii="20" w:hAnsi="20" w:eastAsia="20"/>
                <w:b w:val="0"/>
                <w:i w:val="0"/>
                <w:color w:val="231F20"/>
                <w:sz w:val="15"/>
              </w:rPr>
              <w:t>—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check pure physical property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0" w:after="0"/>
              <w:ind w:left="13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Needs a high-cost tool</w:t>
            </w:r>
          </w:p>
        </w:tc>
      </w:tr>
      <w:tr>
        <w:trPr>
          <w:trHeight w:hRule="exact" w:val="200"/>
        </w:trPr>
        <w:tc>
          <w:tcPr>
            <w:tcW w:type="dxa" w:w="3287"/>
            <w:vMerge/>
            <w:tcBorders/>
          </w:tcPr>
          <w:p/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6" w:after="0"/>
              <w:ind w:left="35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High intra-observer reliability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6" w:after="0"/>
              <w:ind w:left="13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Limited data</w:t>
            </w:r>
          </w:p>
        </w:tc>
      </w:tr>
      <w:tr>
        <w:trPr>
          <w:trHeight w:hRule="exact" w:val="220"/>
        </w:trPr>
        <w:tc>
          <w:tcPr>
            <w:tcW w:type="dxa" w:w="3287"/>
            <w:vMerge/>
            <w:tcBorders/>
          </w:tcPr>
          <w:p/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6" w:after="0"/>
              <w:ind w:left="35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Fast acquisition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6" w:after="0"/>
              <w:ind w:left="13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~15% of failure rates</w:t>
            </w:r>
          </w:p>
        </w:tc>
      </w:tr>
      <w:tr>
        <w:trPr>
          <w:trHeight w:hRule="exact" w:val="200"/>
        </w:trPr>
        <w:tc>
          <w:tcPr>
            <w:tcW w:type="dxa" w:w="3287"/>
            <w:vMerge/>
            <w:tcBorders/>
          </w:tcPr>
          <w:p/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6" w:after="0"/>
              <w:ind w:left="35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Immediate results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6" w:after="0"/>
              <w:ind w:left="13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No quality criteria</w:t>
            </w:r>
          </w:p>
        </w:tc>
      </w:tr>
      <w:tr>
        <w:trPr>
          <w:trHeight w:hRule="exact" w:val="220"/>
        </w:trPr>
        <w:tc>
          <w:tcPr>
            <w:tcW w:type="dxa" w:w="3287"/>
            <w:vMerge/>
            <w:tcBorders/>
          </w:tcPr>
          <w:p/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6" w:after="0"/>
              <w:ind w:left="35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Simultaneous acquisition of hepatic and tumor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6" w:after="0"/>
              <w:ind w:left="13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Inappropriate to discriminate between intermediate</w:t>
            </w:r>
          </w:p>
        </w:tc>
      </w:tr>
      <w:tr>
        <w:trPr>
          <w:trHeight w:hRule="exact" w:val="166"/>
        </w:trPr>
        <w:tc>
          <w:tcPr>
            <w:tcW w:type="dxa" w:w="3287"/>
            <w:vMerge/>
            <w:tcBorders/>
          </w:tcPr>
          <w:p/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6" w:after="0"/>
              <w:ind w:left="35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information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4" w:after="0"/>
              <w:ind w:left="13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stages of</w:t>
            </w:r>
            <w:r>
              <w:rPr>
                <w:rFonts w:ascii="fb" w:hAnsi="fb" w:eastAsia="fb"/>
                <w:b w:val="0"/>
                <w:i w:val="0"/>
                <w:color w:val="231F20"/>
                <w:sz w:val="15"/>
              </w:rPr>
              <w:t xml:space="preserve"> fi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brosis</w:t>
            </w:r>
          </w:p>
        </w:tc>
      </w:tr>
    </w:tbl>
    <w:p>
      <w:pPr>
        <w:autoSpaceDN w:val="0"/>
        <w:autoSpaceDE w:val="0"/>
        <w:widowControl/>
        <w:spacing w:line="14" w:lineRule="exact" w:before="0" w:after="58"/>
        <w:ind w:left="0" w:right="0"/>
      </w:pP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2504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>Good performance to exclude advanced</w:t>
      </w:r>
      <w:r>
        <w:rPr>
          <w:rFonts w:ascii="fb" w:hAnsi="fb" w:eastAsia="fb"/>
          <w:b w:val="0"/>
          <w:i w:val="0"/>
          <w:color w:val="231F20"/>
          <w:sz w:val="15"/>
        </w:rPr>
        <w:t xml:space="preserve"> fi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brosis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and cirrhosis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5775" w:space="0"/>
            <w:col w:w="4086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268"/>
        <w:ind w:left="0" w:right="0" w:firstLine="0"/>
        <w:jc w:val="center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>Reliable results only in 73% of patients with BMI</w:t>
      </w:r>
      <w:r>
        <w:rPr>
          <w:rFonts w:ascii="22" w:hAnsi="22" w:eastAsia="22"/>
          <w:b w:val="0"/>
          <w:i w:val="0"/>
          <w:color w:val="231F20"/>
          <w:sz w:val="15"/>
        </w:rPr>
        <w:t xml:space="preserve"> ≥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30 kg/m</w:t>
      </w:r>
      <w:r>
        <w:rPr>
          <w:w w:val="96.41422791914506"/>
          <w:rFonts w:ascii="AdvTT080e16ec" w:hAnsi="AdvTT080e16ec" w:eastAsia="AdvTT080e16ec"/>
          <w:b w:val="0"/>
          <w:i w:val="0"/>
          <w:color w:val="231F20"/>
          <w:sz w:val="11"/>
        </w:rPr>
        <w:t>2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5775" w:space="0"/>
            <w:col w:w="408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97" w:type="dxa"/>
      </w:tblPr>
      <w:tblGrid>
        <w:gridCol w:w="3287"/>
        <w:gridCol w:w="3287"/>
        <w:gridCol w:w="3287"/>
      </w:tblGrid>
      <w:tr>
        <w:trPr>
          <w:trHeight w:hRule="exact" w:val="176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" w:after="0"/>
              <w:ind w:left="92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MRE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0" w:after="0"/>
              <w:ind w:left="101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Speci</w:t>
            </w:r>
            <w:r>
              <w:rPr>
                <w:rFonts w:ascii="fb" w:hAnsi="fb" w:eastAsia="fb"/>
                <w:b w:val="0"/>
                <w:i w:val="0"/>
                <w:color w:val="231F20"/>
                <w:sz w:val="15"/>
              </w:rPr>
              <w:t>fi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c for liver</w:t>
            </w:r>
            <w:r>
              <w:rPr>
                <w:rFonts w:ascii="20" w:hAnsi="20" w:eastAsia="20"/>
                <w:b w:val="0"/>
                <w:i w:val="0"/>
                <w:color w:val="231F20"/>
                <w:sz w:val="15"/>
              </w:rPr>
              <w:t>—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check pure physical property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" w:after="0"/>
              <w:ind w:left="13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Needs a high-cost tool</w:t>
            </w:r>
          </w:p>
        </w:tc>
      </w:tr>
      <w:tr>
        <w:trPr>
          <w:trHeight w:hRule="exact" w:val="200"/>
        </w:trPr>
        <w:tc>
          <w:tcPr>
            <w:tcW w:type="dxa" w:w="328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6" w:after="0"/>
              <w:ind w:left="101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Estimation of the entire liver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6" w:after="0"/>
              <w:ind w:left="13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Limited data</w:t>
            </w:r>
          </w:p>
        </w:tc>
      </w:tr>
      <w:tr>
        <w:trPr>
          <w:trHeight w:hRule="exact" w:val="220"/>
        </w:trPr>
        <w:tc>
          <w:tcPr>
            <w:tcW w:type="dxa" w:w="328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6" w:after="0"/>
              <w:ind w:left="101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Not affected by obesity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6" w:after="0"/>
              <w:ind w:left="13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Not immediate result acquisition</w:t>
            </w:r>
          </w:p>
        </w:tc>
      </w:tr>
      <w:tr>
        <w:trPr>
          <w:trHeight w:hRule="exact" w:val="216"/>
        </w:trPr>
        <w:tc>
          <w:tcPr>
            <w:tcW w:type="dxa" w:w="328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6" w:after="0"/>
              <w:ind w:left="1016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Simultaneous acquisition of hepatic and tumor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4" w:after="0"/>
              <w:ind w:left="138" w:right="0" w:firstLine="0"/>
              <w:jc w:val="left"/>
            </w:pP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Needs a speci</w:t>
            </w:r>
            <w:r>
              <w:rPr>
                <w:rFonts w:ascii="fb" w:hAnsi="fb" w:eastAsia="fb"/>
                <w:b w:val="0"/>
                <w:i w:val="0"/>
                <w:color w:val="231F20"/>
                <w:sz w:val="15"/>
              </w:rPr>
              <w:t>fi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5"/>
              </w:rPr>
              <w:t>c facility</w:t>
            </w:r>
          </w:p>
        </w:tc>
      </w:tr>
    </w:tbl>
    <w:p>
      <w:pPr>
        <w:autoSpaceDN w:val="0"/>
        <w:tabs>
          <w:tab w:pos="5866" w:val="left"/>
        </w:tabs>
        <w:autoSpaceDE w:val="0"/>
        <w:widowControl/>
        <w:spacing w:line="204" w:lineRule="exact" w:before="0" w:after="0"/>
        <w:ind w:left="2504" w:right="432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information </w:t>
      </w:r>
      <w:r>
        <w:br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Simultaneous MRS for steatosis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High cost </w:t>
      </w:r>
      <w:r>
        <w:br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Probably more accurate than transient 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Time-consuming </w:t>
      </w:r>
      <w:r>
        <w:br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elastography </w:t>
      </w:r>
      <w:r>
        <w:br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 xml:space="preserve">Inaccurate in iron overload </w:t>
      </w:r>
      <w:r>
        <w:br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Cannot be used in patients with implantable devices</w:t>
      </w:r>
    </w:p>
    <w:p>
      <w:pPr>
        <w:autoSpaceDN w:val="0"/>
        <w:autoSpaceDE w:val="0"/>
        <w:widowControl/>
        <w:spacing w:line="210" w:lineRule="exact" w:before="126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>ALT, alanine aminotransferase; ARFI, acoustic radiation force impulse; BMI, body mass index; MRE, magnetic resonance elastography; MRS, mag-</w:t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netic resonance spectroscopy; NAFLD, non-alcoholic fatty liver disease; ROI, region of interest.</w:t>
      </w:r>
    </w:p>
    <w:p>
      <w:pPr>
        <w:autoSpaceDN w:val="0"/>
        <w:tabs>
          <w:tab w:pos="9642" w:val="left"/>
        </w:tabs>
        <w:autoSpaceDE w:val="0"/>
        <w:widowControl/>
        <w:spacing w:line="218" w:lineRule="exact" w:before="360" w:after="0"/>
        <w:ind w:left="0" w:right="0" w:firstLine="0"/>
        <w:jc w:val="left"/>
      </w:pPr>
      <w:r>
        <w:rPr>
          <w:rFonts w:ascii="AdvTT9ce5b9b8.I" w:hAnsi="AdvTT9ce5b9b8.I" w:eastAsia="AdvTT9ce5b9b8.I"/>
          <w:b w:val="0"/>
          <w:i w:val="0"/>
          <w:color w:val="231F20"/>
          <w:sz w:val="13"/>
        </w:rPr>
        <w:t>Journal of Gastroenterology and Hepatology</w:t>
      </w:r>
      <w:r>
        <w:rPr>
          <w:rFonts w:ascii="AdvTT47a11158.B" w:hAnsi="AdvTT47a11158.B" w:eastAsia="AdvTT47a11158.B"/>
          <w:b w:val="0"/>
          <w:i w:val="0"/>
          <w:color w:val="231F20"/>
          <w:sz w:val="13"/>
        </w:rPr>
        <w:t xml:space="preserve"> 33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 xml:space="preserve"> (2018) 70</w:t>
      </w:r>
      <w:r>
        <w:rPr>
          <w:rFonts w:ascii="20" w:hAnsi="20" w:eastAsia="20"/>
          <w:b w:val="0"/>
          <w:i w:val="0"/>
          <w:color w:val="231F20"/>
          <w:sz w:val="13"/>
        </w:rPr>
        <w:t>–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 xml:space="preserve">85 </w:t>
      </w:r>
      <w:r>
        <w:tab/>
      </w:r>
      <w:r>
        <w:rPr>
          <w:rFonts w:ascii="AdvTT47a11158.B" w:hAnsi="AdvTT47a11158.B" w:eastAsia="AdvTT47a11158.B"/>
          <w:b w:val="0"/>
          <w:i w:val="0"/>
          <w:color w:val="231F20"/>
          <w:sz w:val="16"/>
        </w:rPr>
        <w:t>79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>© 2017 Journal of Gastroenterology and Hepatology Foundation and John Wiley &amp; Sons Australia, Ltd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tabs>
          <w:tab w:pos="8652" w:val="left"/>
        </w:tabs>
        <w:autoSpaceDE w:val="0"/>
        <w:widowControl/>
        <w:spacing w:line="150" w:lineRule="exact" w:before="0" w:after="442"/>
        <w:ind w:left="0" w:right="0" w:firstLine="0"/>
        <w:jc w:val="left"/>
      </w:pPr>
      <w:r>
        <w:rPr>
          <w:rFonts w:ascii="AdvTTc8c83e50" w:hAnsi="AdvTTc8c83e50" w:eastAsia="AdvTTc8c83e50"/>
          <w:b w:val="0"/>
          <w:i w:val="0"/>
          <w:color w:val="231F20"/>
          <w:sz w:val="15"/>
        </w:rPr>
        <w:t xml:space="preserve">Asia-Pacific NAFLD guidelines </w:t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VW-S Wong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et al.</w:t>
      </w:r>
    </w:p>
    <w:p>
      <w:pPr>
        <w:sectPr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180" w:firstLine="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West suggest that twice yearly ultrasound for HCC surveil-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lance is cost-effective when the risk of developing HCC is </w:t>
      </w:r>
      <w:r>
        <w:rPr>
          <w:rFonts w:ascii="AdvP4C4E51" w:hAnsi="AdvP4C4E51" w:eastAsia="AdvP4C4E51"/>
          <w:b w:val="0"/>
          <w:i w:val="0"/>
          <w:color w:val="231F20"/>
          <w:sz w:val="18"/>
        </w:rPr>
        <w:t>&gt;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1.5% per year.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166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Hence, all NASH patients with cirrhosis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should undergo HCC surveillance similar to patients with cirrhosis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from other etiologies.</w:t>
      </w:r>
    </w:p>
    <w:p>
      <w:pPr>
        <w:autoSpaceDN w:val="0"/>
        <w:tabs>
          <w:tab w:pos="170" w:val="left"/>
        </w:tabs>
        <w:autoSpaceDE w:val="0"/>
        <w:widowControl/>
        <w:spacing w:line="220" w:lineRule="exact" w:before="0" w:after="0"/>
        <w:ind w:left="0" w:right="144" w:firstLine="0"/>
        <w:jc w:val="left"/>
      </w:pP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Ultrasound every 6 months is the most practical screening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modality, although the sensitivity and speci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city of ultrasound in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echogenic fatty liver is not known. This may result in addi-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tional need for cross-sectional imaging and affect the cost-utility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of surveillance.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167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bene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 of adding serum</w:t>
      </w:r>
      <w:r>
        <w:rPr>
          <w:rFonts w:ascii="03" w:hAnsi="03" w:eastAsia="03"/>
          <w:b w:val="0"/>
          <w:i w:val="0"/>
          <w:color w:val="231F20"/>
          <w:sz w:val="18"/>
        </w:rPr>
        <w:t xml:space="preserve"> α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-fetoprotein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remains unclear.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 xml:space="preserve">168 </w:t>
      </w:r>
      <w:r>
        <w:br/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 issue of HCC occurring in non-cirrhotic livers of patients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with NAFLD was considered in the section on NASH-related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HCC. However, the exact risk for each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 stage is unknown,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so it is not possible to calculate cost-effectiveness of HCC surveil-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lance for non-cirrhotic patients in the Asian context or elsewhere.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 risk of developing HCC in patients with steatosis/steatosis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without advanced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brosis is probably low with prospective popu-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lation studies showing that the incidence of HCC being 0.25%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HCC after 5.6 years.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 xml:space="preserve">169 </w:t>
      </w:r>
      <w:r>
        <w:br/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Markers that independently predict increased risk of HCC in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non-cirrhotic NASH include</w:t>
      </w:r>
      <w:r>
        <w:rPr>
          <w:rFonts w:ascii="AdvTT50a2f13e.I" w:hAnsi="AdvTT50a2f13e.I" w:eastAsia="AdvTT50a2f13e.I"/>
          <w:b w:val="0"/>
          <w:i w:val="0"/>
          <w:color w:val="231F20"/>
          <w:sz w:val="18"/>
        </w:rPr>
        <w:t xml:space="preserve"> PNPLA3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rs738409 C</w:t>
      </w:r>
      <w:r>
        <w:rPr>
          <w:rFonts w:ascii="AdvP4C4E51" w:hAnsi="AdvP4C4E51" w:eastAsia="AdvP4C4E51"/>
          <w:b w:val="0"/>
          <w:i w:val="0"/>
          <w:color w:val="231F20"/>
          <w:sz w:val="18"/>
        </w:rPr>
        <w:t>&gt;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G gene poly-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morphism,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170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diabetes, obesity, hypertension, cigarette smoking,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and family history. These factors may potentially select higher risk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1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in NAFLD patients have been performed to support screening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beyond the current cancer screening guidelines.</w:t>
      </w:r>
    </w:p>
    <w:p>
      <w:pPr>
        <w:autoSpaceDN w:val="0"/>
        <w:tabs>
          <w:tab w:pos="350" w:val="left"/>
        </w:tabs>
        <w:autoSpaceDE w:val="0"/>
        <w:widowControl/>
        <w:spacing w:line="220" w:lineRule="exact" w:before="0" w:after="40"/>
        <w:ind w:left="180" w:right="0" w:firstLine="0"/>
        <w:jc w:val="left"/>
      </w:pP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Non alcoholic fatty liver disease is independently associated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with obstructive sleep apnea and osteoporosis. A meta-analysis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of 18 studies using polysomnography to de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ne obstructive sleep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apnea found a twofold to threefold increased risk of NAFLD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including NASH and advanced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brosis with obstructive sleep ap-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nea.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190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Conversely, the risk of obstructive sleep apnea among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NAFLD patients is not known. Korean women with ultrasound-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diagnosed NAFLD have been reported to have lower bone mineral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density than those without NAFLD,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191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while the prevalence of os-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teoporotic fractures in Chinese men was increased among those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with NAFLD.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 xml:space="preserve">192 </w:t>
      </w:r>
      <w:r>
        <w:br/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Recommendation Statements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6.1 Liver biopsy should be performed in NAFLD patients whose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diagnosis is unclear, or where there is a suspected possibility of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co-existing chronic liver diseases. (B1)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6.2 The NAFLD Activity Score was designed to document histo-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logical changes over time in clinical studies and should not be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used as a diagnostic tool. In contrast, the FLIP algorithm was de-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signed to diagnose NASH. Data on their performance in the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Asia-Paci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 population are scarce. (B2)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6.3 CAP by FibroScan or MR-based techniques are accurate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alternatives to abdominal ultrasonography for the detection of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tabs>
          <w:tab w:pos="632" w:val="left"/>
          <w:tab w:pos="984" w:val="left"/>
          <w:tab w:pos="1856" w:val="left"/>
          <w:tab w:pos="2534" w:val="left"/>
          <w:tab w:pos="3424" w:val="left"/>
          <w:tab w:pos="510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groups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for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screening,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thereby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improving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cost-effectiveness.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steatosis, by virtue of their higher sensitivity. However, their</w:t>
      </w:r>
    </w:p>
    <w:p>
      <w:pPr>
        <w:autoSpaceDN w:val="0"/>
        <w:tabs>
          <w:tab w:pos="5100" w:val="left"/>
        </w:tabs>
        <w:autoSpaceDE w:val="0"/>
        <w:widowControl/>
        <w:spacing w:line="188" w:lineRule="exact" w:before="32" w:after="0"/>
        <w:ind w:left="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However, as yet there is insuf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cient modeling or validation data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applicability depends on the availability and local cost of the</w:t>
      </w:r>
    </w:p>
    <w:p>
      <w:pPr>
        <w:autoSpaceDN w:val="0"/>
        <w:tabs>
          <w:tab w:pos="5100" w:val="left"/>
        </w:tabs>
        <w:autoSpaceDE w:val="0"/>
        <w:widowControl/>
        <w:spacing w:line="180" w:lineRule="exact" w:before="40" w:after="0"/>
        <w:ind w:left="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to make any recommendations, and this is an important area for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modality. (B1)</w:t>
      </w:r>
    </w:p>
    <w:p>
      <w:pPr>
        <w:autoSpaceDN w:val="0"/>
        <w:tabs>
          <w:tab w:pos="5100" w:val="left"/>
        </w:tabs>
        <w:autoSpaceDE w:val="0"/>
        <w:widowControl/>
        <w:spacing w:line="180" w:lineRule="exact" w:before="40" w:after="0"/>
        <w:ind w:left="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future study.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6.4 Prediction models for NAFLD may be used in epidemiological</w:t>
      </w:r>
    </w:p>
    <w:p>
      <w:pPr>
        <w:autoSpaceDN w:val="0"/>
        <w:autoSpaceDE w:val="0"/>
        <w:widowControl/>
        <w:spacing w:line="180" w:lineRule="exact" w:before="40" w:after="0"/>
        <w:ind w:left="0" w:right="20" w:firstLine="0"/>
        <w:jc w:val="righ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studies. Their application at the individual patient level is unclear.</w:t>
      </w:r>
    </w:p>
    <w:p>
      <w:pPr>
        <w:autoSpaceDN w:val="0"/>
        <w:tabs>
          <w:tab w:pos="5100" w:val="left"/>
        </w:tabs>
        <w:autoSpaceDE w:val="0"/>
        <w:widowControl/>
        <w:spacing w:line="186" w:lineRule="exact" w:before="34" w:after="40"/>
        <w:ind w:left="0" w:right="0" w:firstLine="0"/>
        <w:jc w:val="left"/>
      </w:pPr>
      <w:r>
        <w:rPr>
          <w:rFonts w:ascii="AdvTT439facf7.BI" w:hAnsi="AdvTT439facf7.BI" w:eastAsia="AdvTT439facf7.BI"/>
          <w:b w:val="0"/>
          <w:i w:val="0"/>
          <w:color w:val="231F20"/>
          <w:sz w:val="18"/>
        </w:rPr>
        <w:t>Extrahepatic manifestations of NAFLD.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 Insulin resis-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(B2)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tabs>
          <w:tab w:pos="170" w:val="left"/>
          <w:tab w:pos="758" w:val="left"/>
          <w:tab w:pos="1250" w:val="left"/>
          <w:tab w:pos="1572" w:val="left"/>
          <w:tab w:pos="2398" w:val="left"/>
          <w:tab w:pos="3204" w:val="left"/>
          <w:tab w:pos="3704" w:val="left"/>
        </w:tabs>
        <w:autoSpaceDE w:val="0"/>
        <w:widowControl/>
        <w:spacing w:line="218" w:lineRule="exact" w:before="0" w:after="0"/>
        <w:ind w:left="0" w:right="144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tance is central to the pathogenesis of both NAFLD and metabolic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syndrome. Multiple studies have demonstrated that patients with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NAFLD have a higher prevalence of features of metabolic syn-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drome including obesity, T2DM, and hyperlipidemia.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3,171,172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Asian cohorts, NAFLD independently increases the risk of inci-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dent diabetes mellitus by twofold to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vefold.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173</w:t>
      </w:r>
      <w:r>
        <w:rPr>
          <w:w w:val="97.89984042827899"/>
          <w:rFonts w:ascii="20" w:hAnsi="20" w:eastAsia="20"/>
          <w:b w:val="0"/>
          <w:i w:val="0"/>
          <w:color w:val="231F20"/>
          <w:sz w:val="13"/>
        </w:rPr>
        <w:t>–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176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The combina-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tion of diabetes mellitus with NAFLD signi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cantly increases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metabolic complications and all-cause mortality.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 xml:space="preserve">177 </w:t>
      </w:r>
      <w:r>
        <w:br/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Cohort studies of NAFLD patients show that advanced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(NASH)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have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an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increased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mortality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from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cardiovascular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causes.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146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Several Asian studies have shown that NAFLD is an in-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dependent risk factor for coronary atherosclerosis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178,179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as well as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coronary artery disease.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180</w:t>
      </w:r>
      <w:r>
        <w:rPr>
          <w:w w:val="97.89984042827899"/>
          <w:rFonts w:ascii="20" w:hAnsi="20" w:eastAsia="20"/>
          <w:b w:val="0"/>
          <w:i w:val="0"/>
          <w:color w:val="231F20"/>
          <w:sz w:val="13"/>
        </w:rPr>
        <w:t>–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182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However, the ef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cacy of screening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for NAFLD in patients with coronary artery disease or coronary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artery disease in NAFLD patients is yet to be proven.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 xml:space="preserve">183 </w:t>
      </w:r>
      <w:r>
        <w:br/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Non alcoholic fatty liver disease, especially NASH, is indepen-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dently associated with a higher prevalence of chronic kidney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disease.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184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Although the strength of this association varies between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different cohorts of NAFLD patients, among Asian NAFLD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patients de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ned by ultrasound or raised liver enzymes, a strong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independent association with 1.5-fold to 2-fold increase in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incident-adjusted risk has been found consistently.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 xml:space="preserve">182,185,186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Three large Asian studies have reported increased risk of colo-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rectal adenomas in NAFLD patients.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187</w:t>
      </w:r>
      <w:r>
        <w:rPr>
          <w:w w:val="97.89984042827899"/>
          <w:rFonts w:ascii="20" w:hAnsi="20" w:eastAsia="20"/>
          <w:b w:val="0"/>
          <w:i w:val="0"/>
          <w:color w:val="231F20"/>
          <w:sz w:val="13"/>
        </w:rPr>
        <w:t>–</w:t>
      </w:r>
      <w:r>
        <w:rPr>
          <w:w w:val="97.89984042827899"/>
          <w:rFonts w:ascii="AdvTT6120e2aa" w:hAnsi="AdvTT6120e2aa" w:eastAsia="AdvTT6120e2aa"/>
          <w:b w:val="0"/>
          <w:i w:val="0"/>
          <w:color w:val="231F20"/>
          <w:sz w:val="13"/>
        </w:rPr>
        <w:t>189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In both retrospective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and prospective cohorts, the risk of colorectal adenoma and carci-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noma in NAFLD patients is up to 1.5-fold and 3-fold higher,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respectively, compared with patients without NAFLD. These asso-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ciations appear stronger in NASH patients than among those with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simple steatosis. However, no prospective cancer screening trials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1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6.5 Biomarkers for NASH are not yet ready to replace liver biopsy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as a reliable diagnostic tool. (B2)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6.6 Biomarkers for NASH, with cut-off values of high sensitivity,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may be used as the initial screening strategy to reduce the need for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liver biopsy. Further research is needed to develop better bio-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markers or diagnostic algorithms. (B2)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6.7 Noninvasive serum and physical tests afford modest but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possibly acceptable accuracies when used to measure the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brotic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burden in patients with NAFLD. (A2)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6.8 Appropriate cut-off values for identifying patients who are at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low and high risk of developing liver-related complications are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required. Also, the prognostic performance of noninvasive tests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used for monitoring changes in the</w:t>
      </w:r>
      <w:r>
        <w:rPr>
          <w:rFonts w:ascii="20" w:hAnsi="20" w:eastAsia="20"/>
          <w:b w:val="0"/>
          <w:i w:val="0"/>
          <w:color w:val="231F20"/>
          <w:sz w:val="18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brotic burden requires further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validation. (C2)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6.9 Liver biopsy should be considered when assessment of liver 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brosis using noninvasive tests is inconclusive. (B1)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6.10 Patients with NASH cirrhosis are at increased risk of develop-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ing hepatocellular carcinoma and should undergo regular surveil-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lance with ultrasound examination every 6 months. (A1)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6.11 The role of serum AFP is yet to be evaluated in NASH- HCC.</w:t>
      </w:r>
    </w:p>
    <w:p>
      <w:pPr>
        <w:autoSpaceDN w:val="0"/>
        <w:autoSpaceDE w:val="0"/>
        <w:widowControl/>
        <w:spacing w:line="220" w:lineRule="exact" w:before="0" w:after="432"/>
        <w:ind w:left="1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(C2)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6.12 Although HCC can occur in non-cirrhotic NASH patients, the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overall risk is low, especially for those with simple steatosis. At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present, no recommendations for screening can be made. (B2)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6.13 NAFLD is associated with increased risk of cardiovascular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disease, chronic kidney disease and colorectal neoplasm. Other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possible associations include obstructive sleep apnoea and osteo-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porosis. However, there is insuf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cient prospective data available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to support screening patients with these associated disorders. Risk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tabs>
          <w:tab w:pos="6322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AdvTT47a11158.B" w:hAnsi="AdvTT47a11158.B" w:eastAsia="AdvTT47a11158.B"/>
          <w:b w:val="0"/>
          <w:i w:val="0"/>
          <w:color w:val="231F20"/>
          <w:sz w:val="16"/>
        </w:rPr>
        <w:t xml:space="preserve">80 </w:t>
      </w:r>
      <w:r>
        <w:tab/>
      </w:r>
      <w:r>
        <w:rPr>
          <w:rFonts w:ascii="AdvTT9ce5b9b8.I" w:hAnsi="AdvTT9ce5b9b8.I" w:eastAsia="AdvTT9ce5b9b8.I"/>
          <w:b w:val="0"/>
          <w:i w:val="0"/>
          <w:color w:val="231F20"/>
          <w:sz w:val="13"/>
        </w:rPr>
        <w:t>Journal of Gastroenterology and Hepatology</w:t>
      </w:r>
      <w:r>
        <w:rPr>
          <w:rFonts w:ascii="AdvTT47a11158.B" w:hAnsi="AdvTT47a11158.B" w:eastAsia="AdvTT47a11158.B"/>
          <w:b w:val="0"/>
          <w:i w:val="0"/>
          <w:color w:val="231F20"/>
          <w:sz w:val="13"/>
        </w:rPr>
        <w:t xml:space="preserve"> 33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 xml:space="preserve"> (2018) 70</w:t>
      </w:r>
      <w:r>
        <w:rPr>
          <w:rFonts w:ascii="20" w:hAnsi="20" w:eastAsia="20"/>
          <w:b w:val="0"/>
          <w:i w:val="0"/>
          <w:color w:val="231F20"/>
          <w:sz w:val="13"/>
        </w:rPr>
        <w:t>–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>85</w:t>
      </w:r>
    </w:p>
    <w:p>
      <w:pPr>
        <w:autoSpaceDN w:val="0"/>
        <w:autoSpaceDE w:val="0"/>
        <w:widowControl/>
        <w:spacing w:line="130" w:lineRule="exact" w:before="62" w:after="0"/>
        <w:ind w:left="0" w:right="20" w:firstLine="0"/>
        <w:jc w:val="right"/>
      </w:pPr>
      <w:r>
        <w:rPr>
          <w:rFonts w:ascii="AdvTT080e16ec" w:hAnsi="AdvTT080e16ec" w:eastAsia="AdvTT080e16ec"/>
          <w:b w:val="0"/>
          <w:i w:val="0"/>
          <w:color w:val="231F20"/>
          <w:sz w:val="13"/>
        </w:rPr>
        <w:t>© 2017 Journal of Gastroenterology and Hepatology Foundation and John Wiley &amp; Sons Australia, Ltd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tabs>
          <w:tab w:pos="7768" w:val="left"/>
        </w:tabs>
        <w:autoSpaceDE w:val="0"/>
        <w:widowControl/>
        <w:spacing w:line="152" w:lineRule="exact" w:before="0" w:after="442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>VW-S Wong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et al. </w:t>
      </w:r>
      <w:r>
        <w:tab/>
      </w:r>
      <w:r>
        <w:rPr>
          <w:rFonts w:ascii="AdvTTc8c83e50" w:hAnsi="AdvTTc8c83e50" w:eastAsia="AdvTTc8c83e50"/>
          <w:b w:val="0"/>
          <w:i w:val="0"/>
          <w:color w:val="231F20"/>
          <w:sz w:val="15"/>
        </w:rPr>
        <w:t>Asia-Pacific NAFLD guidelines</w:t>
      </w:r>
    </w:p>
    <w:p>
      <w:pPr>
        <w:sectPr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144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>assessment for patients with such conditions should be individual-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ized. (B1)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6.14 There is a need to de</w:t>
      </w:r>
      <w:r>
        <w:rPr>
          <w:rFonts w:ascii="20" w:hAnsi="20" w:eastAsia="20"/>
          <w:b w:val="0"/>
          <w:i w:val="0"/>
          <w:color w:val="231F20"/>
          <w:sz w:val="18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ne Asian patients with NAFLD who are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at the greatest risk of developing metabolic complications and for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whom, cost effective interventional therapies can be tested. (C1)</w:t>
      </w:r>
    </w:p>
    <w:p>
      <w:pPr>
        <w:autoSpaceDN w:val="0"/>
        <w:autoSpaceDE w:val="0"/>
        <w:widowControl/>
        <w:spacing w:line="220" w:lineRule="exact" w:before="448" w:after="0"/>
        <w:ind w:left="0" w:right="0" w:firstLine="0"/>
        <w:jc w:val="left"/>
      </w:pPr>
      <w:r>
        <w:rPr>
          <w:rFonts w:ascii="AdvTTb9655705.B" w:hAnsi="AdvTTb9655705.B" w:eastAsia="AdvTTb9655705.B"/>
          <w:b w:val="0"/>
          <w:i w:val="0"/>
          <w:color w:val="231F20"/>
          <w:sz w:val="22"/>
        </w:rPr>
        <w:t>Acknowledgment</w:t>
      </w:r>
    </w:p>
    <w:p>
      <w:pPr>
        <w:autoSpaceDN w:val="0"/>
        <w:autoSpaceDE w:val="0"/>
        <w:widowControl/>
        <w:spacing w:line="220" w:lineRule="exact" w:before="108" w:after="0"/>
        <w:ind w:left="0" w:right="220" w:firstLine="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The authors would like to thank Mr Michael Lau for his editorial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 xml:space="preserve">support. The preparation of this manuscript was supported by the </w:t>
      </w:r>
      <w:r>
        <w:rPr>
          <w:rFonts w:ascii="AdvTT6120e2aa" w:hAnsi="AdvTT6120e2aa" w:eastAsia="AdvTT6120e2aa"/>
          <w:b w:val="0"/>
          <w:i w:val="0"/>
          <w:color w:val="231F20"/>
          <w:sz w:val="18"/>
        </w:rPr>
        <w:t>Journal of Gastroenterology and Hepatology Foundation.</w:t>
      </w:r>
    </w:p>
    <w:p>
      <w:pPr>
        <w:autoSpaceDN w:val="0"/>
        <w:autoSpaceDE w:val="0"/>
        <w:widowControl/>
        <w:spacing w:line="220" w:lineRule="exact" w:before="688" w:after="0"/>
        <w:ind w:left="0" w:right="0" w:firstLine="0"/>
        <w:jc w:val="left"/>
      </w:pPr>
      <w:r>
        <w:rPr>
          <w:rFonts w:ascii="AdvTTb9655705.B" w:hAnsi="AdvTTb9655705.B" w:eastAsia="AdvTTb9655705.B"/>
          <w:b w:val="0"/>
          <w:i w:val="0"/>
          <w:color w:val="231F20"/>
          <w:sz w:val="22"/>
        </w:rPr>
        <w:t>References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60" w:space="0"/>
            <w:col w:w="4902" w:space="0"/>
          </w:cols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460" w:right="576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pediatric chronic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Gastroenterology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2010;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138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: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1357-64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64 e1-2.</w:t>
      </w:r>
    </w:p>
    <w:p>
      <w:pPr>
        <w:autoSpaceDN w:val="0"/>
        <w:autoSpaceDE w:val="0"/>
        <w:widowControl/>
        <w:spacing w:line="200" w:lineRule="exact" w:before="2" w:after="0"/>
        <w:ind w:left="460" w:right="0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16 Molleston JP, Schwimmer JB, Yates KP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Histological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abnormalities in children with nonalcoholic fatty liver disease and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normal or mildly elevated alanine aminotransferase levels.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Pediatr.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2014;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164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707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13 e3.</w:t>
      </w:r>
    </w:p>
    <w:p>
      <w:pPr>
        <w:autoSpaceDN w:val="0"/>
        <w:autoSpaceDE w:val="0"/>
        <w:widowControl/>
        <w:spacing w:line="200" w:lineRule="exact" w:before="0" w:after="0"/>
        <w:ind w:left="460" w:right="0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17 Schwimmer JB, Deutsch R, Kahen T, Lavine JE, Stanley C, Behling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C. Prevalence of fatty liver in children and adolescents.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Pediatrics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2006;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118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1388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93.</w:t>
      </w:r>
    </w:p>
    <w:p>
      <w:pPr>
        <w:autoSpaceDN w:val="0"/>
        <w:autoSpaceDE w:val="0"/>
        <w:widowControl/>
        <w:spacing w:line="200" w:lineRule="exact" w:before="0" w:after="0"/>
        <w:ind w:left="460" w:right="20" w:hanging="24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18 Rorat M, Jurek T, Kuchar E, Szenborn L, Golema W, Halon A. Liver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steatosis in Polish children assessed by medicolegal autopsies.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World 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J. Pediatr.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2013;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9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68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72.</w:t>
      </w:r>
    </w:p>
    <w:p>
      <w:pPr>
        <w:autoSpaceDN w:val="0"/>
        <w:tabs>
          <w:tab w:pos="460" w:val="left"/>
        </w:tabs>
        <w:autoSpaceDE w:val="0"/>
        <w:widowControl/>
        <w:spacing w:line="200" w:lineRule="exact" w:before="0" w:after="0"/>
        <w:ind w:left="2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19 Molleston JP, White F, Teckman J, Fitzgerald JF. Obese children with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steatohepatitis can develop cirrhosis in childhood.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Am. J.</w:t>
      </w:r>
    </w:p>
    <w:p>
      <w:pPr>
        <w:autoSpaceDN w:val="0"/>
        <w:autoSpaceDE w:val="0"/>
        <w:widowControl/>
        <w:spacing w:line="166" w:lineRule="exact" w:before="32" w:after="0"/>
        <w:ind w:left="460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Gastroenterol.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2002;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97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2460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2.</w:t>
      </w:r>
    </w:p>
    <w:p>
      <w:pPr>
        <w:autoSpaceDN w:val="0"/>
        <w:autoSpaceDE w:val="0"/>
        <w:widowControl/>
        <w:spacing w:line="198" w:lineRule="exact" w:before="0" w:after="22"/>
        <w:ind w:left="460" w:right="0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20 Anderson EL, Howe LD, Jones HE, Higgins JP, Lawlor DA, Fraser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A. The prevalence of non-alcoholic fatty liver disease in children and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adolescents: a systematic review and meta-analysis.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PLoS One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2015;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60" w:space="0"/>
            <w:col w:w="4902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6" w:lineRule="exact" w:before="0" w:after="32"/>
        <w:ind w:left="16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 Farrell GC, Chitturi S, Lau GK, Sollano JD, Asia-Paci</w:t>
      </w:r>
      <w:r>
        <w:rPr>
          <w:rFonts w:ascii="20" w:hAnsi="20" w:eastAsia="20"/>
          <w:b w:val="0"/>
          <w:i w:val="0"/>
          <w:color w:val="231F20"/>
          <w:sz w:val="16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c Working </w:t>
      </w:r>
      <w:r>
        <w:tab/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>10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e0140908.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320" w:right="288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Party on N. Guidelines for the assessment and management of non-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alcoholic fatty liver disease in the Asia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Paci</w:t>
      </w:r>
      <w:r>
        <w:rPr>
          <w:rFonts w:ascii="20" w:hAnsi="20" w:eastAsia="20"/>
          <w:b w:val="0"/>
          <w:i w:val="0"/>
          <w:color w:val="231F20"/>
          <w:sz w:val="16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c region: executive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summary.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Gastroenterol.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2007;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22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775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7.</w:t>
      </w:r>
    </w:p>
    <w:p>
      <w:pPr>
        <w:autoSpaceDN w:val="0"/>
        <w:tabs>
          <w:tab w:pos="320" w:val="left"/>
        </w:tabs>
        <w:autoSpaceDE w:val="0"/>
        <w:widowControl/>
        <w:spacing w:line="198" w:lineRule="exact" w:before="4" w:after="0"/>
        <w:ind w:left="160" w:right="288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2 Atkins D, Best D, Briss PA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Grading quality of evidence and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strength of recommendations.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BMJ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2004;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328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1490.</w:t>
      </w:r>
    </w:p>
    <w:p>
      <w:pPr>
        <w:autoSpaceDN w:val="0"/>
        <w:autoSpaceDE w:val="0"/>
        <w:widowControl/>
        <w:spacing w:line="198" w:lineRule="exact" w:before="4" w:after="0"/>
        <w:ind w:left="320" w:right="288" w:hanging="16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3 Younossi ZM, Koenig AB, Abdelatif D, Fazel Y, Henry L, Wymer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M. Global epidemiology of nonalcoholic fatty liver disease</w:t>
      </w:r>
      <w:r>
        <w:rPr>
          <w:rFonts w:ascii="20" w:hAnsi="20" w:eastAsia="20"/>
          <w:b w:val="0"/>
          <w:i w:val="0"/>
          <w:color w:val="231F20"/>
          <w:sz w:val="16"/>
        </w:rPr>
        <w:t>—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meta-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analytic assessment of prevalence, incidence, and outcomes.</w:t>
      </w:r>
    </w:p>
    <w:p>
      <w:pPr>
        <w:autoSpaceDN w:val="0"/>
        <w:autoSpaceDE w:val="0"/>
        <w:widowControl/>
        <w:spacing w:line="168" w:lineRule="exact" w:before="34" w:after="0"/>
        <w:ind w:left="320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Hepatology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2016;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64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73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84.</w:t>
      </w:r>
    </w:p>
    <w:p>
      <w:pPr>
        <w:autoSpaceDN w:val="0"/>
        <w:tabs>
          <w:tab w:pos="320" w:val="left"/>
        </w:tabs>
        <w:autoSpaceDE w:val="0"/>
        <w:widowControl/>
        <w:spacing w:line="200" w:lineRule="exact" w:before="0" w:after="0"/>
        <w:ind w:left="160" w:right="144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4 Farrell GC, Wong VW, Chitturi S. NAFLD in Asia</w:t>
      </w:r>
      <w:r>
        <w:rPr>
          <w:rFonts w:ascii="20" w:hAnsi="20" w:eastAsia="20"/>
          <w:b w:val="0"/>
          <w:i w:val="0"/>
          <w:color w:val="231F20"/>
          <w:sz w:val="16"/>
        </w:rPr>
        <w:t>—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as common and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important as in the West.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Nat Rev Gastroenterol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2013;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60" w:space="0"/>
            <w:col w:w="4902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460" w:right="0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21 Koehler EM, Schouten JN, Hansen BE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Prevalence and risk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factors of non-alcoholic fatty liver disease in the elderly: results from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the Rotterdam study.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2012;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57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1305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11.</w:t>
      </w:r>
    </w:p>
    <w:p>
      <w:pPr>
        <w:autoSpaceDN w:val="0"/>
        <w:tabs>
          <w:tab w:pos="460" w:val="left"/>
        </w:tabs>
        <w:autoSpaceDE w:val="0"/>
        <w:widowControl/>
        <w:spacing w:line="198" w:lineRule="exact" w:before="4" w:after="0"/>
        <w:ind w:left="220" w:right="144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22 Kim IH, Kisseleva T, Brenner DA. Aging and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Curr. </w:t>
      </w:r>
      <w:r>
        <w:tab/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Opin. Gastroenterol.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31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184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91.</w:t>
      </w:r>
    </w:p>
    <w:p>
      <w:pPr>
        <w:autoSpaceDN w:val="0"/>
        <w:autoSpaceDE w:val="0"/>
        <w:widowControl/>
        <w:spacing w:line="198" w:lineRule="exact" w:before="4" w:after="0"/>
        <w:ind w:left="460" w:right="288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23 Nazim M, Stamp G, Hodgson HJ. Non-alcoholic steatohepatitis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associated with small intestinal diverticulosis and bacterial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overgrowth.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Hepato-Gastroenterology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1989;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36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349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51.</w:t>
      </w:r>
    </w:p>
    <w:p>
      <w:pPr>
        <w:autoSpaceDN w:val="0"/>
        <w:tabs>
          <w:tab w:pos="460" w:val="left"/>
        </w:tabs>
        <w:autoSpaceDE w:val="0"/>
        <w:widowControl/>
        <w:spacing w:line="198" w:lineRule="exact" w:before="4" w:after="0"/>
        <w:ind w:left="220" w:right="288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24 Raman M, Allard J. Non alcoholic fatty liver disease: a clinical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approach and review.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Can. J. Gastroenterol.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2006;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345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9.</w:t>
      </w:r>
    </w:p>
    <w:p>
      <w:pPr>
        <w:autoSpaceDN w:val="0"/>
        <w:autoSpaceDE w:val="0"/>
        <w:widowControl/>
        <w:spacing w:line="160" w:lineRule="exact" w:before="40" w:after="34"/>
        <w:ind w:left="2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25 Younossi ZM. Nonalcoholic 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Curr Gastroenterol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60" w:space="0"/>
            <w:col w:w="4902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6" w:lineRule="exact" w:before="0" w:after="40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307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18. </w:t>
      </w:r>
      <w:r>
        <w:tab/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Rep.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1999;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57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62.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320" w:right="218" w:hanging="16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5 Xu C, Yu C, Ma H, Xu L, Miao M, Li Y. Prevalence and risk factors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for the development of nonalcoholic fatty liver disease in a nonobese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Chinese population: the Zhejiang Zhenhai Study.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Am. J.</w:t>
      </w:r>
    </w:p>
    <w:p>
      <w:pPr>
        <w:autoSpaceDN w:val="0"/>
        <w:autoSpaceDE w:val="0"/>
        <w:widowControl/>
        <w:spacing w:line="168" w:lineRule="exact" w:before="34" w:after="0"/>
        <w:ind w:left="320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Gastroenterol.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2013;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108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1299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304.</w:t>
      </w:r>
    </w:p>
    <w:p>
      <w:pPr>
        <w:autoSpaceDN w:val="0"/>
        <w:autoSpaceDE w:val="0"/>
        <w:widowControl/>
        <w:spacing w:line="198" w:lineRule="exact" w:before="2" w:after="0"/>
        <w:ind w:left="144" w:right="432" w:firstLine="0"/>
        <w:jc w:val="center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6 Fan JG. Epidemiology of alcoholic and nonalcoholic fatty liver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disease in China.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Gastroenterol.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2013;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28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11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7.</w:t>
      </w:r>
    </w:p>
    <w:p>
      <w:pPr>
        <w:autoSpaceDN w:val="0"/>
        <w:autoSpaceDE w:val="0"/>
        <w:widowControl/>
        <w:spacing w:line="198" w:lineRule="exact" w:before="4" w:after="0"/>
        <w:ind w:left="320" w:right="288" w:hanging="16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7 Wong VW, Wong GL, Choi PC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Disease progression of non-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alcoholic fatty liver disease: a prospective study with paired liver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biopsies at 3 years.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Gut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2010;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59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969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74.</w:t>
      </w:r>
    </w:p>
    <w:p>
      <w:pPr>
        <w:autoSpaceDN w:val="0"/>
        <w:autoSpaceDE w:val="0"/>
        <w:widowControl/>
        <w:spacing w:line="160" w:lineRule="exact" w:before="42" w:after="0"/>
        <w:ind w:left="16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8 Tokushige K, Hashimoto E, Kodama K. Hepatocarcinogenesis in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60" w:space="0"/>
            <w:col w:w="4902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460" w:right="0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26 Zivkovic AM, German JB, Sanyal AJ. Comparative review of diets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for the metabolic syndrome: implications for nonalcoholic fatty liver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Am. J. Clin. Nutr.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2007;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86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285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300.</w:t>
      </w:r>
    </w:p>
    <w:p>
      <w:pPr>
        <w:autoSpaceDN w:val="0"/>
        <w:tabs>
          <w:tab w:pos="460" w:val="left"/>
        </w:tabs>
        <w:autoSpaceDE w:val="0"/>
        <w:widowControl/>
        <w:spacing w:line="202" w:lineRule="exact" w:before="0" w:after="0"/>
        <w:ind w:left="220" w:right="576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27 Angulo P, Lindor KD. Insulin resistance and mitochondrial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abnormalities in NASH: a cool look into a burning issue.</w:t>
      </w:r>
    </w:p>
    <w:p>
      <w:pPr>
        <w:autoSpaceDN w:val="0"/>
        <w:autoSpaceDE w:val="0"/>
        <w:widowControl/>
        <w:spacing w:line="166" w:lineRule="exact" w:before="32" w:after="0"/>
        <w:ind w:left="460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Gastroenterology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2001;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120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1281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5.</w:t>
      </w:r>
    </w:p>
    <w:p>
      <w:pPr>
        <w:autoSpaceDN w:val="0"/>
        <w:autoSpaceDE w:val="0"/>
        <w:widowControl/>
        <w:spacing w:line="200" w:lineRule="exact" w:before="2" w:after="32"/>
        <w:ind w:left="460" w:right="0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28 Salmenniemi U, Ruotsalainen E, Pihlajamaki J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Multiple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abnormalities in glucose and energy metabolism and coordinated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changes in levels of adiponectin, cytokines, and adhesion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molecules in subjects with metabolic syndrome.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Circulation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2004;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60" w:space="0"/>
            <w:col w:w="4902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0" w:lineRule="exact" w:before="0" w:after="34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non-alcoholic fatty liver disease in Japan.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Gastroenterol. Hepatol. </w:t>
      </w:r>
      <w:r>
        <w:tab/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>110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3842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8.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8" w:lineRule="exact" w:before="0" w:after="0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2013;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28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88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92.</w:t>
      </w:r>
    </w:p>
    <w:p>
      <w:pPr>
        <w:autoSpaceDN w:val="0"/>
        <w:autoSpaceDE w:val="0"/>
        <w:widowControl/>
        <w:spacing w:line="198" w:lineRule="exact" w:before="0" w:after="0"/>
        <w:ind w:left="144" w:right="144" w:firstLine="0"/>
        <w:jc w:val="center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9 Tominaga K, Kurata JH, Chen YK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Prevalence of fatty liver in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Japanese children and relationship to obesity. An epidemiological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40" w:space="0"/>
            <w:col w:w="4922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34"/>
        <w:ind w:left="480" w:right="0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29 Wong VW-S, Chitturi S, Wong GL-H, Yu J, Chan HL-Y,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Farrell GC. Pathogenesis and novel treatment options for non-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alcoholic steatohepatitis.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Lancet Gastroenterol.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2016;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40" w:space="0"/>
            <w:col w:w="4922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8" w:lineRule="exact" w:before="0" w:after="0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ultrasonographic survey.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Dig. Dis. Sci.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1995;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40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2002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9. </w:t>
      </w:r>
      <w:r>
        <w:tab/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>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56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67.</w:t>
      </w:r>
    </w:p>
    <w:p>
      <w:pPr>
        <w:autoSpaceDN w:val="0"/>
        <w:tabs>
          <w:tab w:pos="5180" w:val="left"/>
        </w:tabs>
        <w:autoSpaceDE w:val="0"/>
        <w:widowControl/>
        <w:spacing w:line="160" w:lineRule="exact" w:before="38" w:after="0"/>
        <w:ind w:left="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10 Wan YP, Xu RY, Fang H, Lu LP, Zhang XM, Cai W. The prevalence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30 Timlin MT, Parks EJ. Temporal pattern of de novo lipogenesis in</w:t>
      </w:r>
    </w:p>
    <w:p>
      <w:pPr>
        <w:autoSpaceDN w:val="0"/>
        <w:tabs>
          <w:tab w:pos="5420" w:val="left"/>
        </w:tabs>
        <w:autoSpaceDE w:val="0"/>
        <w:widowControl/>
        <w:spacing w:line="168" w:lineRule="exact" w:before="26" w:after="0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of non-alcoholic fatty liver disease and its related risk factors in 1180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the postprandial state in healthy men.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Am. J. Clin. Nutr.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81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</w:t>
      </w:r>
    </w:p>
    <w:p>
      <w:pPr>
        <w:autoSpaceDN w:val="0"/>
        <w:tabs>
          <w:tab w:pos="5420" w:val="left"/>
        </w:tabs>
        <w:autoSpaceDE w:val="0"/>
        <w:widowControl/>
        <w:spacing w:line="166" w:lineRule="exact" w:before="26" w:after="0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school children in Shanghai.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Zhonghua Gan Zang Bing Za Zhi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2007;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35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42.</w:t>
      </w:r>
    </w:p>
    <w:p>
      <w:pPr>
        <w:autoSpaceDN w:val="0"/>
        <w:tabs>
          <w:tab w:pos="5180" w:val="left"/>
        </w:tabs>
        <w:autoSpaceDE w:val="0"/>
        <w:widowControl/>
        <w:spacing w:line="166" w:lineRule="exact" w:before="34" w:after="0"/>
        <w:ind w:left="320" w:right="0" w:firstLine="0"/>
        <w:jc w:val="left"/>
      </w:pP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>15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644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8.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31 Hamaguchi M, Kojima T, Takeda N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The metabolic syndrome as</w:t>
      </w:r>
    </w:p>
    <w:p>
      <w:pPr>
        <w:autoSpaceDN w:val="0"/>
        <w:tabs>
          <w:tab w:pos="5420" w:val="left"/>
        </w:tabs>
        <w:autoSpaceDE w:val="0"/>
        <w:widowControl/>
        <w:spacing w:line="162" w:lineRule="exact" w:before="38" w:after="0"/>
        <w:ind w:left="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11 Lin Y-C, Chang P-F, Lin H-F, Liu K, Chang M-H, Ni Y-H. Variants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 predictor of nonalcoholic 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Ann. Intern. Med.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2005;</w:t>
      </w:r>
    </w:p>
    <w:p>
      <w:pPr>
        <w:autoSpaceDN w:val="0"/>
        <w:tabs>
          <w:tab w:pos="5420" w:val="left"/>
        </w:tabs>
        <w:autoSpaceDE w:val="0"/>
        <w:widowControl/>
        <w:spacing w:line="166" w:lineRule="exact" w:before="26" w:after="40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in the autophagy-related gene IRGM confer susceptibility to non-</w:t>
      </w:r>
      <w:r>
        <w:tab/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>143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722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8.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2" w:lineRule="exact" w:before="0" w:after="0"/>
        <w:ind w:left="320" w:right="288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alcoholic fatty liver disease by modulating lipophagy.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Hepatol.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2016;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65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1209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16.</w:t>
      </w:r>
    </w:p>
    <w:p>
      <w:pPr>
        <w:autoSpaceDN w:val="0"/>
        <w:autoSpaceDE w:val="0"/>
        <w:widowControl/>
        <w:spacing w:line="200" w:lineRule="exact" w:before="0" w:after="0"/>
        <w:ind w:left="320" w:right="144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12 Dasarathy S, Dasarathy J, Khiyami A, Joseph R, Lopez R,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McCullough AJ. Validity of real time ultrasound in the diagnosis of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hepatic steatosis: a prospective study.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2009;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1061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7.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44" w:space="0"/>
            <w:col w:w="4918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476" w:right="288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32 Byrne CD, Targher G. Ectopic fat, insulin resistance, and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nonalcoholic fatty liver disease: implications for cardiovascular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Arterioscler. Thromb. Vasc. Biol.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2014;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34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1155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61.</w:t>
      </w:r>
    </w:p>
    <w:p>
      <w:pPr>
        <w:autoSpaceDN w:val="0"/>
        <w:tabs>
          <w:tab w:pos="476" w:val="left"/>
        </w:tabs>
        <w:autoSpaceDE w:val="0"/>
        <w:widowControl/>
        <w:spacing w:line="198" w:lineRule="exact" w:before="4" w:after="34"/>
        <w:ind w:left="236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33 Loria P, Lonardo A, Carulli L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Review article: the metabolic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syndrome and non-alcoholic 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Aliment. Pharmacol.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44" w:space="0"/>
            <w:col w:w="4918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0" w:lineRule="exact" w:before="0" w:after="42"/>
        <w:ind w:left="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13 Park HS, Han JH, Choi KM, Kim SM. Relation between elevated </w:t>
      </w:r>
      <w:r>
        <w:tab/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Ther.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22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31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36.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320" w:right="144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serum alanine aminotransferase and metabolic syndrome in Korean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adolescents.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Am. J. Clin. Nutr.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82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1046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51.</w:t>
      </w:r>
    </w:p>
    <w:p>
      <w:pPr>
        <w:autoSpaceDN w:val="0"/>
        <w:autoSpaceDE w:val="0"/>
        <w:widowControl/>
        <w:spacing w:line="160" w:lineRule="exact" w:before="42" w:after="0"/>
        <w:ind w:left="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14 Kawasaki T, Hashimoto N, Kikuchi T, Takahashi H, Uchiyama M.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10" w:space="0"/>
            <w:col w:w="4952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32"/>
        <w:ind w:left="510" w:right="0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34 Chitturi S, Farrell GC, Hashimoto E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Non-alcoholic fatty liver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disease in the Asia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Paci</w:t>
      </w:r>
      <w:r>
        <w:rPr>
          <w:rFonts w:ascii="20" w:hAnsi="20" w:eastAsia="20"/>
          <w:b w:val="0"/>
          <w:i w:val="0"/>
          <w:color w:val="231F20"/>
          <w:sz w:val="16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c region: de</w:t>
      </w:r>
      <w:r>
        <w:rPr>
          <w:rFonts w:ascii="20" w:hAnsi="20" w:eastAsia="20"/>
          <w:b w:val="0"/>
          <w:i w:val="0"/>
          <w:color w:val="231F20"/>
          <w:sz w:val="16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nitions and overview of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proposed guidelines.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Gastroenterol.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2007;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22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10" w:space="0"/>
            <w:col w:w="4952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0" w:lineRule="exact" w:before="0" w:after="34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The relationship between fatty liver and hyperinsulinemia in obese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778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87.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218" w:firstLine="0"/>
        <w:jc w:val="righ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Japanese children.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Pediatr. Gastroenterol. Nutr.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1997;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24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317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21.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15 Schwimmer JB, Dunn W, Norman GJ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SAFETY study: alanine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aminotransferase cutoff values are set too high for reliable detection of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60" w:space="0"/>
            <w:col w:w="4902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438"/>
        <w:ind w:left="460" w:right="0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35 Koh JC, Loo WM, Goh KL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Asian consensus on the relationship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between obesity and gastrointestinal and liver diseases. </w:t>
      </w:r>
      <w:r>
        <w:br/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J. Gastroenterol.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2016;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31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1405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13.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60" w:space="0"/>
            <w:col w:w="4902" w:space="0"/>
          </w:cols>
          <w:docGrid w:linePitch="360"/>
        </w:sectPr>
      </w:pPr>
    </w:p>
    <w:p>
      <w:pPr>
        <w:autoSpaceDN w:val="0"/>
        <w:tabs>
          <w:tab w:pos="9642" w:val="left"/>
        </w:tabs>
        <w:autoSpaceDE w:val="0"/>
        <w:widowControl/>
        <w:spacing w:line="134" w:lineRule="exact" w:before="0" w:after="0"/>
        <w:ind w:left="0" w:right="0" w:firstLine="0"/>
        <w:jc w:val="left"/>
      </w:pPr>
      <w:r>
        <w:rPr>
          <w:rFonts w:ascii="AdvTT9ce5b9b8.I" w:hAnsi="AdvTT9ce5b9b8.I" w:eastAsia="AdvTT9ce5b9b8.I"/>
          <w:b w:val="0"/>
          <w:i w:val="0"/>
          <w:color w:val="231F20"/>
          <w:sz w:val="13"/>
        </w:rPr>
        <w:t>Journal of Gastroenterology and Hepatology</w:t>
      </w:r>
      <w:r>
        <w:rPr>
          <w:rFonts w:ascii="AdvTT47a11158.B" w:hAnsi="AdvTT47a11158.B" w:eastAsia="AdvTT47a11158.B"/>
          <w:b w:val="0"/>
          <w:i w:val="0"/>
          <w:color w:val="231F20"/>
          <w:sz w:val="13"/>
        </w:rPr>
        <w:t xml:space="preserve"> 33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 xml:space="preserve"> (2018) 70</w:t>
      </w:r>
      <w:r>
        <w:rPr>
          <w:rFonts w:ascii="20" w:hAnsi="20" w:eastAsia="20"/>
          <w:b w:val="0"/>
          <w:i w:val="0"/>
          <w:color w:val="231F20"/>
          <w:sz w:val="13"/>
        </w:rPr>
        <w:t>–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 xml:space="preserve">85 </w:t>
      </w:r>
      <w:r>
        <w:tab/>
      </w:r>
      <w:r>
        <w:rPr>
          <w:rFonts w:ascii="AdvTT47a11158.B" w:hAnsi="AdvTT47a11158.B" w:eastAsia="AdvTT47a11158.B"/>
          <w:b w:val="0"/>
          <w:i w:val="0"/>
          <w:color w:val="231F20"/>
          <w:sz w:val="16"/>
        </w:rPr>
        <w:t>81</w:t>
      </w:r>
    </w:p>
    <w:p>
      <w:pPr>
        <w:autoSpaceDN w:val="0"/>
        <w:autoSpaceDE w:val="0"/>
        <w:widowControl/>
        <w:spacing w:line="130" w:lineRule="exact" w:before="62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3"/>
        </w:rPr>
        <w:t>© 2017 Journal of Gastroenterology and Hepatology Foundation and John Wiley &amp; Sons Australia, Ltd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tabs>
          <w:tab w:pos="8652" w:val="left"/>
        </w:tabs>
        <w:autoSpaceDE w:val="0"/>
        <w:widowControl/>
        <w:spacing w:line="150" w:lineRule="exact" w:before="0" w:after="438"/>
        <w:ind w:left="0" w:right="0" w:firstLine="0"/>
        <w:jc w:val="left"/>
      </w:pPr>
      <w:r>
        <w:rPr>
          <w:rFonts w:ascii="AdvTTc8c83e50" w:hAnsi="AdvTTc8c83e50" w:eastAsia="AdvTTc8c83e50"/>
          <w:b w:val="0"/>
          <w:i w:val="0"/>
          <w:color w:val="231F20"/>
          <w:sz w:val="15"/>
        </w:rPr>
        <w:t xml:space="preserve">Asia-Pacific NAFLD guidelines </w:t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VW-S Wong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et al.</w:t>
      </w:r>
    </w:p>
    <w:p>
      <w:pPr>
        <w:sectPr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318" w:right="144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36 Li L, Liu DW, Yan HY, Wang ZY, Zhao SH, Wang B. Obesity is an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independent risk factor for non-alcoholic fatty liver disease: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evidenceo from a meta-analysis of 21 cohort studies.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Obes. Rev.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2016;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959" w:space="0"/>
            <w:col w:w="490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144" w:right="0" w:firstLine="0"/>
        <w:jc w:val="center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57 Hashimoto E, Taniai M, Tokushige K. Characteristics and diagnosis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of NAFLD/NASH.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Gastroenterol.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2013;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28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64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70.</w:t>
      </w:r>
    </w:p>
    <w:p>
      <w:pPr>
        <w:autoSpaceDN w:val="0"/>
        <w:autoSpaceDE w:val="0"/>
        <w:widowControl/>
        <w:spacing w:line="160" w:lineRule="exact" w:before="42" w:after="32"/>
        <w:ind w:left="218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58 Okanoue T, Umemura A, Yasui K, Itoh Y. Nonalcoholic fatty liver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959" w:space="0"/>
            <w:col w:w="4900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6" w:lineRule="exact" w:before="0" w:after="38"/>
        <w:ind w:left="318" w:right="0" w:firstLine="0"/>
        <w:jc w:val="left"/>
      </w:pP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>17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510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19.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disease and nonalcoholic steatohepatitis in Japan.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Gastroenterol.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tabs>
          <w:tab w:pos="318" w:val="left"/>
        </w:tabs>
        <w:autoSpaceDE w:val="0"/>
        <w:widowControl/>
        <w:spacing w:line="180" w:lineRule="exact" w:before="0" w:after="0"/>
        <w:ind w:left="78" w:right="144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37 Neuschwander-Tetri BA. Fatty liver and nonalcoholic steatohepatitis. </w:t>
      </w:r>
      <w:r>
        <w:tab/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Clin. Cornerstone.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2001;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3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47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57.</w:t>
      </w:r>
    </w:p>
    <w:p>
      <w:pPr>
        <w:autoSpaceDN w:val="0"/>
        <w:tabs>
          <w:tab w:pos="318" w:val="left"/>
        </w:tabs>
        <w:autoSpaceDE w:val="0"/>
        <w:widowControl/>
        <w:spacing w:line="198" w:lineRule="exact" w:before="4" w:after="0"/>
        <w:ind w:left="78" w:right="144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38 Than NN, Newsome PN. A concise review of non-alcoholic fatty liver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Atherosclerosis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239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192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202.</w:t>
      </w:r>
    </w:p>
    <w:p>
      <w:pPr>
        <w:autoSpaceDN w:val="0"/>
        <w:autoSpaceDE w:val="0"/>
        <w:widowControl/>
        <w:spacing w:line="200" w:lineRule="exact" w:before="0" w:after="0"/>
        <w:ind w:left="318" w:right="144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39 Zelber-Sagi S, Lotan R, Shlomai A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Predictors for incidence and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remission of NAFLD in the general population during a seven-year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prospective follow-up.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2012;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56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1145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51.</w:t>
      </w:r>
    </w:p>
    <w:p>
      <w:pPr>
        <w:autoSpaceDN w:val="0"/>
        <w:autoSpaceDE w:val="0"/>
        <w:widowControl/>
        <w:spacing w:line="198" w:lineRule="exact" w:before="4" w:after="0"/>
        <w:ind w:left="318" w:right="144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40 Cho JY, Chung TH, Lim KM, Park HJ, Jang JM. The impact of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weight changes on nonalcoholic fatty liver disease in adult men with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normal weight.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Korean J. Fam. Med.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2014;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35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243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50.</w:t>
      </w:r>
    </w:p>
    <w:p>
      <w:pPr>
        <w:autoSpaceDN w:val="0"/>
        <w:tabs>
          <w:tab w:pos="318" w:val="left"/>
        </w:tabs>
        <w:autoSpaceDE w:val="0"/>
        <w:widowControl/>
        <w:spacing w:line="198" w:lineRule="exact" w:before="4" w:after="0"/>
        <w:ind w:left="78" w:right="288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41 Abu-Shanab A, Quigley EM. The role of the gut microbiota in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nonalcoholic 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Nat. Rev. Gastroenterol. Hepatol.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959" w:space="0"/>
            <w:col w:w="4900" w:space="0"/>
          </w:cols>
          <w:docGrid w:linePitch="360"/>
        </w:sectPr>
      </w:pPr>
    </w:p>
    <w:p>
      <w:pPr>
        <w:autoSpaceDN w:val="0"/>
        <w:autoSpaceDE w:val="0"/>
        <w:widowControl/>
        <w:spacing w:line="166" w:lineRule="exact" w:before="0" w:after="0"/>
        <w:ind w:left="460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2011;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26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153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62.</w:t>
      </w:r>
    </w:p>
    <w:p>
      <w:pPr>
        <w:autoSpaceDN w:val="0"/>
        <w:autoSpaceDE w:val="0"/>
        <w:widowControl/>
        <w:spacing w:line="160" w:lineRule="exact" w:before="42" w:after="0"/>
        <w:ind w:left="218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59 McPherson S, Hardy T, Henderson E, Burt AD, Day CP, Anstee QM.</w:t>
      </w:r>
    </w:p>
    <w:p>
      <w:pPr>
        <w:autoSpaceDN w:val="0"/>
        <w:autoSpaceDE w:val="0"/>
        <w:widowControl/>
        <w:spacing w:line="200" w:lineRule="exact" w:before="0" w:after="0"/>
        <w:ind w:left="46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Evidence of NAFLD progression from steatosis to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brosing-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steatohepatitis using paired biopsies: implications for prognosis and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clinical management.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62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1148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55.</w:t>
      </w:r>
    </w:p>
    <w:p>
      <w:pPr>
        <w:autoSpaceDN w:val="0"/>
        <w:autoSpaceDE w:val="0"/>
        <w:widowControl/>
        <w:spacing w:line="200" w:lineRule="exact" w:before="0" w:after="0"/>
        <w:ind w:left="460" w:right="20" w:hanging="242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60 Pais R, Charlotte F, Fedchuk L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A systematic review of follow-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up biopsies reveals disease progression in patients with non-alcoholic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fatty liver.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2013;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59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550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6.</w:t>
      </w:r>
    </w:p>
    <w:p>
      <w:pPr>
        <w:autoSpaceDN w:val="0"/>
        <w:autoSpaceDE w:val="0"/>
        <w:widowControl/>
        <w:spacing w:line="160" w:lineRule="exact" w:before="32" w:after="0"/>
        <w:ind w:left="0" w:right="0" w:firstLine="0"/>
        <w:jc w:val="center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61 Singh S, Allen AM, Wang Z, Prokop LJ, Murad MH, Loomba R.</w:t>
      </w:r>
    </w:p>
    <w:p>
      <w:pPr>
        <w:autoSpaceDN w:val="0"/>
        <w:autoSpaceDE w:val="0"/>
        <w:widowControl/>
        <w:spacing w:line="200" w:lineRule="exact" w:before="0" w:after="38"/>
        <w:ind w:left="46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Fibrosis progression in nonalcoholic fatty liver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vs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nonalcoholic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steatohepatitis: a systematic review and meta-analysis of paired-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biopsy studies.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Clin. Gastroenterol.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13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643-54 e1-9;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959" w:space="0"/>
            <w:col w:w="4900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8" w:lineRule="exact" w:before="0" w:after="34"/>
        <w:ind w:left="318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2010;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7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691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701.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quiz e39-40.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318" w:right="144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42 Backhed F, Ding H, Wang T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The gut microbiota as an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environmental factor that regulates fat storage.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Proc. Natl. Acad. Sci. 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U. S. A.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2004;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101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15718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23.</w:t>
      </w:r>
    </w:p>
    <w:p>
      <w:pPr>
        <w:autoSpaceDN w:val="0"/>
        <w:autoSpaceDE w:val="0"/>
        <w:widowControl/>
        <w:spacing w:line="160" w:lineRule="exact" w:before="36" w:after="0"/>
        <w:ind w:left="78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43 Backhed F, Manchester JK, Semenkovich CF, Gordon JI.</w:t>
      </w:r>
    </w:p>
    <w:p>
      <w:pPr>
        <w:autoSpaceDN w:val="0"/>
        <w:autoSpaceDE w:val="0"/>
        <w:widowControl/>
        <w:spacing w:line="200" w:lineRule="exact" w:before="0" w:after="0"/>
        <w:ind w:left="318" w:right="288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Mechanisms underlying the resistance to diet-induced obesity in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germ-free mice.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Proc. Natl. Acad. Sci. U. S. A.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2007;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104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979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84.</w:t>
      </w:r>
    </w:p>
    <w:p>
      <w:pPr>
        <w:autoSpaceDN w:val="0"/>
        <w:autoSpaceDE w:val="0"/>
        <w:widowControl/>
        <w:spacing w:line="200" w:lineRule="exact" w:before="0" w:after="0"/>
        <w:ind w:left="318" w:right="144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44 Miele L, Valenza V, La Torre G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Increased intestinal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permeability and tight junction alterations in nonalcoholic fatty liver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2009;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49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1877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87.</w:t>
      </w:r>
    </w:p>
    <w:p>
      <w:pPr>
        <w:autoSpaceDN w:val="0"/>
        <w:autoSpaceDE w:val="0"/>
        <w:widowControl/>
        <w:spacing w:line="200" w:lineRule="exact" w:before="0" w:after="0"/>
        <w:ind w:left="318" w:right="144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45 Romeo S, Kozlitina J, Xing C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Genetic variation in PNPLA3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confers susceptibility to nonalcoholic 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Nat. Genet.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2008;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40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1461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5.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959" w:space="0"/>
            <w:col w:w="4900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460" w:right="0" w:hanging="242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62 Ekstedt M, Hagstrom H, Nasr P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Fibrosis stage is the strongest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predictor for disease-speci</w:t>
      </w:r>
      <w:r>
        <w:rPr>
          <w:rFonts w:ascii="20" w:hAnsi="20" w:eastAsia="20"/>
          <w:b w:val="0"/>
          <w:i w:val="0"/>
          <w:color w:val="231F20"/>
          <w:sz w:val="16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c mortality in NAFLD after up to 33 years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of follow-up.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61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1547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54.</w:t>
      </w:r>
    </w:p>
    <w:p>
      <w:pPr>
        <w:autoSpaceDN w:val="0"/>
        <w:autoSpaceDE w:val="0"/>
        <w:widowControl/>
        <w:spacing w:line="196" w:lineRule="exact" w:before="0" w:after="0"/>
        <w:ind w:left="460" w:right="144" w:hanging="242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63 Younossi ZM, Stepanova M, Ra</w:t>
      </w:r>
      <w:r>
        <w:rPr>
          <w:rFonts w:ascii="20" w:hAnsi="20" w:eastAsia="20"/>
          <w:b w:val="0"/>
          <w:i w:val="0"/>
          <w:color w:val="231F20"/>
          <w:sz w:val="16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q N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Pathologic criteria for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nonalcoholic steatohepatitis: interprotocol agreement and ability to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predict liver-related mortality.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2011;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53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1874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82.</w:t>
      </w:r>
    </w:p>
    <w:p>
      <w:pPr>
        <w:autoSpaceDN w:val="0"/>
        <w:autoSpaceDE w:val="0"/>
        <w:widowControl/>
        <w:spacing w:line="200" w:lineRule="exact" w:before="0" w:after="0"/>
        <w:ind w:left="460" w:right="144" w:hanging="242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64 Argo CK, Northup PG, Al-Osaimi AM, Caldwell SH. Systematic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review of risk factors for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brosis progression in non-alcoholic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steatohepatitis.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2009;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371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9.</w:t>
      </w:r>
    </w:p>
    <w:p>
      <w:pPr>
        <w:autoSpaceDN w:val="0"/>
        <w:autoSpaceDE w:val="0"/>
        <w:widowControl/>
        <w:spacing w:line="200" w:lineRule="exact" w:before="0" w:after="34"/>
        <w:ind w:left="460" w:right="0" w:hanging="242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65 Powell EE, Cooksley WG, Hanson R, Searle J, Halliday JW, Powell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LW. The natural history of nonalcoholic steatohepatitis: a follow-up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study of forty-two patients for up to 21 years.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1990;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959" w:space="0"/>
            <w:col w:w="4900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0" w:lineRule="exact" w:before="0" w:after="34"/>
        <w:ind w:left="78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46 Kozlitina J, Smagris E, Stender S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Exome-wide association study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74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80.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2" w:lineRule="exact" w:before="0" w:after="0"/>
        <w:ind w:left="320" w:right="144" w:hanging="2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identi</w:t>
      </w:r>
      <w:r>
        <w:rPr>
          <w:rFonts w:ascii="20" w:hAnsi="20" w:eastAsia="20"/>
          <w:b w:val="0"/>
          <w:i w:val="0"/>
          <w:color w:val="231F20"/>
          <w:sz w:val="16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es a TM6SF2 variant that confers susceptibility to nonalcoholic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Nat. Genet.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2014;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46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352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6.</w:t>
      </w:r>
    </w:p>
    <w:p>
      <w:pPr>
        <w:autoSpaceDN w:val="0"/>
        <w:tabs>
          <w:tab w:pos="318" w:val="left"/>
        </w:tabs>
        <w:autoSpaceDE w:val="0"/>
        <w:widowControl/>
        <w:spacing w:line="198" w:lineRule="exact" w:before="4" w:after="0"/>
        <w:ind w:left="78" w:right="288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47 Petersen KF, Dufour S, Hariri A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Apolipoprotein C3 gene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variants in nonalcoholic 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N. Engl. J. Med.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2010;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959" w:space="0"/>
            <w:col w:w="4900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460" w:right="144" w:hanging="242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66 Yoshioka Y, Hashimoto E, Yatsuji S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Nonalcoholic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steatohepatitis: cirrhosis, hepatocellular carcinoma, and burnt-out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NASH.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Gastroenterol.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2004;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39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1215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8.</w:t>
      </w:r>
    </w:p>
    <w:p>
      <w:pPr>
        <w:autoSpaceDN w:val="0"/>
        <w:autoSpaceDE w:val="0"/>
        <w:widowControl/>
        <w:spacing w:line="160" w:lineRule="exact" w:before="38" w:after="42"/>
        <w:ind w:left="218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67 Ascha MS, Hanouneh IA, Lopez R, Tamimi TA, Feldstein AF, Zein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959" w:space="0"/>
            <w:col w:w="4900" w:space="0"/>
          </w:cols>
          <w:docGrid w:linePitch="360"/>
        </w:sectPr>
      </w:pPr>
    </w:p>
    <w:p>
      <w:pPr>
        <w:autoSpaceDN w:val="0"/>
        <w:tabs>
          <w:tab w:pos="318" w:val="left"/>
          <w:tab w:pos="5420" w:val="left"/>
        </w:tabs>
        <w:autoSpaceDE w:val="0"/>
        <w:widowControl/>
        <w:spacing w:line="190" w:lineRule="exact" w:before="0" w:after="0"/>
        <w:ind w:left="78" w:right="144" w:firstLine="0"/>
        <w:jc w:val="left"/>
      </w:pPr>
      <w:r>
        <w:tab/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>362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1082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9.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NN. The incidence and risk factors of hepatocellular carcinoma in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48 Zhang H, Chen L, Xin Y, Lou Y, Liu Y, Xuan S. Apolipoprotein C3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patients with nonalcoholic steatohepatitis.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2010;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: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gene polymorphisms are not a risk factor for developing non-alcoholic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1972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8.</w:t>
      </w:r>
    </w:p>
    <w:p>
      <w:pPr>
        <w:autoSpaceDN w:val="0"/>
        <w:tabs>
          <w:tab w:pos="318" w:val="left"/>
          <w:tab w:pos="5178" w:val="left"/>
          <w:tab w:pos="5420" w:val="left"/>
        </w:tabs>
        <w:autoSpaceDE w:val="0"/>
        <w:widowControl/>
        <w:spacing w:line="200" w:lineRule="exact" w:before="0" w:after="34"/>
        <w:ind w:left="78" w:right="0" w:firstLine="0"/>
        <w:jc w:val="left"/>
      </w:pP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fatty liver disease: a meta-analysis.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Hepat. Mon.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2014;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14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e23100.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68 Hui JM, Kench JG, Chitturi S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Long-term outcomes of cirrhosis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49 Adams LA, Lymp JF, St Sauver J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The natural history of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in nonalcoholic steatohepatitis compared with hepatitis C.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Hepatology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nonalcoholic fatty liver disease: a population-based cohort study.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2003;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38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420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7.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8" w:lineRule="exact" w:before="0" w:after="0"/>
        <w:ind w:left="318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Gastroenterology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129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113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21.</w:t>
      </w:r>
    </w:p>
    <w:p>
      <w:pPr>
        <w:autoSpaceDN w:val="0"/>
        <w:autoSpaceDE w:val="0"/>
        <w:widowControl/>
        <w:spacing w:line="200" w:lineRule="exact" w:before="0" w:after="0"/>
        <w:ind w:left="318" w:right="144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50 Angulo P, Kleiner DE, Dam-Larsen S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Liver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brosis, but no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other histologic features, is associated with long-term outcomes of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patients with nonalcoholic 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Gastroenterology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2015;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959" w:space="0"/>
            <w:col w:w="4900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460" w:right="20" w:hanging="242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69 Sanyal AJ, Banas C, Sargeant C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Similarities and differences in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outcomes of cirrhosis due to nonalcoholic steatohepatitis and hepatitis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C.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2006;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43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682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9.</w:t>
      </w:r>
    </w:p>
    <w:p>
      <w:pPr>
        <w:autoSpaceDN w:val="0"/>
        <w:autoSpaceDE w:val="0"/>
        <w:widowControl/>
        <w:spacing w:line="160" w:lineRule="exact" w:before="38" w:after="40"/>
        <w:ind w:left="218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70 Yatsuji S, Hashimoto E, Tobari M, Taniai M, Tokushige K, Shiratori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959" w:space="0"/>
            <w:col w:w="4900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6" w:lineRule="exact" w:before="0" w:after="42"/>
        <w:ind w:left="318" w:right="0" w:firstLine="0"/>
        <w:jc w:val="left"/>
      </w:pP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>149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389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97 e10.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K. Clinical features and outcomes of cirrhosis due to non-alcoholic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318" w:right="144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51 Dam-Larsen S, Becker U, Franzmann MB, Larsen K, Christoffersen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P, Bendtsen F. Final results of a long-term, clinical follow-up in fatty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liver patients.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Scand. J. Gastroenterol.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2009;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44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1236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43.</w:t>
      </w:r>
    </w:p>
    <w:p>
      <w:pPr>
        <w:autoSpaceDN w:val="0"/>
        <w:autoSpaceDE w:val="0"/>
        <w:widowControl/>
        <w:spacing w:line="200" w:lineRule="exact" w:before="0" w:after="0"/>
        <w:ind w:left="318" w:right="144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52 Ekstedt M, Franzen LE, Mathiesen UL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Long-term follow-up of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patients with NAFLD and elevated liver enzymes.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2006;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959" w:space="0"/>
            <w:col w:w="490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46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steatohepatitis compared with cirrhosis caused by chronic hepatitis C. 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J. Gastroenterol.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2009;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24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248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54.</w:t>
      </w:r>
    </w:p>
    <w:p>
      <w:pPr>
        <w:autoSpaceDN w:val="0"/>
        <w:autoSpaceDE w:val="0"/>
        <w:widowControl/>
        <w:spacing w:line="198" w:lineRule="exact" w:before="4" w:after="42"/>
        <w:ind w:left="460" w:right="0" w:hanging="242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71 Yasui K, Hashimoto E, Komorizono Y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Characteristics of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patients with nonalcoholic steatohepatitis who develop hepatocellular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carcinoma.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Clin. Gastroenterol.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2011;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9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428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33 quiz e50.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959" w:space="0"/>
            <w:col w:w="4900" w:space="0"/>
          </w:cols>
          <w:docGrid w:linePitch="360"/>
        </w:sectPr>
      </w:pPr>
    </w:p>
    <w:p>
      <w:pPr>
        <w:autoSpaceDN w:val="0"/>
        <w:tabs>
          <w:tab w:pos="5178" w:val="left"/>
        </w:tabs>
        <w:autoSpaceDE w:val="0"/>
        <w:widowControl/>
        <w:spacing w:line="168" w:lineRule="exact" w:before="0" w:after="0"/>
        <w:ind w:left="318" w:right="0" w:firstLine="0"/>
        <w:jc w:val="left"/>
      </w:pP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>44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865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73.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72 White DL, Kanwal F, El-Serag HB. Association between</w:t>
      </w:r>
    </w:p>
    <w:p>
      <w:pPr>
        <w:autoSpaceDN w:val="0"/>
        <w:tabs>
          <w:tab w:pos="5420" w:val="left"/>
        </w:tabs>
        <w:autoSpaceDE w:val="0"/>
        <w:widowControl/>
        <w:spacing w:line="168" w:lineRule="exact" w:before="28" w:after="0"/>
        <w:ind w:left="78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53 Ha</w:t>
      </w:r>
      <w:r>
        <w:rPr>
          <w:rFonts w:ascii="20" w:hAnsi="20" w:eastAsia="20"/>
          <w:b w:val="0"/>
          <w:i w:val="0"/>
          <w:color w:val="231F20"/>
          <w:sz w:val="16"/>
        </w:rPr>
        <w:t>fl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idadottir S, Jonasson JG, Norland H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Long-term follow-up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nonalcoholic fatty liver disease and risk for hepatocellular cancer,</w:t>
      </w:r>
    </w:p>
    <w:p>
      <w:pPr>
        <w:autoSpaceDN w:val="0"/>
        <w:tabs>
          <w:tab w:pos="5420" w:val="left"/>
        </w:tabs>
        <w:autoSpaceDE w:val="0"/>
        <w:widowControl/>
        <w:spacing w:line="172" w:lineRule="exact" w:before="14" w:after="0"/>
        <w:ind w:left="318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and liver-related death rate in patients with non-alcoholic and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based on systematic review.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Clin. Gastroenterol.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2012;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</w:t>
      </w:r>
    </w:p>
    <w:p>
      <w:pPr>
        <w:autoSpaceDN w:val="0"/>
        <w:tabs>
          <w:tab w:pos="5420" w:val="left"/>
        </w:tabs>
        <w:autoSpaceDE w:val="0"/>
        <w:widowControl/>
        <w:spacing w:line="172" w:lineRule="exact" w:before="16" w:after="0"/>
        <w:ind w:left="318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alcoholic related 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BMC Gastroenterol.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2014;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1342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59 e2.</w:t>
      </w:r>
    </w:p>
    <w:p>
      <w:pPr>
        <w:autoSpaceDN w:val="0"/>
        <w:tabs>
          <w:tab w:pos="5178" w:val="left"/>
        </w:tabs>
        <w:autoSpaceDE w:val="0"/>
        <w:widowControl/>
        <w:spacing w:line="168" w:lineRule="exact" w:before="34" w:after="34"/>
        <w:ind w:left="318" w:right="0" w:firstLine="0"/>
        <w:jc w:val="left"/>
      </w:pP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>14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: 166.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73 Goh KL, Razlan H, Hartono JL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Liver cancer in Malaysia: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tabs>
          <w:tab w:pos="318" w:val="left"/>
        </w:tabs>
        <w:autoSpaceDE w:val="0"/>
        <w:widowControl/>
        <w:spacing w:line="180" w:lineRule="exact" w:before="0" w:after="0"/>
        <w:ind w:left="78" w:right="144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54 Soderberg C, Stal P, Askling J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Decreased survival of subjects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with elevated liver function tests during a 28-year follow-up.</w:t>
      </w:r>
    </w:p>
    <w:p>
      <w:pPr>
        <w:autoSpaceDN w:val="0"/>
        <w:autoSpaceDE w:val="0"/>
        <w:widowControl/>
        <w:spacing w:line="166" w:lineRule="exact" w:before="34" w:after="0"/>
        <w:ind w:left="318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Hepatology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2010;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595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602.</w:t>
      </w:r>
    </w:p>
    <w:p>
      <w:pPr>
        <w:autoSpaceDN w:val="0"/>
        <w:autoSpaceDE w:val="0"/>
        <w:widowControl/>
        <w:spacing w:line="198" w:lineRule="exact" w:before="4" w:after="0"/>
        <w:ind w:left="318" w:right="288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55 Adams LA, Sanderson S, Lindor KD, Angulo P. The histological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course of nonalcoholic fatty liver disease: a longitudinal study of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103 patients with sequential liver biopsies.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42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918" w:space="0"/>
            <w:col w:w="4941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502" w:right="432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epidemiology and clinical presentation in a multiracial Asian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population.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Dig. Dis.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16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152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8.</w:t>
      </w:r>
    </w:p>
    <w:p>
      <w:pPr>
        <w:autoSpaceDN w:val="0"/>
        <w:autoSpaceDE w:val="0"/>
        <w:widowControl/>
        <w:spacing w:line="198" w:lineRule="exact" w:before="4" w:after="0"/>
        <w:ind w:left="502" w:right="20" w:hanging="242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74 Lee SS, Jeong SH, Byoun YS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Clinical features and outcome of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cryptogenic hepatocellular carcinoma compared to those of viral and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alcoholic hepatocellular carcinoma.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BMC Cancer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2013;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13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335.</w:t>
      </w:r>
    </w:p>
    <w:p>
      <w:pPr>
        <w:autoSpaceDN w:val="0"/>
        <w:autoSpaceDE w:val="0"/>
        <w:widowControl/>
        <w:spacing w:line="160" w:lineRule="exact" w:before="42" w:after="34"/>
        <w:ind w:left="26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75 Tokushige K, Hashimoto E, Horie Y, Taniai M, Higuchi S.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918" w:space="0"/>
            <w:col w:w="4941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6" w:lineRule="exact" w:before="0" w:after="0"/>
        <w:ind w:left="318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132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8.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Hepatocellular carcinoma in Japanese patients with nonalcoholic fatty</w:t>
      </w:r>
    </w:p>
    <w:p>
      <w:pPr>
        <w:autoSpaceDN w:val="0"/>
        <w:tabs>
          <w:tab w:pos="5420" w:val="left"/>
        </w:tabs>
        <w:autoSpaceDE w:val="0"/>
        <w:widowControl/>
        <w:spacing w:line="160" w:lineRule="exact" w:before="40" w:after="0"/>
        <w:ind w:left="78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56 Fan JG, Saibara T, Chitturi S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What are the risk factors and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liver disease, alcoholic liver disease, and chronic liver disease of</w:t>
      </w:r>
    </w:p>
    <w:p>
      <w:pPr>
        <w:autoSpaceDN w:val="0"/>
        <w:tabs>
          <w:tab w:pos="5420" w:val="left"/>
        </w:tabs>
        <w:autoSpaceDE w:val="0"/>
        <w:widowControl/>
        <w:spacing w:line="168" w:lineRule="exact" w:before="34" w:after="0"/>
        <w:ind w:left="318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settings for non-alcoholic fatty liver disease in Asia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Paci</w:t>
      </w:r>
      <w:r>
        <w:rPr>
          <w:rFonts w:ascii="20" w:hAnsi="20" w:eastAsia="20"/>
          <w:b w:val="0"/>
          <w:i w:val="0"/>
          <w:color w:val="231F20"/>
          <w:sz w:val="16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c?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unknown etiology: report of the nationwide survey.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Gastroenterol.</w:t>
      </w:r>
    </w:p>
    <w:p>
      <w:pPr>
        <w:autoSpaceDN w:val="0"/>
        <w:tabs>
          <w:tab w:pos="5420" w:val="left"/>
        </w:tabs>
        <w:autoSpaceDE w:val="0"/>
        <w:widowControl/>
        <w:spacing w:line="168" w:lineRule="exact" w:before="28" w:after="0"/>
        <w:ind w:left="318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J. Gastroenterol.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2007;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22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794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800.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2011;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46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1230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7.</w:t>
      </w:r>
    </w:p>
    <w:p>
      <w:pPr>
        <w:autoSpaceDN w:val="0"/>
        <w:tabs>
          <w:tab w:pos="6322" w:val="left"/>
        </w:tabs>
        <w:autoSpaceDE w:val="0"/>
        <w:widowControl/>
        <w:spacing w:line="160" w:lineRule="exact" w:before="446" w:after="0"/>
        <w:ind w:left="0" w:right="0" w:firstLine="0"/>
        <w:jc w:val="left"/>
      </w:pPr>
      <w:r>
        <w:rPr>
          <w:rFonts w:ascii="AdvTT47a11158.B" w:hAnsi="AdvTT47a11158.B" w:eastAsia="AdvTT47a11158.B"/>
          <w:b w:val="0"/>
          <w:i w:val="0"/>
          <w:color w:val="231F20"/>
          <w:sz w:val="16"/>
        </w:rPr>
        <w:t xml:space="preserve">82 </w:t>
      </w:r>
      <w:r>
        <w:tab/>
      </w:r>
      <w:r>
        <w:rPr>
          <w:rFonts w:ascii="AdvTT9ce5b9b8.I" w:hAnsi="AdvTT9ce5b9b8.I" w:eastAsia="AdvTT9ce5b9b8.I"/>
          <w:b w:val="0"/>
          <w:i w:val="0"/>
          <w:color w:val="231F20"/>
          <w:sz w:val="13"/>
        </w:rPr>
        <w:t>Journal of Gastroenterology and Hepatology</w:t>
      </w:r>
      <w:r>
        <w:rPr>
          <w:rFonts w:ascii="AdvTT47a11158.B" w:hAnsi="AdvTT47a11158.B" w:eastAsia="AdvTT47a11158.B"/>
          <w:b w:val="0"/>
          <w:i w:val="0"/>
          <w:color w:val="231F20"/>
          <w:sz w:val="13"/>
        </w:rPr>
        <w:t xml:space="preserve"> 33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 xml:space="preserve"> (2018) 70</w:t>
      </w:r>
      <w:r>
        <w:rPr>
          <w:rFonts w:ascii="20" w:hAnsi="20" w:eastAsia="20"/>
          <w:b w:val="0"/>
          <w:i w:val="0"/>
          <w:color w:val="231F20"/>
          <w:sz w:val="13"/>
        </w:rPr>
        <w:t>–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>85</w:t>
      </w:r>
    </w:p>
    <w:p>
      <w:pPr>
        <w:autoSpaceDN w:val="0"/>
        <w:autoSpaceDE w:val="0"/>
        <w:widowControl/>
        <w:spacing w:line="130" w:lineRule="exact" w:before="62" w:after="0"/>
        <w:ind w:left="0" w:right="20" w:firstLine="0"/>
        <w:jc w:val="right"/>
      </w:pPr>
      <w:r>
        <w:rPr>
          <w:rFonts w:ascii="AdvTT080e16ec" w:hAnsi="AdvTT080e16ec" w:eastAsia="AdvTT080e16ec"/>
          <w:b w:val="0"/>
          <w:i w:val="0"/>
          <w:color w:val="231F20"/>
          <w:sz w:val="13"/>
        </w:rPr>
        <w:t>© 2017 Journal of Gastroenterology and Hepatology Foundation and John Wiley &amp; Sons Australia, Ltd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tabs>
          <w:tab w:pos="7768" w:val="left"/>
        </w:tabs>
        <w:autoSpaceDE w:val="0"/>
        <w:widowControl/>
        <w:spacing w:line="152" w:lineRule="exact" w:before="0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>VW-S Wong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et al. </w:t>
      </w:r>
      <w:r>
        <w:tab/>
      </w:r>
      <w:r>
        <w:rPr>
          <w:rFonts w:ascii="AdvTTc8c83e50" w:hAnsi="AdvTTc8c83e50" w:eastAsia="AdvTTc8c83e50"/>
          <w:b w:val="0"/>
          <w:i w:val="0"/>
          <w:color w:val="231F20"/>
          <w:sz w:val="15"/>
        </w:rPr>
        <w:t>Asia-Pacific NAFLD guidelines</w:t>
      </w:r>
    </w:p>
    <w:p>
      <w:pPr>
        <w:autoSpaceDN w:val="0"/>
        <w:tabs>
          <w:tab w:pos="5180" w:val="left"/>
        </w:tabs>
        <w:autoSpaceDE w:val="0"/>
        <w:widowControl/>
        <w:spacing w:line="162" w:lineRule="exact" w:before="436" w:after="0"/>
        <w:ind w:left="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76 Polesel J, Zucchetto A, Montella M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The impact of obesity and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95 Brunt EM, Janney CG, Di Bisceglie AM, Neuschwander-Tetri BA,</w:t>
      </w:r>
    </w:p>
    <w:p>
      <w:pPr>
        <w:autoSpaceDN w:val="0"/>
        <w:tabs>
          <w:tab w:pos="5420" w:val="left"/>
        </w:tabs>
        <w:autoSpaceDE w:val="0"/>
        <w:widowControl/>
        <w:spacing w:line="160" w:lineRule="exact" w:before="38" w:after="0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diabetes mellitus on the risk of hepatocellular carcinoma.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Ann. Oncol.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Bacon BR. Nonalcoholic steatohepatitis: a proposal for grading and</w:t>
      </w:r>
    </w:p>
    <w:p>
      <w:pPr>
        <w:autoSpaceDN w:val="0"/>
        <w:tabs>
          <w:tab w:pos="5420" w:val="left"/>
        </w:tabs>
        <w:autoSpaceDE w:val="0"/>
        <w:widowControl/>
        <w:spacing w:line="168" w:lineRule="exact" w:before="34" w:after="0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2009;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353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7.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staging the histological lesions.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Am. J. Gastroenterol.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1999;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94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</w:t>
      </w:r>
    </w:p>
    <w:p>
      <w:pPr>
        <w:autoSpaceDN w:val="0"/>
        <w:tabs>
          <w:tab w:pos="5420" w:val="left"/>
        </w:tabs>
        <w:autoSpaceDE w:val="0"/>
        <w:widowControl/>
        <w:spacing w:line="166" w:lineRule="exact" w:before="26" w:after="0"/>
        <w:ind w:left="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77 Wong RJ, Aguilar M, Cheung R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Nonalcoholic steatohepatitis is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2467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74.</w:t>
      </w:r>
    </w:p>
    <w:p>
      <w:pPr>
        <w:autoSpaceDN w:val="0"/>
        <w:tabs>
          <w:tab w:pos="5180" w:val="left"/>
        </w:tabs>
        <w:autoSpaceDE w:val="0"/>
        <w:widowControl/>
        <w:spacing w:line="166" w:lineRule="exact" w:before="28" w:after="0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the second leading etiology of liver disease among adults awaiting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96 Hashimoto E, Tokushige K, Ludwig J. Diagnosis and classi</w:t>
      </w:r>
      <w:r>
        <w:rPr>
          <w:rFonts w:ascii="20" w:hAnsi="20" w:eastAsia="20"/>
          <w:b w:val="0"/>
          <w:i w:val="0"/>
          <w:color w:val="231F20"/>
          <w:sz w:val="16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cation of</w:t>
      </w:r>
    </w:p>
    <w:p>
      <w:pPr>
        <w:autoSpaceDN w:val="0"/>
        <w:tabs>
          <w:tab w:pos="5420" w:val="left"/>
        </w:tabs>
        <w:autoSpaceDE w:val="0"/>
        <w:widowControl/>
        <w:spacing w:line="168" w:lineRule="exact" w:before="34" w:after="0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liver transplantation in the United States.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Gastroenterology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148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: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non-alcoholic fatty liver disease and non-alcoholic steatohepatitis:</w:t>
      </w:r>
    </w:p>
    <w:p>
      <w:pPr>
        <w:autoSpaceDN w:val="0"/>
        <w:tabs>
          <w:tab w:pos="5420" w:val="left"/>
        </w:tabs>
        <w:autoSpaceDE w:val="0"/>
        <w:widowControl/>
        <w:spacing w:line="166" w:lineRule="exact" w:before="32" w:after="0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547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55.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current concepts and remaining challenges.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Hepatol. Res.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45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</w:t>
      </w:r>
    </w:p>
    <w:p>
      <w:pPr>
        <w:autoSpaceDN w:val="0"/>
        <w:tabs>
          <w:tab w:pos="5420" w:val="left"/>
        </w:tabs>
        <w:autoSpaceDE w:val="0"/>
        <w:widowControl/>
        <w:spacing w:line="168" w:lineRule="exact" w:before="28" w:after="38"/>
        <w:ind w:left="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78 Cho EJ, Kwack MS, Jang ES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Relative etiological role of prior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20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28.</w:t>
      </w:r>
    </w:p>
    <w:p>
      <w:pPr>
        <w:sectPr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320" w:right="228" w:firstLine="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hepatitis B virus infection and nonalcoholic fatty liver disease in the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development of non-B non-C hepatocellular carcinoma in a hepatitis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B-endemic area.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Digestion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2011;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84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22.</w:t>
      </w:r>
    </w:p>
    <w:p>
      <w:pPr>
        <w:autoSpaceDN w:val="0"/>
        <w:autoSpaceDE w:val="0"/>
        <w:widowControl/>
        <w:spacing w:line="196" w:lineRule="exact" w:before="0" w:after="0"/>
        <w:ind w:left="320" w:right="144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79 Bhala N, Angulo P, van der Poorten D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The natural history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of nonalcoholic fatty liver disease with advanced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brosis or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cirrhosis: an international collaborative study.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2011;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50" w:space="0"/>
            <w:col w:w="4912" w:space="0"/>
          </w:cols>
          <w:docGrid w:linePitch="360"/>
        </w:sectPr>
      </w:pPr>
    </w:p>
    <w:p>
      <w:pPr>
        <w:autoSpaceDN w:val="0"/>
        <w:tabs>
          <w:tab w:pos="470" w:val="left"/>
        </w:tabs>
        <w:autoSpaceDE w:val="0"/>
        <w:widowControl/>
        <w:spacing w:line="192" w:lineRule="exact" w:before="0" w:after="0"/>
        <w:ind w:left="23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97 Matteoni CA, Younossi ZM, Gramlich T, Boparai N, Liu YC, </w:t>
      </w:r>
      <w:r>
        <w:br/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McCullough AJ. Nonalcoholic fatty liver disease: a spectrum of clinical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and pathological severity.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Gastroenterology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1999;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116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1413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9.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98 Sakamoto M, Tsujikawa H, Effendi K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Pathological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ndings of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nonalcoholic steatohepatitis and nonalcoholic fatty liver disease.</w:t>
      </w:r>
    </w:p>
    <w:p>
      <w:pPr>
        <w:autoSpaceDN w:val="0"/>
        <w:autoSpaceDE w:val="0"/>
        <w:widowControl/>
        <w:spacing w:line="168" w:lineRule="exact" w:before="34" w:after="22"/>
        <w:ind w:left="470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Pathol. Int.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2017;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67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7.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50" w:space="0"/>
            <w:col w:w="4912" w:space="0"/>
          </w:cols>
          <w:docGrid w:linePitch="360"/>
        </w:sectPr>
      </w:pPr>
    </w:p>
    <w:p>
      <w:pPr>
        <w:autoSpaceDN w:val="0"/>
        <w:tabs>
          <w:tab w:pos="5180" w:val="left"/>
        </w:tabs>
        <w:autoSpaceDE w:val="0"/>
        <w:widowControl/>
        <w:spacing w:line="166" w:lineRule="exact" w:before="0" w:after="30"/>
        <w:ind w:left="320" w:right="0" w:firstLine="0"/>
        <w:jc w:val="left"/>
      </w:pP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>54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1208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16.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99 Yeh MM, Brunt EM. Pathological features of fatty liver disease.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tabs>
          <w:tab w:pos="320" w:val="left"/>
        </w:tabs>
        <w:autoSpaceDE w:val="0"/>
        <w:widowControl/>
        <w:spacing w:line="180" w:lineRule="exact" w:before="0" w:after="0"/>
        <w:ind w:left="80" w:right="144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80 Kawada N, Imanaka K, Kawaguchi T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Hepatocellular carcinoma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arising from non-cirrhotic nonalcoholic steatohepatitis.</w:t>
      </w:r>
    </w:p>
    <w:p>
      <w:pPr>
        <w:autoSpaceDN w:val="0"/>
        <w:autoSpaceDE w:val="0"/>
        <w:widowControl/>
        <w:spacing w:line="168" w:lineRule="exact" w:before="34" w:after="0"/>
        <w:ind w:left="320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J. Gastroenterol.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2009;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44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1190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4.</w:t>
      </w:r>
    </w:p>
    <w:p>
      <w:pPr>
        <w:autoSpaceDN w:val="0"/>
        <w:autoSpaceDE w:val="0"/>
        <w:widowControl/>
        <w:spacing w:line="196" w:lineRule="exact" w:before="0" w:after="0"/>
        <w:ind w:left="320" w:right="144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81 TM YJHWT. Comparison of clinical features of NASH associated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HCC with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versus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without liver cirrhosis. In: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10th Annual Conference 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of the International Liver Cancer Association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. Canada: Vancouver, ss.</w:t>
      </w:r>
    </w:p>
    <w:p>
      <w:pPr>
        <w:autoSpaceDN w:val="0"/>
        <w:autoSpaceDE w:val="0"/>
        <w:widowControl/>
        <w:spacing w:line="200" w:lineRule="exact" w:before="10" w:after="0"/>
        <w:ind w:left="320" w:right="144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82 Wah-Kheong C, Khean-Lee G. Epidemiology of a fast emerging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disease in the Asia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Paci</w:t>
      </w:r>
      <w:r>
        <w:rPr>
          <w:rFonts w:ascii="20" w:hAnsi="20" w:eastAsia="20"/>
          <w:b w:val="0"/>
          <w:i w:val="0"/>
          <w:color w:val="231F20"/>
          <w:sz w:val="16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c region: non-alcoholic fatty liver disease. 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Hepatol. Int.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2013;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7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65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71.</w:t>
      </w:r>
    </w:p>
    <w:p>
      <w:pPr>
        <w:autoSpaceDN w:val="0"/>
        <w:autoSpaceDE w:val="0"/>
        <w:widowControl/>
        <w:spacing w:line="162" w:lineRule="exact" w:before="40" w:after="0"/>
        <w:ind w:left="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83 Wong VW, Chu WC, Wong GL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Prevalence of non-alcoholic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autoSpaceDE w:val="0"/>
        <w:widowControl/>
        <w:spacing w:line="168" w:lineRule="exact" w:before="0" w:after="0"/>
        <w:ind w:left="500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Gastroenterology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2014;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147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754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64.</w:t>
      </w:r>
    </w:p>
    <w:p>
      <w:pPr>
        <w:autoSpaceDN w:val="0"/>
        <w:autoSpaceDE w:val="0"/>
        <w:widowControl/>
        <w:spacing w:line="196" w:lineRule="exact" w:before="0" w:after="0"/>
        <w:ind w:left="144" w:right="432" w:firstLine="0"/>
        <w:jc w:val="center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100 Loomba R, Chalasani N. The hierarchical model of NAFLD: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prognostic signi</w:t>
      </w:r>
      <w:r>
        <w:rPr>
          <w:rFonts w:ascii="20" w:hAnsi="20" w:eastAsia="20"/>
          <w:b w:val="0"/>
          <w:i w:val="0"/>
          <w:color w:val="231F20"/>
          <w:sz w:val="16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cance of histologic features in NASH.</w:t>
      </w:r>
    </w:p>
    <w:p>
      <w:pPr>
        <w:autoSpaceDN w:val="0"/>
        <w:autoSpaceDE w:val="0"/>
        <w:widowControl/>
        <w:spacing w:line="166" w:lineRule="exact" w:before="32" w:after="0"/>
        <w:ind w:left="500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Gastroenterology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149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278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81.</w:t>
      </w:r>
    </w:p>
    <w:p>
      <w:pPr>
        <w:autoSpaceDN w:val="0"/>
        <w:autoSpaceDE w:val="0"/>
        <w:widowControl/>
        <w:spacing w:line="198" w:lineRule="exact" w:before="0" w:after="0"/>
        <w:ind w:left="500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101 Alkhouri N, De Vito R, Alisi A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Development and validation of a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new histological score for pediatric non-alcoholic fatty liver disease. 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J.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2012;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57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1312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8.</w:t>
      </w:r>
    </w:p>
    <w:p>
      <w:pPr>
        <w:autoSpaceDN w:val="0"/>
        <w:autoSpaceDE w:val="0"/>
        <w:widowControl/>
        <w:spacing w:line="200" w:lineRule="exact" w:before="10" w:after="32"/>
        <w:ind w:left="500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102 Nobili V, Alisi A, Newton KP, Schwimmer JB. Comparison of the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phenotype and approach to pediatric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vs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adult patients with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nonalcoholic 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Gastroenterology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2016;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150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6" w:lineRule="exact" w:before="0" w:after="40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fatty liver disease and advanced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brosis in Hong Kong Chinese: a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1798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810.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2" w:lineRule="exact" w:before="0" w:after="0"/>
        <w:ind w:left="320" w:right="144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population study using proton-magnetic resonance spectroscopy and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transient elastography.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Gut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2012;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61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409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15.</w:t>
      </w:r>
    </w:p>
    <w:p>
      <w:pPr>
        <w:autoSpaceDN w:val="0"/>
        <w:autoSpaceDE w:val="0"/>
        <w:widowControl/>
        <w:spacing w:line="200" w:lineRule="exact" w:before="0" w:after="0"/>
        <w:ind w:left="320" w:right="144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84 Kwok R, Choi KC, Wong GL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Screening diabetic patients for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non-alcoholic fatty liver disease with controlled attenuation parameter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and liver stiffness measurements: a prospective cohort study.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Gut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2016;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65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1359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68.</w:t>
      </w:r>
    </w:p>
    <w:p>
      <w:pPr>
        <w:autoSpaceDN w:val="0"/>
        <w:autoSpaceDE w:val="0"/>
        <w:widowControl/>
        <w:spacing w:line="198" w:lineRule="exact" w:before="4" w:after="0"/>
        <w:ind w:left="320" w:right="288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85 Wei JL, Leung JC, Loong TC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Prevalence and severity of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nonalcoholic fatty liver disease in non-obese patients: a population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study using proton-magnetic resonance spectroscopy.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Am. J.</w:t>
      </w:r>
    </w:p>
    <w:p>
      <w:pPr>
        <w:autoSpaceDN w:val="0"/>
        <w:autoSpaceDE w:val="0"/>
        <w:widowControl/>
        <w:spacing w:line="168" w:lineRule="exact" w:before="34" w:after="0"/>
        <w:ind w:left="320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Gastroenterol.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110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1306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14 quiz 15.</w:t>
      </w:r>
    </w:p>
    <w:p>
      <w:pPr>
        <w:autoSpaceDN w:val="0"/>
        <w:autoSpaceDE w:val="0"/>
        <w:widowControl/>
        <w:spacing w:line="200" w:lineRule="exact" w:before="0" w:after="0"/>
        <w:ind w:left="320" w:right="144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86 Seki Y, Kakizaki S, Horiguchi N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Prevalence of nonalcoholic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steatohepatitis in Japanese patients with morbid obesity undergoing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bariatric surgery.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Gastroenterol.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2016;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281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9.</w:t>
      </w:r>
    </w:p>
    <w:p>
      <w:pPr>
        <w:autoSpaceDN w:val="0"/>
        <w:tabs>
          <w:tab w:pos="320" w:val="left"/>
        </w:tabs>
        <w:autoSpaceDE w:val="0"/>
        <w:widowControl/>
        <w:spacing w:line="202" w:lineRule="exact" w:before="0" w:after="0"/>
        <w:ind w:left="80" w:right="144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87 Wilson JM, Jungner YG. Principles and practice of mass screening for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Bol. O</w:t>
      </w:r>
      <w:r>
        <w:rPr>
          <w:rFonts w:ascii="fb" w:hAnsi="fb" w:eastAsia="fb"/>
          <w:b w:val="0"/>
          <w:i w:val="0"/>
          <w:color w:val="231F20"/>
          <w:sz w:val="16"/>
        </w:rPr>
        <w:t>fi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cina Sanit. Panam.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1968;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65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281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393.</w:t>
      </w:r>
    </w:p>
    <w:p>
      <w:pPr>
        <w:autoSpaceDN w:val="0"/>
        <w:autoSpaceDE w:val="0"/>
        <w:widowControl/>
        <w:spacing w:line="200" w:lineRule="exact" w:before="0" w:after="0"/>
        <w:ind w:left="320" w:right="288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88 Wong VW, Wong GL, Tsang SW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Metabolic and histological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features of non-alcoholic fatty liver disease patients with different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serum alanine aminotransferase levels.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Aliment. Pharmacol. Ther.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2009;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29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387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96.</w:t>
      </w:r>
    </w:p>
    <w:p>
      <w:pPr>
        <w:autoSpaceDN w:val="0"/>
        <w:autoSpaceDE w:val="0"/>
        <w:widowControl/>
        <w:spacing w:line="162" w:lineRule="exact" w:before="40" w:after="0"/>
        <w:ind w:left="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89 Hamaguchi M, Kojima T, Itoh Y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The severity of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tabs>
          <w:tab w:pos="500" w:val="left"/>
        </w:tabs>
        <w:autoSpaceDE w:val="0"/>
        <w:widowControl/>
        <w:spacing w:line="190" w:lineRule="exact" w:before="0" w:after="0"/>
        <w:ind w:left="1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103 Schwimmer JB, Behling C, Newbury R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Histopathology of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pediatric nonalcoholic 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42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641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9.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104 Kleiner DE, Brunt EM, Van Natta M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Design and validation of a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histological scoring system for nonalcoholic fatty liver disease.</w:t>
      </w:r>
    </w:p>
    <w:p>
      <w:pPr>
        <w:autoSpaceDN w:val="0"/>
        <w:autoSpaceDE w:val="0"/>
        <w:widowControl/>
        <w:spacing w:line="166" w:lineRule="exact" w:before="34" w:after="0"/>
        <w:ind w:left="500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Hepatology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41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1313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21.</w:t>
      </w:r>
    </w:p>
    <w:p>
      <w:pPr>
        <w:autoSpaceDN w:val="0"/>
        <w:autoSpaceDE w:val="0"/>
        <w:widowControl/>
        <w:spacing w:line="200" w:lineRule="exact" w:before="0" w:after="0"/>
        <w:ind w:left="500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105 Bedossa P, Consortium FP. Utility and appropriateness of the fatty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liver inhibition of progression (FLIP) algorithm and steatosis, activity,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and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brosis (SAF) score in the evaluation of biopsies of nonalcoholic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2014;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60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565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75.</w:t>
      </w:r>
    </w:p>
    <w:p>
      <w:pPr>
        <w:autoSpaceDN w:val="0"/>
        <w:autoSpaceDE w:val="0"/>
        <w:widowControl/>
        <w:spacing w:line="200" w:lineRule="exact" w:before="2" w:after="0"/>
        <w:ind w:left="500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106 Bedossa P, Poitou C, Veyrie N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Histopathological algorithm and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scoring system for evaluation of liver lesions in morbidly obese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patients.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2012;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56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1751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9.</w:t>
      </w:r>
    </w:p>
    <w:p>
      <w:pPr>
        <w:autoSpaceDN w:val="0"/>
        <w:autoSpaceDE w:val="0"/>
        <w:widowControl/>
        <w:spacing w:line="200" w:lineRule="exact" w:before="0" w:after="0"/>
        <w:ind w:left="500" w:right="144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107 Bedogni G, Bellentani S, Miglioli L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The fatty liver index: a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simple and accurate predictor of hepatic steatosis in the general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population.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BMC Gastroenterol.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2006;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6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33.</w:t>
      </w:r>
    </w:p>
    <w:p>
      <w:pPr>
        <w:autoSpaceDN w:val="0"/>
        <w:autoSpaceDE w:val="0"/>
        <w:widowControl/>
        <w:spacing w:line="200" w:lineRule="exact" w:before="0" w:after="0"/>
        <w:ind w:left="500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108 Kotronen A, Peltonen M, Hakkarainen A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Prediction of non-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alcoholic fatty liver disease and liver fat using metabolic and genetic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factors.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Gastroenterology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2009;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137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865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72.</w:t>
      </w:r>
    </w:p>
    <w:p>
      <w:pPr>
        <w:autoSpaceDN w:val="0"/>
        <w:tabs>
          <w:tab w:pos="500" w:val="left"/>
        </w:tabs>
        <w:autoSpaceDE w:val="0"/>
        <w:widowControl/>
        <w:spacing w:line="202" w:lineRule="exact" w:before="0" w:after="32"/>
        <w:ind w:left="180" w:right="144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109 Poynard T, Ratziu V, Naveau S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The diagnostic value of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biomarkers (SteatoTest) for the prediction of liver steatosis.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Comp.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6" w:lineRule="exact" w:before="0" w:after="40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ultrasonographic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ndings in nonalcoholic fatty liver disease re</w:t>
      </w:r>
      <w:r>
        <w:rPr>
          <w:rFonts w:ascii="20" w:hAnsi="20" w:eastAsia="20"/>
          <w:b w:val="0"/>
          <w:i w:val="0"/>
          <w:color w:val="231F20"/>
          <w:sz w:val="16"/>
        </w:rPr>
        <w:t>fl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ects </w:t>
      </w:r>
      <w:r>
        <w:tab/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4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10.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the metabolic syndrome and visceral fat accumulation.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Am. J.</w:t>
      </w:r>
    </w:p>
    <w:p>
      <w:pPr>
        <w:autoSpaceDN w:val="0"/>
        <w:autoSpaceDE w:val="0"/>
        <w:widowControl/>
        <w:spacing w:line="166" w:lineRule="exact" w:before="34" w:after="0"/>
        <w:ind w:left="320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Gastroenterol.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2007;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102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2708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15.</w:t>
      </w:r>
    </w:p>
    <w:p>
      <w:pPr>
        <w:autoSpaceDN w:val="0"/>
        <w:tabs>
          <w:tab w:pos="320" w:val="left"/>
        </w:tabs>
        <w:autoSpaceDE w:val="0"/>
        <w:widowControl/>
        <w:spacing w:line="202" w:lineRule="exact" w:before="0" w:after="0"/>
        <w:ind w:left="80" w:right="144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90 Saadeh S, Younossi ZM, Remer EM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The utility of radiological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imaging in nonalcoholic 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Gastroenterology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2002;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500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110 Palmentieri B, de Sio I, La Mura V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The role of bright liver echo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pattern on ultrasound B-mode examination in the diagnosis of liver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steatosis.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Dig. Liver Dis.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2006;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38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485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9.</w:t>
      </w:r>
    </w:p>
    <w:p>
      <w:pPr>
        <w:autoSpaceDN w:val="0"/>
        <w:autoSpaceDE w:val="0"/>
        <w:widowControl/>
        <w:spacing w:line="160" w:lineRule="exact" w:before="42" w:after="32"/>
        <w:ind w:left="0" w:right="0" w:firstLine="0"/>
        <w:jc w:val="center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111 Quinn SF, Gosink BB. Characteristic sonographic signs of hepatic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6" w:lineRule="exact" w:before="0" w:after="40"/>
        <w:ind w:left="320" w:right="0" w:firstLine="0"/>
        <w:jc w:val="left"/>
      </w:pP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>123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745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50.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fatty in</w:t>
      </w:r>
      <w:r>
        <w:rPr>
          <w:rFonts w:ascii="20" w:hAnsi="20" w:eastAsia="20"/>
          <w:b w:val="0"/>
          <w:i w:val="0"/>
          <w:color w:val="231F20"/>
          <w:sz w:val="16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ltration.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AJR Am. J. Roentgenol.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1985;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145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753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5.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320" w:right="144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91 Chan WK, Nik Mustapha NR, Mahadeva S. Controlled attenuation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parameter for the detection and quanti</w:t>
      </w:r>
      <w:r>
        <w:rPr>
          <w:rFonts w:ascii="20" w:hAnsi="20" w:eastAsia="20"/>
          <w:b w:val="0"/>
          <w:i w:val="0"/>
          <w:color w:val="231F20"/>
          <w:sz w:val="16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cation of hepatic steatosis in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nonalcoholic 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Gastroenterol.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2014;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29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16" w:space="0"/>
            <w:col w:w="4946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34"/>
        <w:ind w:left="504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112 Wu J, You J, Yerian L, Shiba A, Schauer PR, Sessler DI. Prevalence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of liver steatosis and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brosis and the diagnostic accuracy of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ultrasound in bariatric surgery patients.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Obes. Surg.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2012;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22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240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7.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16" w:space="0"/>
            <w:col w:w="4946" w:space="0"/>
          </w:cols>
          <w:docGrid w:linePitch="360"/>
        </w:sectPr>
      </w:pPr>
    </w:p>
    <w:p>
      <w:pPr>
        <w:autoSpaceDN w:val="0"/>
        <w:tabs>
          <w:tab w:pos="5100" w:val="left"/>
        </w:tabs>
        <w:autoSpaceDE w:val="0"/>
        <w:widowControl/>
        <w:spacing w:line="168" w:lineRule="exact" w:before="0" w:after="38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1470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6.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113 Ryan CK, Johnson LA, Germin BI, Marcos A. One hundred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0" w:lineRule="exact" w:before="0" w:after="0"/>
        <w:ind w:left="320" w:right="144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92 Yatsuji S, Hashimoto E, Kaneda H, Taniai M, Tokushige K, Shiratori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K. Diagnosing autoimmune hepatitis in nonalcoholic fatty liver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disease: is the International Autoimmune Hepatitis Group scoring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system useful?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Gastroenterol.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40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1130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8.</w:t>
      </w:r>
    </w:p>
    <w:p>
      <w:pPr>
        <w:autoSpaceDN w:val="0"/>
        <w:autoSpaceDE w:val="0"/>
        <w:widowControl/>
        <w:spacing w:line="198" w:lineRule="exact" w:before="4" w:after="0"/>
        <w:ind w:left="320" w:right="432" w:hanging="24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93 Bedossa P, Patel K. Biopsy and noninvasive methods to assess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progression of nonalcoholic 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Gastroenterology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2016;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150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1811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22 e4.</w:t>
      </w:r>
    </w:p>
    <w:p>
      <w:pPr>
        <w:autoSpaceDN w:val="0"/>
        <w:tabs>
          <w:tab w:pos="320" w:val="left"/>
        </w:tabs>
        <w:autoSpaceDE w:val="0"/>
        <w:widowControl/>
        <w:spacing w:line="198" w:lineRule="exact" w:before="4" w:after="0"/>
        <w:ind w:left="80" w:right="288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94 Brunt EM. Nonalcoholic steatohepatitis: de</w:t>
      </w:r>
      <w:r>
        <w:rPr>
          <w:rFonts w:ascii="20" w:hAnsi="20" w:eastAsia="20"/>
          <w:b w:val="0"/>
          <w:i w:val="0"/>
          <w:color w:val="231F20"/>
          <w:sz w:val="16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nition and pathology. 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Semin. Liver Dis.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2001;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3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16.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50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consecutive hepatic biopsies in the workup of living donors for right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lobe liver transplantation.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Liver Transpl.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2002;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8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1114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22.</w:t>
      </w:r>
    </w:p>
    <w:p>
      <w:pPr>
        <w:autoSpaceDN w:val="0"/>
        <w:autoSpaceDE w:val="0"/>
        <w:widowControl/>
        <w:spacing w:line="200" w:lineRule="exact" w:before="2" w:after="0"/>
        <w:ind w:left="500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114 Sasso M, Beaugrand M, de Ledinghen V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Controlled attenuation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parameter (CAP): a novel VCTE guided ultrasonic attenuation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measurement for the evaluation of hepatic steatosis: preliminary study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and validation in a cohort of patients with chronic liver disease from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various causes.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Ultrasound Med. Biol.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2010;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36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1825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35.</w:t>
      </w:r>
    </w:p>
    <w:p>
      <w:pPr>
        <w:autoSpaceDN w:val="0"/>
        <w:tabs>
          <w:tab w:pos="500" w:val="left"/>
        </w:tabs>
        <w:autoSpaceDE w:val="0"/>
        <w:widowControl/>
        <w:spacing w:line="196" w:lineRule="exact" w:before="0" w:after="448"/>
        <w:ind w:left="1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115 Sasso M, Audiere S, Kemgang A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Liver steatosis assessed by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controlled attenuation parameter (CAP) measured with the xl probe of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tabs>
          <w:tab w:pos="9642" w:val="left"/>
        </w:tabs>
        <w:autoSpaceDE w:val="0"/>
        <w:widowControl/>
        <w:spacing w:line="134" w:lineRule="exact" w:before="0" w:after="0"/>
        <w:ind w:left="0" w:right="0" w:firstLine="0"/>
        <w:jc w:val="left"/>
      </w:pPr>
      <w:r>
        <w:rPr>
          <w:rFonts w:ascii="AdvTT9ce5b9b8.I" w:hAnsi="AdvTT9ce5b9b8.I" w:eastAsia="AdvTT9ce5b9b8.I"/>
          <w:b w:val="0"/>
          <w:i w:val="0"/>
          <w:color w:val="231F20"/>
          <w:sz w:val="13"/>
        </w:rPr>
        <w:t>Journal of Gastroenterology and Hepatology</w:t>
      </w:r>
      <w:r>
        <w:rPr>
          <w:rFonts w:ascii="AdvTT47a11158.B" w:hAnsi="AdvTT47a11158.B" w:eastAsia="AdvTT47a11158.B"/>
          <w:b w:val="0"/>
          <w:i w:val="0"/>
          <w:color w:val="231F20"/>
          <w:sz w:val="13"/>
        </w:rPr>
        <w:t xml:space="preserve"> 33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 xml:space="preserve"> (2018) 70</w:t>
      </w:r>
      <w:r>
        <w:rPr>
          <w:rFonts w:ascii="20" w:hAnsi="20" w:eastAsia="20"/>
          <w:b w:val="0"/>
          <w:i w:val="0"/>
          <w:color w:val="231F20"/>
          <w:sz w:val="13"/>
        </w:rPr>
        <w:t>–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 xml:space="preserve">85 </w:t>
      </w:r>
      <w:r>
        <w:tab/>
      </w:r>
      <w:r>
        <w:rPr>
          <w:rFonts w:ascii="AdvTT47a11158.B" w:hAnsi="AdvTT47a11158.B" w:eastAsia="AdvTT47a11158.B"/>
          <w:b w:val="0"/>
          <w:i w:val="0"/>
          <w:color w:val="231F20"/>
          <w:sz w:val="16"/>
        </w:rPr>
        <w:t>83</w:t>
      </w:r>
    </w:p>
    <w:p>
      <w:pPr>
        <w:autoSpaceDN w:val="0"/>
        <w:autoSpaceDE w:val="0"/>
        <w:widowControl/>
        <w:spacing w:line="130" w:lineRule="exact" w:before="62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3"/>
        </w:rPr>
        <w:t>© 2017 Journal of Gastroenterology and Hepatology Foundation and John Wiley &amp; Sons Australia, Ltd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tabs>
          <w:tab w:pos="8652" w:val="left"/>
        </w:tabs>
        <w:autoSpaceDE w:val="0"/>
        <w:widowControl/>
        <w:spacing w:line="150" w:lineRule="exact" w:before="0" w:after="438"/>
        <w:ind w:left="0" w:right="0" w:firstLine="0"/>
        <w:jc w:val="left"/>
      </w:pPr>
      <w:r>
        <w:rPr>
          <w:rFonts w:ascii="AdvTTc8c83e50" w:hAnsi="AdvTTc8c83e50" w:eastAsia="AdvTTc8c83e50"/>
          <w:b w:val="0"/>
          <w:i w:val="0"/>
          <w:color w:val="231F20"/>
          <w:sz w:val="15"/>
        </w:rPr>
        <w:t xml:space="preserve">Asia-Pacific NAFLD guidelines </w:t>
      </w:r>
      <w:r>
        <w:tab/>
      </w:r>
      <w:r>
        <w:rPr>
          <w:rFonts w:ascii="AdvTT080e16ec" w:hAnsi="AdvTT080e16ec" w:eastAsia="AdvTT080e16ec"/>
          <w:b w:val="0"/>
          <w:i w:val="0"/>
          <w:color w:val="231F20"/>
          <w:sz w:val="15"/>
        </w:rPr>
        <w:t>VW-S Wong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et al.</w:t>
      </w:r>
    </w:p>
    <w:p>
      <w:pPr>
        <w:sectPr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318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the FibroScan: a pilot study assessing diagnostic accuracy.</w:t>
      </w:r>
    </w:p>
    <w:p>
      <w:pPr>
        <w:autoSpaceDN w:val="0"/>
        <w:autoSpaceDE w:val="0"/>
        <w:widowControl/>
        <w:spacing w:line="166" w:lineRule="exact" w:before="32" w:after="0"/>
        <w:ind w:left="318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Ultrasound Med. Biol.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2016;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42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92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103.</w:t>
      </w:r>
    </w:p>
    <w:p>
      <w:pPr>
        <w:autoSpaceDN w:val="0"/>
        <w:autoSpaceDE w:val="0"/>
        <w:widowControl/>
        <w:spacing w:line="160" w:lineRule="exact" w:before="32" w:after="0"/>
        <w:ind w:left="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116 Chan WK, Mustapha NRN, Wong GL, Wong VW, Mahadeva S.</w:t>
      </w:r>
    </w:p>
    <w:p>
      <w:pPr>
        <w:autoSpaceDN w:val="0"/>
        <w:tabs>
          <w:tab w:pos="318" w:val="left"/>
        </w:tabs>
        <w:autoSpaceDE w:val="0"/>
        <w:widowControl/>
        <w:spacing w:line="198" w:lineRule="exact" w:before="0" w:after="0"/>
        <w:ind w:left="0" w:right="144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Controlled attenuation parameter using the FibroScan® XL probe for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quanti</w:t>
      </w:r>
      <w:r>
        <w:rPr>
          <w:rFonts w:ascii="20" w:hAnsi="20" w:eastAsia="20"/>
          <w:b w:val="0"/>
          <w:i w:val="0"/>
          <w:color w:val="231F20"/>
          <w:sz w:val="16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cation of hepatic steatosis for non-alcoholic fatty liver disease in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an Asian population.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United Eur. Gastroenterol. J.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2017;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76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85.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117 de Ledinghen V, Wong GL, Vergniol J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Controlled attenuation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parameter for the diagnosis of steatosis in non-alcoholic fatty liver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Gastroenterol.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2016;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31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848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55.</w:t>
      </w:r>
    </w:p>
    <w:p>
      <w:pPr>
        <w:autoSpaceDN w:val="0"/>
        <w:tabs>
          <w:tab w:pos="318" w:val="left"/>
        </w:tabs>
        <w:autoSpaceDE w:val="0"/>
        <w:widowControl/>
        <w:spacing w:line="196" w:lineRule="exact" w:before="0" w:after="0"/>
        <w:ind w:left="0" w:right="288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118 Wong GL. Transient elastography: kill two birds with one stone? 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World J.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2013;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264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74.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tabs>
          <w:tab w:pos="500" w:val="left"/>
        </w:tabs>
        <w:autoSpaceDE w:val="0"/>
        <w:widowControl/>
        <w:spacing w:line="180" w:lineRule="exact" w:before="0" w:after="0"/>
        <w:ind w:left="1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135 Neuman MG, Cohen LB, Nanau RM. Biomarkers in nonalcoholic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Can. J. Gastroenterol.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2014;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28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607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18.</w:t>
      </w:r>
    </w:p>
    <w:p>
      <w:pPr>
        <w:autoSpaceDN w:val="0"/>
        <w:autoSpaceDE w:val="0"/>
        <w:widowControl/>
        <w:spacing w:line="200" w:lineRule="exact" w:before="2" w:after="0"/>
        <w:ind w:left="500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136 Poynard T, Ratziu V, Charlotte F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Diagnostic value of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biochemical markers (NashTest) for the prediction of non alcoholo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steato hepatitis in patients with non-alcoholic 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BMC 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Gastroenterol.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2006;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6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34.</w:t>
      </w:r>
    </w:p>
    <w:p>
      <w:pPr>
        <w:autoSpaceDN w:val="0"/>
        <w:autoSpaceDE w:val="0"/>
        <w:widowControl/>
        <w:spacing w:line="200" w:lineRule="exact" w:before="0" w:after="0"/>
        <w:ind w:left="500" w:right="144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137 Lassailly G, Caiazzo R, Hollebecque A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Validation of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noninvasive biomarkers (FibroTest, SteatoTest, and NashTest) for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prediction of liver injury in patients with morbid obesity.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Eur. J.</w:t>
      </w:r>
    </w:p>
    <w:p>
      <w:pPr>
        <w:autoSpaceDN w:val="0"/>
        <w:autoSpaceDE w:val="0"/>
        <w:widowControl/>
        <w:spacing w:line="166" w:lineRule="exact" w:before="34" w:after="0"/>
        <w:ind w:left="500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Gastroenterol.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2011;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23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499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506.</w:t>
      </w:r>
    </w:p>
    <w:p>
      <w:pPr>
        <w:autoSpaceDN w:val="0"/>
        <w:autoSpaceDE w:val="0"/>
        <w:widowControl/>
        <w:spacing w:line="168" w:lineRule="exact" w:before="24" w:after="18"/>
        <w:ind w:left="1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138 Ambros V. The functions of animal microRNAs.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Nature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2004;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431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2" w:lineRule="exact" w:before="0" w:after="0"/>
        <w:ind w:left="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119 Szczepaniak LS, Nurenberg P, Leonard D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Magnetic resonance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350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5.</w:t>
      </w:r>
    </w:p>
    <w:p>
      <w:pPr>
        <w:autoSpaceDN w:val="0"/>
        <w:tabs>
          <w:tab w:pos="5100" w:val="left"/>
          <w:tab w:pos="5420" w:val="left"/>
        </w:tabs>
        <w:autoSpaceDE w:val="0"/>
        <w:widowControl/>
        <w:spacing w:line="200" w:lineRule="exact" w:before="0" w:after="0"/>
        <w:ind w:left="318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spectroscopy to measure hepatic triglyceride content: prevalence of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139 Szabo G, Csak T. Role of microRNAs in NAFLD/NASH.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Dig. Dis.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hepatic steatosis in the general population.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Am. J. Physiol. </w:t>
      </w:r>
      <w:r>
        <w:tab/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Sci.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2016;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61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1314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24.</w:t>
      </w:r>
    </w:p>
    <w:p>
      <w:pPr>
        <w:autoSpaceDN w:val="0"/>
        <w:tabs>
          <w:tab w:pos="318" w:val="left"/>
          <w:tab w:pos="5100" w:val="left"/>
          <w:tab w:pos="5418" w:val="left"/>
          <w:tab w:pos="5420" w:val="left"/>
        </w:tabs>
        <w:autoSpaceDE w:val="0"/>
        <w:widowControl/>
        <w:spacing w:line="196" w:lineRule="exact" w:before="0" w:after="0"/>
        <w:ind w:left="0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Endocrinol. Metab.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288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E462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E468.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140 Cermelli S, Guo Y, Gross SP, Welte MA. The lipid-droplet proteome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120 Idilman IS, Aniktar H, Idilman R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Hepatic steatosis: </w:t>
      </w:r>
      <w:r>
        <w:tab/>
      </w:r>
      <w:r>
        <w:tab/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reveals that droplets are a protein-storage depot.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Curr. Biol.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2006;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16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: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quanti</w:t>
      </w:r>
      <w:r>
        <w:rPr>
          <w:rFonts w:ascii="20" w:hAnsi="20" w:eastAsia="20"/>
          <w:b w:val="0"/>
          <w:i w:val="0"/>
          <w:color w:val="231F20"/>
          <w:sz w:val="16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cation by proton density fat fraction with MR imaging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versus </w:t>
      </w:r>
      <w:r>
        <w:tab/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1783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95.</w:t>
      </w:r>
    </w:p>
    <w:p>
      <w:pPr>
        <w:autoSpaceDN w:val="0"/>
        <w:tabs>
          <w:tab w:pos="320" w:val="left"/>
          <w:tab w:pos="5100" w:val="left"/>
          <w:tab w:pos="5418" w:val="left"/>
        </w:tabs>
        <w:autoSpaceDE w:val="0"/>
        <w:widowControl/>
        <w:spacing w:line="198" w:lineRule="exact" w:before="0" w:after="32"/>
        <w:ind w:left="0" w:right="0" w:firstLine="0"/>
        <w:jc w:val="left"/>
      </w:pP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liver biopsy.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Radiology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2013;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267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767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75.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141 Angulo P, Machado MV, Diehl AM. Fibrosis in nonalcoholic fatty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121 Noureddin M, Lam J, Peterson MR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Utility of magnetic resonance </w:t>
      </w:r>
      <w:r>
        <w:tab/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liver disease: mechanisms and clinical implications.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Semin. Liver Dis.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imaging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versus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histology for quantifying changes in liver fat in </w:t>
      </w:r>
      <w:r>
        <w:tab/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2015;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35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132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45.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tabs>
          <w:tab w:pos="320" w:val="left"/>
        </w:tabs>
        <w:autoSpaceDE w:val="0"/>
        <w:widowControl/>
        <w:spacing w:line="194" w:lineRule="exact" w:before="0" w:after="0"/>
        <w:ind w:left="0" w:right="144" w:firstLine="0"/>
        <w:jc w:val="left"/>
      </w:pP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nonalcoholic fatty liver disease trials.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2013;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58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1930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40.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122 Feldstein AE, Wieckowska A, Lopez AR, Liu YC, Zein NN, </w:t>
      </w:r>
      <w:r>
        <w:br/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McCullough AJ. Cytokeratin-18 fragment levels as noninvasive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biomarkers for nonalcoholic steatohepatitis: a multicenter validation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study.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2009;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1072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8.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tabs>
          <w:tab w:pos="498" w:val="left"/>
        </w:tabs>
        <w:autoSpaceDE w:val="0"/>
        <w:widowControl/>
        <w:spacing w:line="182" w:lineRule="exact" w:before="0" w:after="0"/>
        <w:ind w:left="1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142 Cales P, Laine F, Boursier J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Comparison of blood tests for liver </w:t>
      </w:r>
      <w:r>
        <w:tab/>
      </w:r>
      <w:r>
        <w:rPr>
          <w:rFonts w:ascii="20" w:hAnsi="20" w:eastAsia="20"/>
          <w:b w:val="0"/>
          <w:i w:val="0"/>
          <w:color w:val="231F20"/>
          <w:sz w:val="16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brosis speci</w:t>
      </w:r>
      <w:r>
        <w:rPr>
          <w:rFonts w:ascii="20" w:hAnsi="20" w:eastAsia="20"/>
          <w:b w:val="0"/>
          <w:i w:val="0"/>
          <w:color w:val="231F20"/>
          <w:sz w:val="16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c or not to NAFLD.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2009;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165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73.</w:t>
      </w:r>
    </w:p>
    <w:p>
      <w:pPr>
        <w:autoSpaceDN w:val="0"/>
        <w:autoSpaceDE w:val="0"/>
        <w:widowControl/>
        <w:spacing w:line="160" w:lineRule="exact" w:before="40" w:after="0"/>
        <w:ind w:left="1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143 Festi D, Schiumerini R, Marasco G, Scaioli E, Pasqui F, Colecchia A.</w:t>
      </w:r>
    </w:p>
    <w:p>
      <w:pPr>
        <w:autoSpaceDN w:val="0"/>
        <w:autoSpaceDE w:val="0"/>
        <w:widowControl/>
        <w:spacing w:line="200" w:lineRule="exact" w:before="0" w:after="32"/>
        <w:ind w:left="498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Non-invasive diagnostic approach to non-alcoholic fatty liver disease: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current evidence and future perspectives.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Expert. Rev. Gastroenterol.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tabs>
          <w:tab w:pos="5418" w:val="left"/>
        </w:tabs>
        <w:autoSpaceDE w:val="0"/>
        <w:widowControl/>
        <w:spacing w:line="160" w:lineRule="exact" w:before="0" w:after="34"/>
        <w:ind w:left="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123 Joka D, Wahl K, Moeller S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Prospective biopsy-controlled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2015;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9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1039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53.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2" w:lineRule="exact" w:before="0" w:after="0"/>
        <w:ind w:left="320" w:right="144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evaluation of cell death biomarkers for prediction of liver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brosis and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nonalcoholic steatohepatitis.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2012;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55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455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64.</w:t>
      </w:r>
    </w:p>
    <w:p>
      <w:pPr>
        <w:autoSpaceDN w:val="0"/>
        <w:autoSpaceDE w:val="0"/>
        <w:widowControl/>
        <w:spacing w:line="200" w:lineRule="exact" w:before="0" w:after="0"/>
        <w:ind w:left="320" w:right="144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124 Shen J, Chan HL, Wong GL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Non-invasive diagnosis of non-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alcoholic steatohepatitis by combined serum biomarkers.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Hepatol.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2012;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56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1363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70.</w:t>
      </w:r>
    </w:p>
    <w:p>
      <w:pPr>
        <w:autoSpaceDN w:val="0"/>
        <w:autoSpaceDE w:val="0"/>
        <w:widowControl/>
        <w:spacing w:line="202" w:lineRule="exact" w:before="0" w:after="0"/>
        <w:ind w:left="0" w:right="144" w:firstLine="0"/>
        <w:jc w:val="center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125 Shen J, Chan HL, Wong GL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Assessment of non-alcoholic fatty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liver disease using serum total cell death and apoptosis markers.</w:t>
      </w:r>
    </w:p>
    <w:p>
      <w:pPr>
        <w:autoSpaceDN w:val="0"/>
        <w:autoSpaceDE w:val="0"/>
        <w:widowControl/>
        <w:spacing w:line="166" w:lineRule="exact" w:before="32" w:after="0"/>
        <w:ind w:left="318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Aliment. Pharmacol. Ther.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2012;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36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1057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66.</w:t>
      </w:r>
    </w:p>
    <w:p>
      <w:pPr>
        <w:autoSpaceDN w:val="0"/>
        <w:autoSpaceDE w:val="0"/>
        <w:widowControl/>
        <w:spacing w:line="160" w:lineRule="exact" w:before="42" w:after="0"/>
        <w:ind w:left="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126 Chan WK, Sthaneshwar P, Nik Mustapha NR, Mahadeva S. Limited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tabs>
          <w:tab w:pos="500" w:val="left"/>
        </w:tabs>
        <w:autoSpaceDE w:val="0"/>
        <w:widowControl/>
        <w:spacing w:line="194" w:lineRule="exact" w:before="0" w:after="0"/>
        <w:ind w:left="1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144 Leroy V, Sturm N, Faure P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Prospective evaluation of FibroTest®,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FibroMeter®, and HepaScore® for staging liver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brosis in chronic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hepatitis B: comparison with hepatitis C.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2014;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61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28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34.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145 Chang Y, Jung HS, Yun KE, Cho J, Cho YK, Ryu S. Cohort study of non-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alcoholic fatty liver disease, NAFLD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brosis score, and the risk of incident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diabetes in a Korean population.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Am. J. Gastroenterol.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2013;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108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1861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8.</w:t>
      </w:r>
    </w:p>
    <w:p>
      <w:pPr>
        <w:autoSpaceDN w:val="0"/>
        <w:autoSpaceDE w:val="0"/>
        <w:widowControl/>
        <w:spacing w:line="200" w:lineRule="exact" w:before="2" w:after="32"/>
        <w:ind w:left="500" w:right="288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146 Kim D, Kim WR, Kim HJ, Therneau TM. Association between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noninvasive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brosis markers and mortality among adults with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nonalcoholic fatty liver disease in the United States.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Hepatology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0" w:lineRule="exact" w:before="0" w:after="34"/>
        <w:ind w:left="318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utility of plasma M30 in discriminating non-alcoholic steatohepatitis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2013;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57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1357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65.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318" w:right="288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from steatosis</w:t>
      </w:r>
      <w:r>
        <w:rPr>
          <w:rFonts w:ascii="20" w:hAnsi="20" w:eastAsia="20"/>
          <w:b w:val="0"/>
          <w:i w:val="0"/>
          <w:color w:val="231F20"/>
          <w:sz w:val="16"/>
        </w:rPr>
        <w:t>—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a comparison with routine biochemical markers. 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PLoS One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2014;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9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e105903.</w:t>
      </w:r>
    </w:p>
    <w:p>
      <w:pPr>
        <w:autoSpaceDN w:val="0"/>
        <w:autoSpaceDE w:val="0"/>
        <w:widowControl/>
        <w:spacing w:line="160" w:lineRule="exact" w:before="38" w:after="0"/>
        <w:ind w:left="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127 Cusi K, Chang Z, Harrison S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Limited value of plasma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779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34"/>
        <w:ind w:left="640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147 Xun YH, Guo JC, Lou GQ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Non-alcoholic fatty liver disease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(NAFLD)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brosis score predicts 6.6-year overall mortality of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Chinese patients with NAFLD.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Clin. Exp. Pharmacol. Physiol.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2014;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779" w:space="0"/>
            <w:col w:w="5080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8" w:lineRule="exact" w:before="0" w:after="32"/>
        <w:ind w:left="318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cytokeratin-18 as a biomarker for NASH and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brosis in patients with 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>41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643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9.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tabs>
          <w:tab w:pos="318" w:val="left"/>
        </w:tabs>
        <w:autoSpaceDE w:val="0"/>
        <w:widowControl/>
        <w:spacing w:line="190" w:lineRule="exact" w:before="0" w:after="0"/>
        <w:ind w:left="0" w:right="144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non-alcoholic 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2014;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60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167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74.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128 Chen J, Zhu Y, Zheng Q, Jiang J. Serum cytokeratin-18 in the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diagnosis of non-alcoholic steatohepatitis: a meta-analysis.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Hepatol.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888" w:space="0"/>
            <w:col w:w="4971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32"/>
        <w:ind w:left="532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148 Musso G, Gambino R, Cassader M, Pagano G. Meta-analysis: natural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history of non-alcoholic fatty liver disease (NAFLD) and diagnostic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accuracy of non-invasive tests for liver disease severity.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Ann. Med.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888" w:space="0"/>
            <w:col w:w="4971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6" w:lineRule="exact" w:before="0" w:after="40"/>
        <w:ind w:left="318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Res.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2014;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44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854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62.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2011;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43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617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49.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tabs>
          <w:tab w:pos="318" w:val="left"/>
        </w:tabs>
        <w:autoSpaceDE w:val="0"/>
        <w:widowControl/>
        <w:spacing w:line="192" w:lineRule="exact" w:before="0" w:after="0"/>
        <w:ind w:left="0" w:right="144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129 Lebensztejn DM, Wierzbicka A, Socha P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Cytokeratin-18 and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hyaluronic acid levels predict liver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brosis in children with non-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alcoholic 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Acta Biochim. Pol.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2011;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58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563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6.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130 Tamimi TI, Elgouhari HM, Alkhouri N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An apoptosis panel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for nonalcoholic steatohepatitis diagnosis.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2011;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54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864" w:space="0"/>
            <w:col w:w="4995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556" w:right="144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149 Castera L, Foucher J, Bernard PH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Pitfalls of liver stiffness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measurement: a 5-year prospective study of 13,369 examinations. 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Hepatology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2010;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828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35.</w:t>
      </w:r>
    </w:p>
    <w:p>
      <w:pPr>
        <w:autoSpaceDN w:val="0"/>
        <w:tabs>
          <w:tab w:pos="556" w:val="left"/>
        </w:tabs>
        <w:autoSpaceDE w:val="0"/>
        <w:widowControl/>
        <w:spacing w:line="198" w:lineRule="exact" w:before="4" w:after="34"/>
        <w:ind w:left="236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150 Wong VW, Vergniol J, Wong GL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Diagnosis of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brosis and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cirrhosis using liver stiffness measurement in nonalcoholic fatty liver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864" w:space="0"/>
            <w:col w:w="4995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6" w:lineRule="exact" w:before="0" w:after="34"/>
        <w:ind w:left="318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1224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9.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2010;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454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62.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0" w:lineRule="exact" w:before="0" w:after="0"/>
        <w:ind w:left="318" w:right="144" w:hanging="318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131 Trujillo ME, Scherer PE. Adiponectin</w:t>
      </w:r>
      <w:r>
        <w:rPr>
          <w:rFonts w:ascii="20" w:hAnsi="20" w:eastAsia="20"/>
          <w:b w:val="0"/>
          <w:i w:val="0"/>
          <w:color w:val="231F20"/>
          <w:sz w:val="16"/>
        </w:rPr>
        <w:t>—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journey from an adipocyte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secretory protein to biomarker of the metabolic syndrome.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Intern. 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Med.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257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167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75.</w:t>
      </w:r>
    </w:p>
    <w:p>
      <w:pPr>
        <w:autoSpaceDN w:val="0"/>
        <w:autoSpaceDE w:val="0"/>
        <w:widowControl/>
        <w:spacing w:line="200" w:lineRule="exact" w:before="0" w:after="0"/>
        <w:ind w:left="318" w:right="144" w:hanging="318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132 Bechmann LP, Kocabayoglu P, Sowa JP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Free fatty acids repress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small heterodimer partner (SHP) activation and adiponectin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counteracts bile acid-induced liver injury in superobese patients with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nonalcoholic steatohepatitis.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2013;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57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1394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406.</w:t>
      </w:r>
    </w:p>
    <w:p>
      <w:pPr>
        <w:autoSpaceDN w:val="0"/>
        <w:autoSpaceDE w:val="0"/>
        <w:widowControl/>
        <w:spacing w:line="198" w:lineRule="exact" w:before="4" w:after="0"/>
        <w:ind w:left="318" w:right="144" w:hanging="318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133 Zelber-Sagi S, Ratziu V, Zvibel I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The association between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adipocytokines and biomarkers for nonalcoholic fatty liver disease-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induced liver injury: a study in the general population.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Eur. J.</w:t>
      </w:r>
    </w:p>
    <w:p>
      <w:pPr>
        <w:autoSpaceDN w:val="0"/>
        <w:autoSpaceDE w:val="0"/>
        <w:widowControl/>
        <w:spacing w:line="168" w:lineRule="exact" w:before="34" w:after="0"/>
        <w:ind w:left="318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Gastroenterol.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2012;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24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262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9.</w:t>
      </w:r>
    </w:p>
    <w:p>
      <w:pPr>
        <w:autoSpaceDN w:val="0"/>
        <w:autoSpaceDE w:val="0"/>
        <w:widowControl/>
        <w:spacing w:line="200" w:lineRule="exact" w:before="0" w:after="0"/>
        <w:ind w:left="318" w:right="144" w:hanging="318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134 Pirvulescu I, Gheorghe L, Csiki I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Noninvasive clinical model for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the diagnosis of nonalcoholic steatohepatitis in overweight and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morbidly obese patients undergoing bariatric surgery.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Chirurgia 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(Bucur).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2012;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107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772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9.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500" w:right="20" w:hanging="32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151 Wong VW, Vergniol J, Wong GL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Liver stiffness measurement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using XL probe in patients with nonalcoholic 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Am. 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J. Gastroenterol.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2012;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107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1862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71.</w:t>
      </w:r>
    </w:p>
    <w:p>
      <w:pPr>
        <w:autoSpaceDN w:val="0"/>
        <w:autoSpaceDE w:val="0"/>
        <w:widowControl/>
        <w:spacing w:line="200" w:lineRule="exact" w:before="0" w:after="0"/>
        <w:ind w:left="500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152 Karlas T, Dietrich A, Peter V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Evaluation of transient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elastography, acoustic radiation force impulse imaging (ARFI), and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enhanced liver function (ELF) score for detection of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brosis in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morbidly obese patients.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PLoS One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e0141649.</w:t>
      </w:r>
    </w:p>
    <w:p>
      <w:pPr>
        <w:autoSpaceDN w:val="0"/>
        <w:autoSpaceDE w:val="0"/>
        <w:widowControl/>
        <w:spacing w:line="200" w:lineRule="exact" w:before="2" w:after="0"/>
        <w:ind w:left="500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153 Kwok R, Tse YK, Wong GL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Systematic review with meta-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analysis: non-invasive assessment of non-alcoholic fatty liver disease</w:t>
      </w:r>
      <w:r>
        <w:rPr>
          <w:rFonts w:ascii="20" w:hAnsi="20" w:eastAsia="20"/>
          <w:b w:val="0"/>
          <w:i w:val="0"/>
          <w:color w:val="231F20"/>
          <w:sz w:val="16"/>
        </w:rPr>
        <w:t>—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the role of transient elastography and plasma cytokeratin-18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fragments.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Aliment. Pharmacol. Ther.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2014;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39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254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69.</w:t>
      </w:r>
    </w:p>
    <w:p>
      <w:pPr>
        <w:autoSpaceDN w:val="0"/>
        <w:autoSpaceDE w:val="0"/>
        <w:widowControl/>
        <w:spacing w:line="200" w:lineRule="exact" w:before="0" w:after="448"/>
        <w:ind w:left="500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154 Liu H, Fu J, Hong R, Liu L, Li F. Acoustic radiation force impulse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elastography for the non-invasive evaluation of hepatic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brosis in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non-alcoholic fatty liver disease patients: a systematic review &amp; meta-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analysis.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PLoS One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e0127782.</w:t>
      </w:r>
    </w:p>
    <w:p>
      <w:pPr>
        <w:sectPr>
          <w:type w:val="nextColumn"/>
          <w:pgSz w:w="11906" w:h="15591"/>
          <w:pgMar w:top="344" w:right="1078" w:bottom="292" w:left="968" w:header="720" w:footer="720" w:gutter="0"/>
          <w:cols w:num="2" w:equalWidth="0">
            <w:col w:w="4919" w:space="0"/>
            <w:col w:w="4940" w:space="0"/>
          </w:cols>
          <w:docGrid w:linePitch="360"/>
        </w:sectPr>
      </w:pPr>
    </w:p>
    <w:p>
      <w:pPr>
        <w:autoSpaceDN w:val="0"/>
        <w:tabs>
          <w:tab w:pos="6322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AdvTT47a11158.B" w:hAnsi="AdvTT47a11158.B" w:eastAsia="AdvTT47a11158.B"/>
          <w:b w:val="0"/>
          <w:i w:val="0"/>
          <w:color w:val="231F20"/>
          <w:sz w:val="16"/>
        </w:rPr>
        <w:t xml:space="preserve">84 </w:t>
      </w:r>
      <w:r>
        <w:tab/>
      </w:r>
      <w:r>
        <w:rPr>
          <w:rFonts w:ascii="AdvTT9ce5b9b8.I" w:hAnsi="AdvTT9ce5b9b8.I" w:eastAsia="AdvTT9ce5b9b8.I"/>
          <w:b w:val="0"/>
          <w:i w:val="0"/>
          <w:color w:val="231F20"/>
          <w:sz w:val="13"/>
        </w:rPr>
        <w:t>Journal of Gastroenterology and Hepatology</w:t>
      </w:r>
      <w:r>
        <w:rPr>
          <w:rFonts w:ascii="AdvTT47a11158.B" w:hAnsi="AdvTT47a11158.B" w:eastAsia="AdvTT47a11158.B"/>
          <w:b w:val="0"/>
          <w:i w:val="0"/>
          <w:color w:val="231F20"/>
          <w:sz w:val="13"/>
        </w:rPr>
        <w:t xml:space="preserve"> 33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 xml:space="preserve"> (2018) 70</w:t>
      </w:r>
      <w:r>
        <w:rPr>
          <w:rFonts w:ascii="20" w:hAnsi="20" w:eastAsia="20"/>
          <w:b w:val="0"/>
          <w:i w:val="0"/>
          <w:color w:val="231F20"/>
          <w:sz w:val="13"/>
        </w:rPr>
        <w:t>–</w:t>
      </w:r>
      <w:r>
        <w:rPr>
          <w:rFonts w:ascii="AdvTT080e16ec" w:hAnsi="AdvTT080e16ec" w:eastAsia="AdvTT080e16ec"/>
          <w:b w:val="0"/>
          <w:i w:val="0"/>
          <w:color w:val="231F20"/>
          <w:sz w:val="13"/>
        </w:rPr>
        <w:t>85</w:t>
      </w:r>
    </w:p>
    <w:p>
      <w:pPr>
        <w:autoSpaceDN w:val="0"/>
        <w:autoSpaceDE w:val="0"/>
        <w:widowControl/>
        <w:spacing w:line="130" w:lineRule="exact" w:before="62" w:after="0"/>
        <w:ind w:left="0" w:right="20" w:firstLine="0"/>
        <w:jc w:val="right"/>
      </w:pPr>
      <w:r>
        <w:rPr>
          <w:rFonts w:ascii="AdvTT080e16ec" w:hAnsi="AdvTT080e16ec" w:eastAsia="AdvTT080e16ec"/>
          <w:b w:val="0"/>
          <w:i w:val="0"/>
          <w:color w:val="231F20"/>
          <w:sz w:val="13"/>
        </w:rPr>
        <w:t>© 2017 Journal of Gastroenterology and Hepatology Foundation and John Wiley &amp; Sons Australia, Ltd</w:t>
      </w:r>
    </w:p>
    <w:p>
      <w:pPr>
        <w:sectPr>
          <w:type w:val="continuous"/>
          <w:pgSz w:w="11906" w:h="15591"/>
          <w:pgMar w:top="344" w:right="1078" w:bottom="292" w:left="9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tabs>
          <w:tab w:pos="7768" w:val="left"/>
        </w:tabs>
        <w:autoSpaceDE w:val="0"/>
        <w:widowControl/>
        <w:spacing w:line="152" w:lineRule="exact" w:before="0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5"/>
        </w:rPr>
        <w:t>VW-S Wong</w:t>
      </w:r>
      <w:r>
        <w:rPr>
          <w:rFonts w:ascii="AdvTT9ce5b9b8.I" w:hAnsi="AdvTT9ce5b9b8.I" w:eastAsia="AdvTT9ce5b9b8.I"/>
          <w:b w:val="0"/>
          <w:i w:val="0"/>
          <w:color w:val="231F20"/>
          <w:sz w:val="15"/>
        </w:rPr>
        <w:t xml:space="preserve"> et al. </w:t>
      </w:r>
      <w:r>
        <w:tab/>
      </w:r>
      <w:r>
        <w:rPr>
          <w:rFonts w:ascii="AdvTTc8c83e50" w:hAnsi="AdvTTc8c83e50" w:eastAsia="AdvTTc8c83e50"/>
          <w:b w:val="0"/>
          <w:i w:val="0"/>
          <w:color w:val="231F20"/>
          <w:sz w:val="15"/>
        </w:rPr>
        <w:t>Asia-Pacific NAFLD guidelines</w:t>
      </w:r>
    </w:p>
    <w:p>
      <w:pPr>
        <w:autoSpaceDN w:val="0"/>
        <w:tabs>
          <w:tab w:pos="320" w:val="left"/>
          <w:tab w:pos="5420" w:val="left"/>
        </w:tabs>
        <w:autoSpaceDE w:val="0"/>
        <w:widowControl/>
        <w:spacing w:line="198" w:lineRule="exact" w:before="400" w:after="0"/>
        <w:ind w:left="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155 Palmeri ML, Wang MH, Rouze NC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Noninvasive evaluation of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 diabetes: a 4-year retrospective longitudinal study.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Diabetes Care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hepatic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brosis using acoustic radiation force-based shear stiffness in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2011;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34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727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9.</w:t>
      </w:r>
    </w:p>
    <w:p>
      <w:pPr>
        <w:autoSpaceDN w:val="0"/>
        <w:tabs>
          <w:tab w:pos="5100" w:val="left"/>
          <w:tab w:pos="5420" w:val="left"/>
        </w:tabs>
        <w:autoSpaceDE w:val="0"/>
        <w:widowControl/>
        <w:spacing w:line="198" w:lineRule="exact" w:before="4" w:after="40"/>
        <w:ind w:left="320" w:right="288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patients with nonalcoholic 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2011;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55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: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174 Fan JG, Li F, Cai XB, Peng YD, Ao QH, Gao Y. Effects of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666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72. </w:t>
      </w:r>
      <w:r>
        <w:tab/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nonalcoholic fatty liver disease on the development of metabolic</w:t>
      </w:r>
    </w:p>
    <w:p>
      <w:pPr>
        <w:sectPr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320" w:right="144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156 Yoneda M, Suzuki K, Kato S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Nonalcoholic fatty liver disease: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US-based acoustic radiation force impulse elastography.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Radiology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2010;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256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640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7.</w:t>
      </w:r>
    </w:p>
    <w:p>
      <w:pPr>
        <w:autoSpaceDN w:val="0"/>
        <w:autoSpaceDE w:val="0"/>
        <w:widowControl/>
        <w:spacing w:line="196" w:lineRule="exact" w:before="0" w:after="0"/>
        <w:ind w:left="320" w:right="288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157 Imajo K, Kessoku T, Honda Y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Magnetic resonance imaging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more accurately classi</w:t>
      </w:r>
      <w:r>
        <w:rPr>
          <w:rFonts w:ascii="20" w:hAnsi="20" w:eastAsia="20"/>
          <w:b w:val="0"/>
          <w:i w:val="0"/>
          <w:color w:val="231F20"/>
          <w:sz w:val="16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es steatosis and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brosis in patients with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nonalcoholic fatty liver disease than transient elastography.</w:t>
      </w:r>
    </w:p>
    <w:p>
      <w:pPr>
        <w:autoSpaceDN w:val="0"/>
        <w:autoSpaceDE w:val="0"/>
        <w:widowControl/>
        <w:spacing w:line="166" w:lineRule="exact" w:before="34" w:after="0"/>
        <w:ind w:left="320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Gastroenterology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2016;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150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626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37 e7.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08" w:space="0"/>
            <w:col w:w="4954" w:space="0"/>
          </w:cols>
          <w:docGrid w:linePitch="360"/>
        </w:sectPr>
      </w:pPr>
    </w:p>
    <w:p>
      <w:pPr>
        <w:autoSpaceDN w:val="0"/>
        <w:autoSpaceDE w:val="0"/>
        <w:widowControl/>
        <w:spacing w:line="166" w:lineRule="exact" w:before="0" w:after="0"/>
        <w:ind w:left="512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disorders.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Gastroenterol.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2007;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22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1086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91.</w:t>
      </w:r>
    </w:p>
    <w:p>
      <w:pPr>
        <w:autoSpaceDN w:val="0"/>
        <w:autoSpaceDE w:val="0"/>
        <w:widowControl/>
        <w:spacing w:line="198" w:lineRule="exact" w:before="0" w:after="0"/>
        <w:ind w:left="512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175 Sung KC, Jeong WS, Wild SH, Byrne CD. Combined in</w:t>
      </w:r>
      <w:r>
        <w:rPr>
          <w:rFonts w:ascii="20" w:hAnsi="20" w:eastAsia="20"/>
          <w:b w:val="0"/>
          <w:i w:val="0"/>
          <w:color w:val="231F20"/>
          <w:sz w:val="16"/>
        </w:rPr>
        <w:t>fl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uence of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insulin resistance, overweight/obesity, and fatty liver as risk factors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for type 2 diabetes.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Diabetes Care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2012;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35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717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22.</w:t>
      </w:r>
    </w:p>
    <w:p>
      <w:pPr>
        <w:autoSpaceDN w:val="0"/>
        <w:autoSpaceDE w:val="0"/>
        <w:widowControl/>
        <w:spacing w:line="196" w:lineRule="exact" w:before="0" w:after="34"/>
        <w:ind w:left="512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176 Yamada T, Fukatsu M, Suzuki S, Wada T, Yoshida T, Joh T. Fatty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liver predicts impaired fasting glucose and type 2 diabetes mellitus in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Japanese undergoing a health checkup.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Gastroenterol. Hepatol.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08" w:space="0"/>
            <w:col w:w="4954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0" w:lineRule="exact" w:before="0" w:after="40"/>
        <w:ind w:left="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158 Sumida Y, Yoneda M, Hyogo H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Validation of the FIB4 index in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2010;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25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352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6.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320" w:right="432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a Japanese nonalcoholic fatty liver disease population.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BMC 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Gastroenterol.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2012;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12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2.</w:t>
      </w:r>
    </w:p>
    <w:p>
      <w:pPr>
        <w:autoSpaceDN w:val="0"/>
        <w:autoSpaceDE w:val="0"/>
        <w:widowControl/>
        <w:spacing w:line="162" w:lineRule="exact" w:before="30" w:after="0"/>
        <w:ind w:left="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159 Yu SJ, Kim DH, Lee JH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Validation of P2/MS and other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706" w:space="0"/>
            <w:col w:w="5156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32"/>
        <w:ind w:left="714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177 Adams LA, Harmsen S, St Sauver JL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Nonalcoholic fatty liver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disease increases risk of death among patients with diabetes: a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community-based cohort study.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Am. J. Gastroenterol.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2010;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105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706" w:space="0"/>
            <w:col w:w="5156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6" w:lineRule="exact" w:before="0" w:after="0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noninvasive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brosis scoring systems in the Korean population with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1567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73.</w:t>
      </w:r>
    </w:p>
    <w:p>
      <w:pPr>
        <w:autoSpaceDN w:val="0"/>
        <w:tabs>
          <w:tab w:pos="5100" w:val="left"/>
        </w:tabs>
        <w:autoSpaceDE w:val="0"/>
        <w:widowControl/>
        <w:spacing w:line="170" w:lineRule="exact" w:before="30" w:after="0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nonalcoholic 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Korean J Gastroenterol.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2011;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57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: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178 Kang MK, Kang BH, Kim JH. Nonalcoholic fatty liver disease is</w:t>
      </w:r>
    </w:p>
    <w:p>
      <w:pPr>
        <w:autoSpaceDN w:val="0"/>
        <w:tabs>
          <w:tab w:pos="5420" w:val="left"/>
        </w:tabs>
        <w:autoSpaceDE w:val="0"/>
        <w:widowControl/>
        <w:spacing w:line="170" w:lineRule="exact" w:before="24" w:after="40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19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27.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associated with the presence and morphology of subclinical coronary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320" w:right="288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160 Lee HW, Park SY, Kim SU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Discrimination of nonalcoholic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steatohepatitis using transient elastography in patients with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nonalcoholic 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PLoS One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2016;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e0157358.</w:t>
      </w:r>
    </w:p>
    <w:p>
      <w:pPr>
        <w:autoSpaceDN w:val="0"/>
        <w:autoSpaceDE w:val="0"/>
        <w:widowControl/>
        <w:spacing w:line="200" w:lineRule="exact" w:before="2" w:after="0"/>
        <w:ind w:left="320" w:right="144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161 Petta S, Vanni E, Bugianesi E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The combination of liver stiffness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measurement and NAFLD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brosis score improves the noninvasive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diagnostic accuracy for severe liver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brosis in patients with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nonalcoholic fatty liver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Liver Int.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35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1566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73.</w:t>
      </w:r>
    </w:p>
    <w:p>
      <w:pPr>
        <w:autoSpaceDN w:val="0"/>
        <w:tabs>
          <w:tab w:pos="320" w:val="left"/>
        </w:tabs>
        <w:autoSpaceDE w:val="0"/>
        <w:widowControl/>
        <w:spacing w:line="198" w:lineRule="exact" w:before="0" w:after="0"/>
        <w:ind w:left="0" w:right="576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162 Wong GL, Chan HL. Two are better than one: noninvasive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assessment of liver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brosis in nonalcoholic fatty liver disease.</w:t>
      </w:r>
    </w:p>
    <w:p>
      <w:pPr>
        <w:autoSpaceDN w:val="0"/>
        <w:autoSpaceDE w:val="0"/>
        <w:widowControl/>
        <w:spacing w:line="166" w:lineRule="exact" w:before="34" w:after="0"/>
        <w:ind w:left="320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Hepatol. Int.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9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481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3.</w:t>
      </w:r>
    </w:p>
    <w:p>
      <w:pPr>
        <w:autoSpaceDN w:val="0"/>
        <w:autoSpaceDE w:val="0"/>
        <w:widowControl/>
        <w:spacing w:line="200" w:lineRule="exact" w:before="0" w:after="0"/>
        <w:ind w:left="320" w:right="178" w:hanging="32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163 Chan WK, Nik Mustapha NR, Mahadeva S. A novel 2-step approach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combining the NAFLD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brosis score and liver stiffness measurement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for predicting advanced</w:t>
      </w:r>
      <w:r>
        <w:rPr>
          <w:rFonts w:ascii="20" w:hAnsi="20" w:eastAsia="20"/>
          <w:b w:val="0"/>
          <w:i w:val="0"/>
          <w:color w:val="231F20"/>
          <w:sz w:val="16"/>
        </w:rPr>
        <w:t xml:space="preserve"> 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brosis.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Hepatol. Int.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9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594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602.</w:t>
      </w:r>
    </w:p>
    <w:p>
      <w:pPr>
        <w:autoSpaceDN w:val="0"/>
        <w:autoSpaceDE w:val="0"/>
        <w:widowControl/>
        <w:spacing w:line="200" w:lineRule="exact" w:before="0" w:after="0"/>
        <w:ind w:left="320" w:right="288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164 European Association for Study of L, Asociacion Latinoamericana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para el Estudio del H. EASL-ALEH Clinical Practice Guidelines: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non-invasive tests for evaluation of liver disease severity and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prognosis.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63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237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64.</w:t>
      </w:r>
    </w:p>
    <w:p>
      <w:pPr>
        <w:autoSpaceDN w:val="0"/>
        <w:autoSpaceDE w:val="0"/>
        <w:widowControl/>
        <w:spacing w:line="200" w:lineRule="exact" w:before="0" w:after="0"/>
        <w:ind w:left="320" w:right="144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165 Takamura M, Kanefuji T, Suda T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Value of shear wave velocity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measurements for the risk assessment of hepatocellular carcinoma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development in patients with nonalcoholic fatty liver disease: HCC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autoSpaceDE w:val="0"/>
        <w:widowControl/>
        <w:spacing w:line="168" w:lineRule="exact" w:before="0" w:after="0"/>
        <w:ind w:left="50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atherosclerosis.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Yonsei Med. J.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56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1288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95.</w:t>
      </w:r>
    </w:p>
    <w:p>
      <w:pPr>
        <w:autoSpaceDN w:val="0"/>
        <w:autoSpaceDE w:val="0"/>
        <w:widowControl/>
        <w:spacing w:line="200" w:lineRule="exact" w:before="10" w:after="0"/>
        <w:ind w:left="500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179 Osawa K, Miyoshi T, Yamauchi K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Nonalcoholic hepatic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steatosis is a strong predictor of high-risk coronary-artery plaques as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determined by multidetector CT.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PLoS One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e0131138.</w:t>
      </w:r>
    </w:p>
    <w:p>
      <w:pPr>
        <w:autoSpaceDN w:val="0"/>
        <w:autoSpaceDE w:val="0"/>
        <w:widowControl/>
        <w:spacing w:line="198" w:lineRule="exact" w:before="0" w:after="0"/>
        <w:ind w:left="144" w:right="144" w:firstLine="0"/>
        <w:jc w:val="center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180 Hamaguchi M, Kojima T, Takeda N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Nonalcoholic fatty liver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disease is a novel predictor of cardiovascular 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World J.</w:t>
      </w:r>
    </w:p>
    <w:p>
      <w:pPr>
        <w:autoSpaceDN w:val="0"/>
        <w:autoSpaceDE w:val="0"/>
        <w:widowControl/>
        <w:spacing w:line="168" w:lineRule="exact" w:before="34" w:after="0"/>
        <w:ind w:left="500" w:right="0" w:firstLine="0"/>
        <w:jc w:val="left"/>
      </w:pP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Gastroenterol.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2007;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13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1579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84.</w:t>
      </w:r>
    </w:p>
    <w:p>
      <w:pPr>
        <w:autoSpaceDN w:val="0"/>
        <w:autoSpaceDE w:val="0"/>
        <w:widowControl/>
        <w:spacing w:line="200" w:lineRule="exact" w:before="0" w:after="0"/>
        <w:ind w:left="500" w:right="144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181 Wong VW, Wong GL, Yip GW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Coronary artery disease and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cardiovascular outcomes in patients with non-alcoholic fatty liver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disease.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Gut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2011;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60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1721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7.</w:t>
      </w:r>
    </w:p>
    <w:p>
      <w:pPr>
        <w:autoSpaceDN w:val="0"/>
        <w:autoSpaceDE w:val="0"/>
        <w:widowControl/>
        <w:spacing w:line="200" w:lineRule="exact" w:before="0" w:after="0"/>
        <w:ind w:left="500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182 Yun KE, Shin CY, Yoon YS, Park HS. Elevated alanine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aminotransferase levels predict mortality from cardiovascular disease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and diabetes in Koreans.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Atherosclerosis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2009;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205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533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7.</w:t>
      </w:r>
    </w:p>
    <w:p>
      <w:pPr>
        <w:autoSpaceDN w:val="0"/>
        <w:autoSpaceDE w:val="0"/>
        <w:widowControl/>
        <w:spacing w:line="200" w:lineRule="exact" w:before="0" w:after="0"/>
        <w:ind w:left="500" w:right="22" w:hanging="32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183 Wong VW, Wong GL, Yeung JC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Long-term clinical outcomes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after fatty liver screening in patients undergoing coronary angiogram: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 prospective cohort study.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2016;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63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754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63.</w:t>
      </w:r>
    </w:p>
    <w:p>
      <w:pPr>
        <w:autoSpaceDN w:val="0"/>
        <w:autoSpaceDE w:val="0"/>
        <w:widowControl/>
        <w:spacing w:line="200" w:lineRule="exact" w:before="2" w:after="32"/>
        <w:ind w:left="500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184 Targher G, Kendrick J, Smits G, Chonchol M. Relationship between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serum gamma-glutamyltransferase and chronic kidney disease in the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United States adult population. Findings from the National Health and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Nutrition Examination Survey 2001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2006.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Nutr. Metab. Cardiovasc.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6" w:lineRule="exact" w:before="0" w:after="40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risk assessment by VTTQ.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Hepatol. Int.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2014;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8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240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9. </w:t>
      </w:r>
      <w:r>
        <w:tab/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Dis.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2010;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583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90.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320" w:right="144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166 Sangiovanni A, Prati GM, Fasani P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The natural history of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compensated cirrhosis due to hepatitis C virus: a 17-year cohort study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of 214 patients.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Hepatology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2006;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43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1303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10.</w:t>
      </w:r>
    </w:p>
    <w:p>
      <w:pPr>
        <w:autoSpaceDN w:val="0"/>
        <w:autoSpaceDE w:val="0"/>
        <w:widowControl/>
        <w:spacing w:line="198" w:lineRule="exact" w:before="4" w:after="0"/>
        <w:ind w:left="320" w:right="144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167 Del Poggio P, Olmi S, Ciccarese F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Factors that affect ef</w:t>
      </w:r>
      <w:r>
        <w:rPr>
          <w:rFonts w:ascii="20" w:hAnsi="20" w:eastAsia="20"/>
          <w:b w:val="0"/>
          <w:i w:val="0"/>
          <w:color w:val="231F20"/>
          <w:sz w:val="16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cacy of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ultrasound surveillance for early stage hepatocellular carcinoma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in patients with cirrhosis.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Clin. Gastroenterol.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2014;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12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500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185 Chang Y, Ryu S, Sung E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Nonalcoholic fatty liver disease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predicts chronic kidney disease in nonhypertensive and nondiabetic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Korean men.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Metabolism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2008;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57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569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76.</w:t>
      </w:r>
    </w:p>
    <w:p>
      <w:pPr>
        <w:autoSpaceDN w:val="0"/>
        <w:autoSpaceDE w:val="0"/>
        <w:widowControl/>
        <w:spacing w:line="198" w:lineRule="exact" w:before="4" w:after="34"/>
        <w:ind w:left="500" w:right="20" w:hanging="32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186 Li G, Shi W, Hug H, Chen Y, Liu L, Yin D. Nonalcoholic fatty liver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disease associated with impairment of kidney function in nondiabetes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population.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Biochem. Med. (Zagreb).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2012;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22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92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99.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tabs>
          <w:tab w:pos="5100" w:val="left"/>
        </w:tabs>
        <w:autoSpaceDE w:val="0"/>
        <w:widowControl/>
        <w:spacing w:line="166" w:lineRule="exact" w:before="0" w:after="40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1927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33 e2.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187 Huang KW, Leu HB, Wang YJ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Patients with nonalcoholic fatty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320" w:right="144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168 Gopal P, Yopp AC, Waljee AK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Factors that affect accuracy of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alpha-fetoprotein test in detection of hepatocellular carcinoma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in patients with cirrhosis.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Clin. Gastroenterol.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2014;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12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autoSpaceDE w:val="0"/>
        <w:widowControl/>
        <w:spacing w:line="182" w:lineRule="exact" w:before="0" w:after="0"/>
        <w:ind w:left="500" w:right="144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liver disease have higher risk of colorectal adenoma after negative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baseline colonoscopy.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Color. Dis.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2013;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15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830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5.</w:t>
      </w:r>
    </w:p>
    <w:p>
      <w:pPr>
        <w:autoSpaceDN w:val="0"/>
        <w:autoSpaceDE w:val="0"/>
        <w:widowControl/>
        <w:spacing w:line="160" w:lineRule="exact" w:before="38" w:after="34"/>
        <w:ind w:left="1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188 Lee YI, Lim YS, Park HS. Colorectal neoplasms in relation to non-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6" w:lineRule="exact" w:before="0" w:after="40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870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7.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alcoholic fatty liver disease in Korean women: a retrospective cohort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320" w:right="180" w:hanging="320"/>
        <w:jc w:val="both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169 Kawamura Y, Arase Y, Ikeda K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Large-scale long-term follow-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up study of Japanese patients with non-alcoholic fatty liver disease for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the onset of hepatocellular carcinoma.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Am. J. Gastroenterol.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2012;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autoSpaceDE w:val="0"/>
        <w:widowControl/>
        <w:spacing w:line="166" w:lineRule="exact" w:before="0" w:after="0"/>
        <w:ind w:left="50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study.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Gastroenterol.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2012;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27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91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95.</w:t>
      </w:r>
    </w:p>
    <w:p>
      <w:pPr>
        <w:autoSpaceDN w:val="0"/>
        <w:autoSpaceDE w:val="0"/>
        <w:widowControl/>
        <w:spacing w:line="202" w:lineRule="exact" w:before="0" w:after="32"/>
        <w:ind w:left="500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189 Wong VW, Wong GL, Tsang SW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High prevalence of colorectal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neoplasm in patients with non-alcoholic steatohepatitis.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Gut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2011;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60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6" w:lineRule="exact" w:before="0" w:after="40"/>
        <w:ind w:left="320" w:right="0" w:firstLine="0"/>
        <w:jc w:val="left"/>
      </w:pP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>107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253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61.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829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36.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tabs>
          <w:tab w:pos="320" w:val="left"/>
        </w:tabs>
        <w:autoSpaceDE w:val="0"/>
        <w:widowControl/>
        <w:spacing w:line="192" w:lineRule="exact" w:before="0" w:after="0"/>
        <w:ind w:left="0" w:right="144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170 Patterson AD, Maurhofer O, Beyoglu D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Aberrant lipid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metabolism in hepatocellular carcinoma revealed by plasma </w:t>
      </w:r>
      <w:r>
        <w:br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metabolomics and lipid pro</w:t>
      </w:r>
      <w:r>
        <w:rPr>
          <w:rFonts w:ascii="20" w:hAnsi="20" w:eastAsia="20"/>
          <w:b w:val="0"/>
          <w:i w:val="0"/>
          <w:color w:val="231F20"/>
          <w:sz w:val="16"/>
        </w:rPr>
        <w:t>fi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ling.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Cancer Res.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2011;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71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6590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600.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171 Ma J, Hwang SJ, Pedley A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Bi-directional analysis between fatty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liver and cardiovascular disease risk factors.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Hepatol.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2017;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66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1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190 Musso G, Cassader M, Olivetti C, Rosina F, Carbone G, Gambino R.</w:t>
      </w:r>
    </w:p>
    <w:p>
      <w:pPr>
        <w:autoSpaceDN w:val="0"/>
        <w:autoSpaceDE w:val="0"/>
        <w:widowControl/>
        <w:spacing w:line="200" w:lineRule="exact" w:before="2" w:after="0"/>
        <w:ind w:left="50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Association of obstructive sleep apnoea with the presence and severity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of non-alcoholic fatty liver disease. A systematic review and meta-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analysis.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Obes. Rev.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2013;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14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417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31.</w:t>
      </w:r>
    </w:p>
    <w:p>
      <w:pPr>
        <w:autoSpaceDN w:val="0"/>
        <w:autoSpaceDE w:val="0"/>
        <w:widowControl/>
        <w:spacing w:line="160" w:lineRule="exact" w:before="38" w:after="34"/>
        <w:ind w:left="18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191 Moon SS, Lee YS, Kim SW. Association of nonalcoholic fatty liver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tabs>
          <w:tab w:pos="5420" w:val="left"/>
        </w:tabs>
        <w:autoSpaceDE w:val="0"/>
        <w:widowControl/>
        <w:spacing w:line="166" w:lineRule="exact" w:before="0" w:after="0"/>
        <w:ind w:left="32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390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7.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disease with low bone mass in postmenopausal women.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Endocrine</w:t>
      </w:r>
    </w:p>
    <w:p>
      <w:pPr>
        <w:autoSpaceDN w:val="0"/>
        <w:tabs>
          <w:tab w:pos="5420" w:val="left"/>
        </w:tabs>
        <w:autoSpaceDE w:val="0"/>
        <w:widowControl/>
        <w:spacing w:line="168" w:lineRule="exact" w:before="26" w:after="38"/>
        <w:ind w:left="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172 Shen YH, Yang WS, Lee TH, Lee LT, Chen CY, Huang KC. Bright </w:t>
      </w:r>
      <w:r>
        <w:tab/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2012;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42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423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9.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2" w:lineRule="exact" w:before="0" w:after="0"/>
        <w:ind w:left="320" w:right="432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liver and alanine aminotransferase are associated with metabolic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syndrome in adults.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Obes. Res.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2005;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13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 1238</w:t>
      </w:r>
      <w:r>
        <w:rPr>
          <w:rFonts w:ascii="20" w:hAnsi="20" w:eastAsia="20"/>
          <w:b w:val="0"/>
          <w:i w:val="0"/>
          <w:color w:val="231F20"/>
          <w:sz w:val="16"/>
        </w:rPr>
        <w:t>–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45.</w:t>
      </w:r>
    </w:p>
    <w:p>
      <w:pPr>
        <w:autoSpaceDN w:val="0"/>
        <w:autoSpaceDE w:val="0"/>
        <w:widowControl/>
        <w:spacing w:line="160" w:lineRule="exact" w:before="38" w:after="0"/>
        <w:ind w:left="0" w:right="0" w:firstLine="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173 Bae JC, Rhee EJ, Lee WY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>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Combined effect of nonalcoholic fatty</w:t>
      </w:r>
    </w:p>
    <w:p>
      <w:pPr>
        <w:sectPr>
          <w:type w:val="continuous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34"/>
        <w:ind w:left="500" w:right="0" w:hanging="320"/>
        <w:jc w:val="left"/>
      </w:pPr>
      <w:r>
        <w:rPr>
          <w:rFonts w:ascii="AdvTT6120e2aa" w:hAnsi="AdvTT6120e2aa" w:eastAsia="AdvTT6120e2aa"/>
          <w:b w:val="0"/>
          <w:i w:val="0"/>
          <w:color w:val="231F20"/>
          <w:sz w:val="16"/>
        </w:rPr>
        <w:t>192 Li M, Xu Y, Xu M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et al.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Association between nonalcoholic fatty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liver disease (NAFLD) and osteoporotic fracture in middle-aged 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and elderly Chinese.</w:t>
      </w:r>
      <w:r>
        <w:rPr>
          <w:rFonts w:ascii="AdvTT50a2f13e.I" w:hAnsi="AdvTT50a2f13e.I" w:eastAsia="AdvTT50a2f13e.I"/>
          <w:b w:val="0"/>
          <w:i w:val="0"/>
          <w:color w:val="231F20"/>
          <w:sz w:val="16"/>
        </w:rPr>
        <w:t xml:space="preserve"> J. Clin. Endocrinol. Metab.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 xml:space="preserve"> 2012;</w:t>
      </w:r>
      <w:r>
        <w:rPr>
          <w:rFonts w:ascii="AdvTTb8864ccf.B" w:hAnsi="AdvTTb8864ccf.B" w:eastAsia="AdvTTb8864ccf.B"/>
          <w:b w:val="0"/>
          <w:i w:val="0"/>
          <w:color w:val="231F20"/>
          <w:sz w:val="16"/>
        </w:rPr>
        <w:t xml:space="preserve"> 97</w:t>
      </w:r>
      <w:r>
        <w:rPr>
          <w:rFonts w:ascii="AdvTT6120e2aa" w:hAnsi="AdvTT6120e2aa" w:eastAsia="AdvTT6120e2aa"/>
          <w:b w:val="0"/>
          <w:i w:val="0"/>
          <w:color w:val="231F20"/>
          <w:sz w:val="16"/>
        </w:rPr>
        <w:t>:</w:t>
      </w:r>
    </w:p>
    <w:p>
      <w:pPr>
        <w:sectPr>
          <w:type w:val="nextColumn"/>
          <w:pgSz w:w="11906" w:h="15591"/>
          <w:pgMar w:top="344" w:right="972" w:bottom="292" w:left="1072" w:header="720" w:footer="720" w:gutter="0"/>
          <w:cols w:num="2" w:equalWidth="0">
            <w:col w:w="4920" w:space="0"/>
            <w:col w:w="49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7"/>
        <w:gridCol w:w="3287"/>
        <w:gridCol w:w="3287"/>
      </w:tblGrid>
      <w:tr>
        <w:trPr>
          <w:trHeight w:hRule="exact" w:val="398"/>
        </w:trPr>
        <w:tc>
          <w:tcPr>
            <w:tcW w:type="dxa" w:w="5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" w:after="0"/>
              <w:ind w:left="0" w:right="0" w:firstLine="0"/>
              <w:jc w:val="center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6"/>
              </w:rPr>
              <w:t>liver disease and impaired fasting glucose on the development of type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352" w:right="0" w:firstLine="0"/>
              <w:jc w:val="left"/>
            </w:pP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6"/>
              </w:rPr>
              <w:t>2033</w:t>
            </w:r>
            <w:r>
              <w:rPr>
                <w:rFonts w:ascii="20" w:hAnsi="20" w:eastAsia="20"/>
                <w:b w:val="0"/>
                <w:i w:val="0"/>
                <w:color w:val="231F20"/>
                <w:sz w:val="16"/>
              </w:rPr>
              <w:t>–</w:t>
            </w:r>
            <w:r>
              <w:rPr>
                <w:rFonts w:ascii="AdvTT6120e2aa" w:hAnsi="AdvTT6120e2aa" w:eastAsia="AdvTT6120e2aa"/>
                <w:b w:val="0"/>
                <w:i w:val="0"/>
                <w:color w:val="231F20"/>
                <w:sz w:val="16"/>
              </w:rPr>
              <w:t>8.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14" w:after="0"/>
              <w:ind w:left="0" w:right="6" w:firstLine="0"/>
              <w:jc w:val="right"/>
            </w:pPr>
            <w:r>
              <w:rPr>
                <w:rFonts w:ascii="AdvTT47a11158.B" w:hAnsi="AdvTT47a11158.B" w:eastAsia="AdvTT47a11158.B"/>
                <w:b w:val="0"/>
                <w:i w:val="0"/>
                <w:color w:val="231F20"/>
                <w:sz w:val="16"/>
              </w:rPr>
              <w:t>85</w:t>
            </w:r>
          </w:p>
        </w:tc>
      </w:tr>
      <w:tr>
        <w:trPr>
          <w:trHeight w:hRule="exact" w:val="406"/>
        </w:trPr>
        <w:tc>
          <w:tcPr>
            <w:tcW w:type="dxa" w:w="5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36" w:after="0"/>
              <w:ind w:left="0" w:right="0" w:firstLine="0"/>
              <w:jc w:val="left"/>
            </w:pPr>
            <w:r>
              <w:rPr>
                <w:rFonts w:ascii="AdvTT9ce5b9b8.I" w:hAnsi="AdvTT9ce5b9b8.I" w:eastAsia="AdvTT9ce5b9b8.I"/>
                <w:b w:val="0"/>
                <w:i w:val="0"/>
                <w:color w:val="231F20"/>
                <w:sz w:val="13"/>
              </w:rPr>
              <w:t>Journal of Gastroenterology and Hepatology</w:t>
            </w:r>
            <w:r>
              <w:rPr>
                <w:rFonts w:ascii="AdvTT47a11158.B" w:hAnsi="AdvTT47a11158.B" w:eastAsia="AdvTT47a11158.B"/>
                <w:b w:val="0"/>
                <w:i w:val="0"/>
                <w:color w:val="231F20"/>
                <w:sz w:val="13"/>
              </w:rPr>
              <w:t xml:space="preserve"> 33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3"/>
              </w:rPr>
              <w:t xml:space="preserve"> (2018) 70</w:t>
            </w:r>
            <w:r>
              <w:rPr>
                <w:rFonts w:ascii="20" w:hAnsi="20" w:eastAsia="20"/>
                <w:b w:val="0"/>
                <w:i w:val="0"/>
                <w:color w:val="231F20"/>
                <w:sz w:val="13"/>
              </w:rPr>
              <w:t>–</w:t>
            </w:r>
            <w:r>
              <w:rPr>
                <w:rFonts w:ascii="AdvTT080e16ec" w:hAnsi="AdvTT080e16ec" w:eastAsia="AdvTT080e16ec"/>
                <w:b w:val="0"/>
                <w:i w:val="0"/>
                <w:color w:val="231F20"/>
                <w:sz w:val="13"/>
              </w:rPr>
              <w:t>85</w:t>
            </w:r>
          </w:p>
        </w:tc>
        <w:tc>
          <w:tcPr>
            <w:tcW w:type="dxa" w:w="3287"/>
            <w:vMerge/>
            <w:tcBorders/>
          </w:tcPr>
          <w:p/>
        </w:tc>
        <w:tc>
          <w:tcPr>
            <w:tcW w:type="dxa" w:w="328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30" w:lineRule="exact" w:before="32" w:after="0"/>
        <w:ind w:left="0" w:right="0" w:firstLine="0"/>
        <w:jc w:val="left"/>
      </w:pPr>
      <w:r>
        <w:rPr>
          <w:rFonts w:ascii="AdvTT080e16ec" w:hAnsi="AdvTT080e16ec" w:eastAsia="AdvTT080e16ec"/>
          <w:b w:val="0"/>
          <w:i w:val="0"/>
          <w:color w:val="231F20"/>
          <w:sz w:val="13"/>
        </w:rPr>
        <w:t>© 2017 Journal of Gastroenterology and Hepatology Foundation and John Wiley &amp; Sons Australia, Ltd</w:t>
      </w:r>
    </w:p>
    <w:sectPr w:rsidR="00FC693F" w:rsidRPr="0006063C" w:rsidSect="00034616">
      <w:type w:val="continuous"/>
      <w:pgSz w:w="11906" w:h="15591"/>
      <w:pgMar w:top="344" w:right="972" w:bottom="292" w:left="107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