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Literature Survey &amp; Applicability Analysis</w:t>
      </w:r>
    </w:p>
    <w:p>
      <w:pPr>
        <w:spacing w:after="80"/>
        <w:jc w:val="center"/>
      </w:pPr>
      <w:r>
        <w:rPr>
          <w:rFonts w:ascii="Arial" w:cs="Arial" w:eastAsia="Arial" w:hAnsi="Arial"/>
          <w:color w:val="2E75B6"/>
          <w:sz w:val="26"/>
          <w:szCs w:val="26"/>
        </w:rPr>
        <w:t xml:space="preserve">LLM-Based Theorem Proving &amp; Regulatory Compliance Automation</w:t>
      </w:r>
    </w:p>
    <w:p>
      <w:pPr>
        <w:spacing w:after="240"/>
        <w:jc w:val="center"/>
      </w:pPr>
      <w:r>
        <w:rPr>
          <w:rFonts w:ascii="Arial" w:cs="Arial" w:eastAsia="Arial" w:hAnsi="Arial"/>
          <w:color w:val="808080"/>
          <w:sz w:val="20"/>
          <w:szCs w:val="20"/>
        </w:rPr>
        <w:t xml:space="preserve">Compiled: March 2026  |  Prepared for: Internal Project Reference</w:t>
      </w:r>
    </w:p>
    <w:p>
      <w:pPr>
        <w:pBdr>
          <w:bottom w:val="single" w:color="2E75B6" w:sz="6" w:space="1"/>
        </w:pBdr>
      </w:pPr>
      <w:r>
        <w:t xml:space="preserve"/>
      </w:r>
    </w:p>
    <w:p>
      <w:pPr>
        <w:spacing w:after="80"/>
      </w:pPr>
      <w:r>
        <w:t xml:space="preserve"/>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document surveys the state of the art in two intersecting research areas—(1) LLM-assisted neural theorem proving in formal proof assistants such as Lean, and (2) LLM-driven regulatory compliance automation—and maps findings against our current pipeline for SEBI ICDR compliance verification. For each area, we assess which techniques, ideas, or design patterns are most applicable to our work and how they can be adopted. We conclude with a consolidated list of concrete integration opportunities.</w:t>
      </w:r>
    </w:p>
    <w:p>
      <w:pPr>
        <w:spacing w:after="80"/>
      </w:pPr>
      <w:r>
        <w:t xml:space="preserve"/>
      </w:r>
    </w:p>
    <w:p>
      <w:pPr>
        <w:pStyle w:val="Heading1"/>
      </w:pPr>
      <w:r>
        <w:rPr>
          <w:rFonts w:ascii="Arial" w:cs="Arial" w:eastAsia="Arial" w:hAnsi="Arial"/>
          <w:b/>
          <w:bCs/>
          <w:sz w:val="32"/>
          <w:szCs w:val="32"/>
        </w:rPr>
        <w:t xml:space="preserve">2. The Lean Copilot Paper: Summary and Critical Reading</w:t>
      </w:r>
    </w:p>
    <w:p>
      <w:pPr>
        <w:spacing w:after="120"/>
      </w:pPr>
      <w:r>
        <w:rPr>
          <w:rFonts w:ascii="Arial" w:cs="Arial" w:eastAsia="Arial" w:hAnsi="Arial"/>
          <w:sz w:val="22"/>
          <w:szCs w:val="22"/>
        </w:rPr>
        <w:t xml:space="preserve">Song, Yang &amp; Anandkumar (NeuS 2025) present Lean Copilot, a framework for running LLM inference natively inside the Lean proof assistant via Lean's foreign function interface (FFI). Three tools are built on top of this framework: SUGGEST_TACTICS (next-tactic suggestion), SEARCH_PROOF (LLM-augmented best-first proof search over the AESOP rule engine), and SELECT_PREMISES (retrieval-augmented premise selection using the ReProver encoder). Experiments on the Mathematics in Lean textbook demonstrate that SEARCH_PROOF automates 74.2% of proof steps, compared to 40.1% for rule-based AESOP alone.</w:t>
      </w:r>
    </w:p>
    <w:p>
      <w:pPr>
        <w:spacing w:after="80"/>
      </w:pPr>
      <w:r>
        <w:t xml:space="preserve"/>
      </w:r>
    </w:p>
    <w:p>
      <w:pPr>
        <w:pStyle w:val="Heading2"/>
      </w:pPr>
      <w:r>
        <w:rPr>
          <w:rFonts w:ascii="Arial" w:cs="Arial" w:eastAsia="Arial" w:hAnsi="Arial"/>
          <w:b/>
          <w:bCs/>
          <w:sz w:val="26"/>
          <w:szCs w:val="26"/>
        </w:rPr>
        <w:t xml:space="preserve">2.1 Key Technical Contributions</w:t>
      </w:r>
    </w:p>
    <w:p>
      <w:pPr>
        <w:pStyle w:val="ListParagraph"/>
        <w:numPr>
          <w:ilvl w:val="0"/>
          <w:numId w:val="2"/>
        </w:numPr>
        <w:spacing w:after="80"/>
      </w:pPr>
      <w:r>
        <w:rPr>
          <w:rFonts w:ascii="Arial" w:cs="Arial" w:eastAsia="Arial" w:hAnsi="Arial"/>
          <w:sz w:val="22"/>
          <w:szCs w:val="22"/>
        </w:rPr>
        <w:t xml:space="preserve">FFI-native inference: LLMs run directly inside Lean without a Python sidecar, removing inter-process overhead and making tools behave like ordinary Lean tactics.</w:t>
      </w:r>
    </w:p>
    <w:p>
      <w:pPr>
        <w:pStyle w:val="ListParagraph"/>
        <w:numPr>
          <w:ilvl w:val="0"/>
          <w:numId w:val="2"/>
        </w:numPr>
        <w:spacing w:after="80"/>
      </w:pPr>
      <w:r>
        <w:rPr>
          <w:rFonts w:ascii="Arial" w:cs="Arial" w:eastAsia="Arial" w:hAnsi="Arial"/>
          <w:sz w:val="22"/>
          <w:szCs w:val="22"/>
        </w:rPr>
        <w:t xml:space="preserve">LLM-augmented proof search: SEARCH_PROOF replaces AESOP's fixed rule set with goal-dependent tactic candidates generated by the LLM at each search node, making the rule set adaptive rather than static.</w:t>
      </w:r>
    </w:p>
    <w:p>
      <w:pPr>
        <w:pStyle w:val="ListParagraph"/>
        <w:numPr>
          <w:ilvl w:val="0"/>
          <w:numId w:val="2"/>
        </w:numPr>
        <w:spacing w:after="80"/>
      </w:pPr>
      <w:r>
        <w:rPr>
          <w:rFonts w:ascii="Arial" w:cs="Arial" w:eastAsia="Arial" w:hAnsi="Arial"/>
          <w:sz w:val="22"/>
          <w:szCs w:val="22"/>
        </w:rPr>
        <w:t xml:space="preserve">Retrieval-augmented premise selection: SELECT_PREMISES encodes proof goals into a vector, then scores candidate premises from Mathlib using a pre-computed embedding matrix.</w:t>
      </w:r>
    </w:p>
    <w:p>
      <w:pPr>
        <w:pStyle w:val="ListParagraph"/>
        <w:numPr>
          <w:ilvl w:val="0"/>
          <w:numId w:val="2"/>
        </w:numPr>
        <w:spacing w:after="80"/>
      </w:pPr>
      <w:r>
        <w:rPr>
          <w:rFonts w:ascii="Arial" w:cs="Arial" w:eastAsia="Arial" w:hAnsi="Arial"/>
          <w:sz w:val="22"/>
          <w:szCs w:val="22"/>
        </w:rPr>
        <w:t xml:space="preserve">Feedback loop design: Only error-free tactics are surfaced to the user; the system silently filters candidates by running them in a Lean meta-program before display.</w:t>
      </w:r>
    </w:p>
    <w:p>
      <w:pPr>
        <w:spacing w:after="80"/>
      </w:pPr>
      <w:r>
        <w:t xml:space="preserve"/>
      </w:r>
    </w:p>
    <w:p>
      <w:pPr>
        <w:pStyle w:val="Heading2"/>
      </w:pPr>
      <w:r>
        <w:rPr>
          <w:rFonts w:ascii="Arial" w:cs="Arial" w:eastAsia="Arial" w:hAnsi="Arial"/>
          <w:b/>
          <w:bCs/>
          <w:sz w:val="26"/>
          <w:szCs w:val="26"/>
        </w:rPr>
        <w:t xml:space="preserve">2.2 Relevance to Our Pipeline</w:t>
      </w:r>
    </w:p>
    <w:p>
      <w:pPr>
        <w:spacing w:after="120"/>
      </w:pPr>
      <w:r>
        <w:rPr>
          <w:rFonts w:ascii="Arial" w:cs="Arial" w:eastAsia="Arial" w:hAnsi="Arial"/>
          <w:sz w:val="22"/>
          <w:szCs w:val="22"/>
        </w:rPr>
        <w:t xml:space="preserve">Our pipeline produces Lean code for issuer structures and compliance check functions from SEBI ICDR rules. Below we map Lean Copilot's contributions to our specific context: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Lean Copilot Technique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Our Pipeline Stage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SUGGEST_TACTICS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Lean code generation for issuer fields &amp; check functions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can suggest next tactics when LLM-generated proof skeletons get stuck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SEARCH_PROOF</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proof of compliance lemmas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replaces manual AESOP tuning; can close most auto-provable goals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SELECT_PREMISES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Locating relevant Lean definitions from our issuer schema library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useful once our library grows; premise retrieval across a large schema corpus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FFI / server mode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Integrating verification into our Python orchestrator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server mode allows us to call Lean from Python without rewriting the stack in Lean</w:t>
            </w:r>
          </w:p>
        </w:tc>
      </w:tr>
    </w:tbl>
    <w:p>
      <w:pPr>
        <w:spacing w:after="80"/>
      </w:pPr>
      <w:r>
        <w:t xml:space="preserve"/>
      </w:r>
    </w:p>
    <w:p>
      <w:pPr>
        <w:pStyle w:val="Heading2"/>
      </w:pPr>
      <w:r>
        <w:rPr>
          <w:rFonts w:ascii="Arial" w:cs="Arial" w:eastAsia="Arial" w:hAnsi="Arial"/>
          <w:b/>
          <w:bCs/>
          <w:sz w:val="26"/>
          <w:szCs w:val="26"/>
        </w:rPr>
        <w:t xml:space="preserve">2.3 Limitations to Note</w:t>
      </w:r>
    </w:p>
    <w:p>
      <w:pPr>
        <w:pStyle w:val="ListParagraph"/>
        <w:numPr>
          <w:ilvl w:val="0"/>
          <w:numId w:val="2"/>
        </w:numPr>
        <w:spacing w:after="80"/>
      </w:pPr>
      <w:r>
        <w:rPr>
          <w:rFonts w:ascii="Arial" w:cs="Arial" w:eastAsia="Arial" w:hAnsi="Arial"/>
          <w:sz w:val="22"/>
          <w:szCs w:val="22"/>
        </w:rPr>
        <w:t xml:space="preserve">Lean Copilot's default model (ReProver/ByT5) is trained on Mathlib, not on financial or regulatory formal proofs. Fine-tuning or domain adaptation would be needed before premise retrieval is effective on our schema library.</w:t>
      </w:r>
    </w:p>
    <w:p>
      <w:pPr>
        <w:pStyle w:val="ListParagraph"/>
        <w:numPr>
          <w:ilvl w:val="0"/>
          <w:numId w:val="2"/>
        </w:numPr>
        <w:spacing w:after="80"/>
      </w:pPr>
      <w:r>
        <w:rPr>
          <w:rFonts w:ascii="Arial" w:cs="Arial" w:eastAsia="Arial" w:hAnsi="Arial"/>
          <w:sz w:val="22"/>
          <w:szCs w:val="22"/>
        </w:rPr>
        <w:t xml:space="preserve">The paper benchmarks on the Mathematics in Lean textbook, which is a relatively narrow domain. Performance on novel domains (e.g., structured financial compliance lemmas) may be significantly lower.</w:t>
      </w:r>
    </w:p>
    <w:p>
      <w:pPr>
        <w:pStyle w:val="ListParagraph"/>
        <w:numPr>
          <w:ilvl w:val="0"/>
          <w:numId w:val="2"/>
        </w:numPr>
        <w:spacing w:after="80"/>
      </w:pPr>
      <w:r>
        <w:rPr>
          <w:rFonts w:ascii="Arial" w:cs="Arial" w:eastAsia="Arial" w:hAnsi="Arial"/>
          <w:sz w:val="22"/>
          <w:szCs w:val="22"/>
        </w:rPr>
        <w:t xml:space="preserve">The framework currently uses beam search with fixed hyperparameters. Our verification pipeline may benefit from tighter integration with a value function or reward model calibrated to compliance proof patterns.</w:t>
      </w:r>
    </w:p>
    <w:p>
      <w:pPr>
        <w:spacing w:after="80"/>
      </w:pPr>
      <w:r>
        <w:t xml:space="preserve"/>
      </w:r>
    </w:p>
    <w:p>
      <w:pPr>
        <w:pStyle w:val="Heading1"/>
      </w:pPr>
      <w:r>
        <w:rPr>
          <w:rFonts w:ascii="Arial" w:cs="Arial" w:eastAsia="Arial" w:hAnsi="Arial"/>
          <w:b/>
          <w:bCs/>
          <w:sz w:val="32"/>
          <w:szCs w:val="32"/>
        </w:rPr>
        <w:t xml:space="preserve">3. State-of-the-Art in LLM-Based Theorem Proving</w:t>
      </w:r>
    </w:p>
    <w:p>
      <w:pPr>
        <w:spacing w:after="120"/>
      </w:pPr>
      <w:r>
        <w:rPr>
          <w:rFonts w:ascii="Arial" w:cs="Arial" w:eastAsia="Arial" w:hAnsi="Arial"/>
          <w:sz w:val="22"/>
          <w:szCs w:val="22"/>
        </w:rPr>
        <w:t xml:space="preserve">The field has moved rapidly since Lean Copilot's initial release. Below we survey the most relevant developments and map them to our work.</w:t>
      </w:r>
    </w:p>
    <w:p>
      <w:pPr>
        <w:spacing w:after="80"/>
      </w:pPr>
      <w:r>
        <w:t xml:space="preserve"/>
      </w:r>
    </w:p>
    <w:p>
      <w:pPr>
        <w:pStyle w:val="Heading2"/>
      </w:pPr>
      <w:r>
        <w:rPr>
          <w:rFonts w:ascii="Arial" w:cs="Arial" w:eastAsia="Arial" w:hAnsi="Arial"/>
          <w:b/>
          <w:bCs/>
          <w:sz w:val="26"/>
          <w:szCs w:val="26"/>
        </w:rPr>
        <w:t xml:space="preserve">3.1 Proof Search Architectures</w:t>
      </w:r>
    </w:p>
    <w:p>
      <w:pPr>
        <w:pStyle w:val="Heading3"/>
      </w:pPr>
      <w:r>
        <w:rPr>
          <w:rFonts w:ascii="Arial" w:cs="Arial" w:eastAsia="Arial" w:hAnsi="Arial"/>
          <w:b/>
          <w:bCs/>
          <w:sz w:val="24"/>
          <w:szCs w:val="24"/>
        </w:rPr>
        <w:t xml:space="preserve">3.1.1 Best-First Tree Search</w:t>
      </w:r>
    </w:p>
    <w:p>
      <w:pPr>
        <w:spacing w:after="120"/>
      </w:pPr>
      <w:r>
        <w:rPr>
          <w:rFonts w:ascii="Arial" w:cs="Arial" w:eastAsia="Arial" w:hAnsi="Arial"/>
          <w:sz w:val="22"/>
          <w:szCs w:val="22"/>
        </w:rPr>
        <w:t xml:space="preserve">The dominant paradigm pairs an LLM tactic generator with a best-first search (BFS) over the proof state tree. BFS-Prover (Xin et al., 2025) achieves 95.08% on miniF2F by combining multi-turn off-policy RL with adaptive beam-size decay. For our pipeline, this is the most directly applicable architecture: our compliance check functions are small, structured lemmas that are strong candidates for BFS-based automation.</w:t>
      </w:r>
    </w:p>
    <w:p>
      <w:pPr>
        <w:spacing w:after="80"/>
      </w:pPr>
      <w:r>
        <w:t xml:space="preserve"/>
      </w:r>
    </w:p>
    <w:p>
      <w:pPr>
        <w:pStyle w:val="Heading3"/>
      </w:pPr>
      <w:r>
        <w:rPr>
          <w:rFonts w:ascii="Arial" w:cs="Arial" w:eastAsia="Arial" w:hAnsi="Arial"/>
          <w:b/>
          <w:bCs/>
          <w:sz w:val="24"/>
          <w:szCs w:val="24"/>
        </w:rPr>
        <w:t xml:space="preserve">3.1.2 Recursive Decomposition (Hilbert, APOLLO)</w:t>
      </w:r>
    </w:p>
    <w:p>
      <w:pPr>
        <w:spacing w:after="120"/>
      </w:pPr>
      <w:r>
        <w:rPr>
          <w:rFonts w:ascii="Arial" w:cs="Arial" w:eastAsia="Arial" w:hAnsi="Arial"/>
          <w:sz w:val="22"/>
          <w:szCs w:val="22"/>
        </w:rPr>
        <w:t xml:space="preserve">Apple's Hilbert framework (machinelearning.apple.com, 2024) orchestrates four components—an informal LLM, a specialized Lean-4 prover LLM, a verifier, and a semantic theorem retriever—to recursively decompose problems that the prover cannot solve directly. APOLLO (arxiv 2505.05758) similarly separates synthesis and correction into distinct modules. For our pipeline, recursive decomposition is appealing for composite compliance rules that involve multiple sub-conditions (e.g., a rule that combines financial threshold checks, date conditions, and issuer category checks).</w:t>
      </w:r>
    </w:p>
    <w:p>
      <w:pPr>
        <w:spacing w:after="80"/>
      </w:pPr>
      <w:r>
        <w:t xml:space="preserve"/>
      </w:r>
    </w:p>
    <w:p>
      <w:pPr>
        <w:pStyle w:val="Heading3"/>
      </w:pPr>
      <w:r>
        <w:rPr>
          <w:rFonts w:ascii="Arial" w:cs="Arial" w:eastAsia="Arial" w:hAnsi="Arial"/>
          <w:b/>
          <w:bCs/>
          <w:sz w:val="24"/>
          <w:szCs w:val="24"/>
        </w:rPr>
        <w:t xml:space="preserve">3.1.3 Neuro-Symbolic Repair (PALM, ProofAug)</w:t>
      </w:r>
    </w:p>
    <w:p>
      <w:pPr>
        <w:spacing w:after="120"/>
      </w:pPr>
      <w:r>
        <w:rPr>
          <w:rFonts w:ascii="Arial" w:cs="Arial" w:eastAsia="Arial" w:hAnsi="Arial"/>
          <w:sz w:val="22"/>
          <w:szCs w:val="22"/>
        </w:rPr>
        <w:t xml:space="preserve">PALM (Lu et al., 2024) and ProofAug (Liu et al., 2025) interleave LLM proof generation with automated theorem provers (Sledgehammer, CoqHammer) to patch failing subgoals. This generate-then-repair paradigm is particularly relevant to our setting: when the LLM generates a Lean check function with a syntactically correct but unprovable intermediate step, a symbolic repair module can attempt to close it using standard Lean tactics (simp, omega, decide) before escalating to the LLM for a deeper fix.</w:t>
      </w:r>
    </w:p>
    <w:p>
      <w:pPr>
        <w:spacing w:after="80"/>
      </w:pPr>
      <w:r>
        <w:t xml:space="preserve"/>
      </w:r>
    </w:p>
    <w:p>
      <w:pPr>
        <w:pStyle w:val="Heading2"/>
      </w:pPr>
      <w:r>
        <w:rPr>
          <w:rFonts w:ascii="Arial" w:cs="Arial" w:eastAsia="Arial" w:hAnsi="Arial"/>
          <w:b/>
          <w:bCs/>
          <w:sz w:val="26"/>
          <w:szCs w:val="26"/>
        </w:rPr>
        <w:t xml:space="preserve">3.2 Autoformalization</w:t>
      </w:r>
    </w:p>
    <w:p>
      <w:pPr>
        <w:spacing w:after="120"/>
      </w:pPr>
      <w:r>
        <w:rPr>
          <w:rFonts w:ascii="Arial" w:cs="Arial" w:eastAsia="Arial" w:hAnsi="Arial"/>
          <w:sz w:val="22"/>
          <w:szCs w:val="22"/>
        </w:rPr>
        <w:t xml:space="preserve">Autoformalization—translating natural language into formal statements—is the most directly applicable research thread to our project, since our pipeline begins with regulatory text (the SEBI ICDR) and must produce Lean-compatible code.</w:t>
      </w:r>
    </w:p>
    <w:p>
      <w:pPr>
        <w:spacing w:after="80"/>
      </w:pPr>
      <w:r>
        <w:t xml:space="preserve"/>
      </w:r>
    </w:p>
    <w:p>
      <w:pPr>
        <w:pStyle w:val="ListParagraph"/>
        <w:numPr>
          <w:ilvl w:val="0"/>
          <w:numId w:val="2"/>
        </w:numPr>
        <w:spacing w:after="80"/>
      </w:pPr>
      <w:r>
        <w:rPr>
          <w:rFonts w:ascii="Arial" w:cs="Arial" w:eastAsia="Arial" w:hAnsi="Arial"/>
          <w:sz w:val="22"/>
          <w:szCs w:val="22"/>
        </w:rPr>
        <w:t xml:space="preserve">Wu et al. (NeurIPS 2022) showed that large LLMs can formalize undergraduate-level mathematics from LaTeX with few-shot prompting. Our rule extraction stage is structurally similar.</w:t>
      </w:r>
    </w:p>
    <w:p>
      <w:pPr>
        <w:pStyle w:val="ListParagraph"/>
        <w:numPr>
          <w:ilvl w:val="0"/>
          <w:numId w:val="2"/>
        </w:numPr>
        <w:spacing w:after="80"/>
      </w:pPr>
      <w:r>
        <w:rPr>
          <w:rFonts w:ascii="Arial" w:cs="Arial" w:eastAsia="Arial" w:hAnsi="Arial"/>
          <w:sz w:val="22"/>
          <w:szCs w:val="22"/>
        </w:rPr>
        <w:t xml:space="preserve">Herald (ICLR 2025) and FormalAlign (ICLR 2025) introduce dedicated formalizer models and alignment evaluation metrics (BEqL, BEq+) that go beyond syntactic correctness to test semantic equivalence. We should adopt such evaluation metrics to check that our formalized compliance rules are semantically faithful to the ICDR text.</w:t>
      </w:r>
    </w:p>
    <w:p>
      <w:pPr>
        <w:pStyle w:val="ListParagraph"/>
        <w:numPr>
          <w:ilvl w:val="0"/>
          <w:numId w:val="2"/>
        </w:numPr>
        <w:spacing w:after="80"/>
      </w:pPr>
      <w:r>
        <w:rPr>
          <w:rFonts w:ascii="Arial" w:cs="Arial" w:eastAsia="Arial" w:hAnsi="Arial"/>
          <w:sz w:val="22"/>
          <w:szCs w:val="22"/>
        </w:rPr>
        <w:t xml:space="preserve">The process-driven approach (Zheng et al., 2024) provides step-level feedback from the Lean compiler to iteratively correct autoformalization errors. This maps cleanly onto our reconciliation pipeline: type errors from Lean can be fed back to the LLM judge to correct schema types.</w:t>
      </w:r>
    </w:p>
    <w:p>
      <w:pPr>
        <w:pStyle w:val="ListParagraph"/>
        <w:numPr>
          <w:ilvl w:val="0"/>
          <w:numId w:val="2"/>
        </w:numPr>
        <w:spacing w:after="80"/>
      </w:pPr>
      <w:r>
        <w:rPr>
          <w:rFonts w:ascii="Arial" w:cs="Arial" w:eastAsia="Arial" w:hAnsi="Arial"/>
          <w:sz w:val="22"/>
          <w:szCs w:val="22"/>
        </w:rPr>
        <w:t xml:space="preserve">A critical finding across the literature: hybrid frameworks that combine LLM translation with symbolic post-generation validation (type checker, tactic engine) substantially outperform pure neural approaches. Our current strict type enforcement is already partially aligned with this; the next step is closing the loop from Lean error messages back into the schema reconciliation phase.</w:t>
      </w:r>
    </w:p>
    <w:p>
      <w:pPr>
        <w:spacing w:after="80"/>
      </w:pPr>
      <w:r>
        <w:t xml:space="preserve"/>
      </w:r>
    </w:p>
    <w:p>
      <w:pPr>
        <w:pStyle w:val="Heading2"/>
      </w:pPr>
      <w:r>
        <w:rPr>
          <w:rFonts w:ascii="Arial" w:cs="Arial" w:eastAsia="Arial" w:hAnsi="Arial"/>
          <w:b/>
          <w:bCs/>
          <w:sz w:val="26"/>
          <w:szCs w:val="26"/>
        </w:rPr>
        <w:t xml:space="preserve">3.3 LLM-as-Judge for Proof Verification</w:t>
      </w:r>
    </w:p>
    <w:p>
      <w:pPr>
        <w:spacing w:after="120"/>
      </w:pPr>
      <w:r>
        <w:rPr>
          <w:rFonts w:ascii="Arial" w:cs="Arial" w:eastAsia="Arial" w:hAnsi="Arial"/>
          <w:sz w:val="22"/>
          <w:szCs w:val="22"/>
        </w:rPr>
        <w:t xml:space="preserve">TP-as-a-Judge (Leang et al., 2025) uses iterative autoformalization to convert LLM proof sketches to Lean, then uses the prover as a binary judge. This is directly analogous to how we use our LLM judge for schema type reconciliation—with the important distinction that the Lean kernel, unlike our LLM judge, is a fully trusted oracle. Our current architecture already uses deterministic overrides when the LLM judge produces invalid types; extending this to a Lean-in-the-loop design where the kernel provides direct feedback would be a significant upgrade.</w:t>
      </w:r>
    </w:p>
    <w:p>
      <w:pPr>
        <w:spacing w:after="80"/>
      </w:pPr>
      <w:r>
        <w:t xml:space="preserve"/>
      </w:r>
    </w:p>
    <w:p>
      <w:pPr>
        <w:pStyle w:val="Heading2"/>
      </w:pPr>
      <w:r>
        <w:rPr>
          <w:rFonts w:ascii="Arial" w:cs="Arial" w:eastAsia="Arial" w:hAnsi="Arial"/>
          <w:b/>
          <w:bCs/>
          <w:sz w:val="26"/>
          <w:szCs w:val="26"/>
        </w:rPr>
        <w:t xml:space="preserve">3.4 LEGO-Prover and Growing Libraries</w:t>
      </w:r>
    </w:p>
    <w:p>
      <w:pPr>
        <w:spacing w:after="120"/>
      </w:pPr>
      <w:r>
        <w:rPr>
          <w:rFonts w:ascii="Arial" w:cs="Arial" w:eastAsia="Arial" w:hAnsi="Arial"/>
          <w:sz w:val="22"/>
          <w:szCs w:val="22"/>
        </w:rPr>
        <w:t xml:space="preserve">LEGO-Prover (Wang et al., ICLR 2024) builds proof libraries incrementally: each newly proven lemma is added to the library and used as a premise in future proofs. This has direct applicability to our project: each compliance rule that is successfully verified can be added to a growing library of proven compliance properties, which can then be reused as premises when verifying related rules. This is especially powerful given the hierarchical structure of SEBI ICDR, where eligibility rules often depend on previously established financial thresholds.</w:t>
      </w:r>
    </w:p>
    <w:p>
      <w:pPr>
        <w:spacing w:after="80"/>
      </w:pPr>
      <w:r>
        <w:t xml:space="preserve"/>
      </w:r>
    </w:p>
    <w:p>
      <w:pPr>
        <w:pStyle w:val="Heading1"/>
      </w:pPr>
      <w:r>
        <w:rPr>
          <w:rFonts w:ascii="Arial" w:cs="Arial" w:eastAsia="Arial" w:hAnsi="Arial"/>
          <w:b/>
          <w:bCs/>
          <w:sz w:val="32"/>
          <w:szCs w:val="32"/>
        </w:rPr>
        <w:t xml:space="preserve">4. State-of-the-Art in Regulatory Compliance Automation</w:t>
      </w:r>
    </w:p>
    <w:p>
      <w:pPr>
        <w:spacing w:after="120"/>
      </w:pPr>
      <w:r>
        <w:rPr>
          <w:rFonts w:ascii="Arial" w:cs="Arial" w:eastAsia="Arial" w:hAnsi="Arial"/>
          <w:sz w:val="22"/>
          <w:szCs w:val="22"/>
        </w:rPr>
        <w:t xml:space="preserve">The RegTech literature has developed separately from the theorem proving literature, but several threads are highly complementary to our approach.</w:t>
      </w:r>
    </w:p>
    <w:p>
      <w:pPr>
        <w:spacing w:after="80"/>
      </w:pPr>
      <w:r>
        <w:t xml:space="preserve"/>
      </w:r>
    </w:p>
    <w:p>
      <w:pPr>
        <w:pStyle w:val="Heading2"/>
      </w:pPr>
      <w:r>
        <w:rPr>
          <w:rFonts w:ascii="Arial" w:cs="Arial" w:eastAsia="Arial" w:hAnsi="Arial"/>
          <w:b/>
          <w:bCs/>
          <w:sz w:val="26"/>
          <w:szCs w:val="26"/>
        </w:rPr>
        <w:t xml:space="preserve">4.1 Compliance-to-Code Pipelines</w:t>
      </w:r>
    </w:p>
    <w:p>
      <w:pPr>
        <w:spacing w:after="120"/>
      </w:pPr>
      <w:r>
        <w:rPr>
          <w:rFonts w:ascii="Arial" w:cs="Arial" w:eastAsia="Arial" w:hAnsi="Arial"/>
          <w:sz w:val="22"/>
          <w:szCs w:val="22"/>
        </w:rPr>
        <w:t xml:space="preserve">The closest academic work to ours is the Compliance-to-Code paper (arxiv 2505.19804, 2025), which presents a code-centric approach for LLM-driven compliance automation. The pipeline translates regulatory text into executable compliance logic, noting that code generation improves transparency, interpretability, and auditability versus pure natural-language verification—precisely our motivation for targeting Lean. The paper identifies a critical gap: there is almost no publicly available dataset mapping real regulatory text to executable compliance logic in the financial sector. Our SEBI ICDR pipeline, if published, would directly address this gap.</w:t>
      </w:r>
    </w:p>
    <w:p>
      <w:pPr>
        <w:spacing w:after="80"/>
      </w:pPr>
      <w:r>
        <w:t xml:space="preserve"/>
      </w:r>
    </w:p>
    <w:p>
      <w:pPr>
        <w:pStyle w:val="Heading2"/>
      </w:pPr>
      <w:r>
        <w:rPr>
          <w:rFonts w:ascii="Arial" w:cs="Arial" w:eastAsia="Arial" w:hAnsi="Arial"/>
          <w:b/>
          <w:bCs/>
          <w:sz w:val="26"/>
          <w:szCs w:val="26"/>
        </w:rPr>
        <w:t xml:space="preserve">4.2 Knowledge Acquisition + VER-LLM Architectures</w:t>
      </w:r>
    </w:p>
    <w:p>
      <w:pPr>
        <w:spacing w:after="120"/>
      </w:pPr>
      <w:r>
        <w:rPr>
          <w:rFonts w:ascii="Arial" w:cs="Arial" w:eastAsia="Arial" w:hAnsi="Arial"/>
          <w:sz w:val="22"/>
          <w:szCs w:val="22"/>
        </w:rPr>
        <w:t xml:space="preserve">The MIT Computational Law Report (Sobkowski &amp; Karapetyan, 2025) introduces a three-component framework: (1) knowledge acquisition from unstructured text into an ontology, (2) a Verification LLM (VER-LLM) that applies logical reasoning and hypothesis testing, and (3) a continuous improvement feedback loop. This maps closely to our pipeline: our rule extraction stage performs knowledge acquisition, our LLM judge acts as VER-LLM, and our schema reconciliation implements a form of feedback-driven improvement. The key difference is that their VER-LLM operates on natural language while ours targets formal Lean types—giving us much stronger verification guarantees.</w:t>
      </w:r>
    </w:p>
    <w:p>
      <w:pPr>
        <w:spacing w:after="80"/>
      </w:pPr>
      <w:r>
        <w:t xml:space="preserve"/>
      </w:r>
    </w:p>
    <w:p>
      <w:pPr>
        <w:pStyle w:val="Heading2"/>
      </w:pPr>
      <w:r>
        <w:rPr>
          <w:rFonts w:ascii="Arial" w:cs="Arial" w:eastAsia="Arial" w:hAnsi="Arial"/>
          <w:b/>
          <w:bCs/>
          <w:sz w:val="26"/>
          <w:szCs w:val="26"/>
        </w:rPr>
        <w:t xml:space="preserve">4.3 Automated Regulatory Compliance Verification (ARCV)</w:t>
      </w:r>
    </w:p>
    <w:p>
      <w:pPr>
        <w:spacing w:after="120"/>
      </w:pPr>
      <w:r>
        <w:rPr>
          <w:rFonts w:ascii="Arial" w:cs="Arial" w:eastAsia="Arial" w:hAnsi="Arial"/>
          <w:sz w:val="22"/>
          <w:szCs w:val="22"/>
        </w:rPr>
        <w:t xml:space="preserve">An empirical study (arxiv 2507.16642) evaluates LLMs on financial auditing datasets (IFRS and HGB standards) using structured prompts, chain-of-thought, and tree-of-thought techniques. Key findings: (1) prompt structure has a large effect on performance; (2) chain-of-thought prompting substantially outperforms vanilla prompting for multi-condition compliance checks; (3) models perform poorly on domain-specific numeric formats (similar to our Indian comma-format issues). The paper underscores the importance of deterministic numeric parsing—which our pipeline already implements—as a necessary pre-condition for reliable compliance checking.</w:t>
      </w:r>
    </w:p>
    <w:p>
      <w:pPr>
        <w:spacing w:after="80"/>
      </w:pPr>
      <w:r>
        <w:t xml:space="preserve"/>
      </w:r>
    </w:p>
    <w:p>
      <w:pPr>
        <w:pStyle w:val="Heading2"/>
      </w:pPr>
      <w:r>
        <w:rPr>
          <w:rFonts w:ascii="Arial" w:cs="Arial" w:eastAsia="Arial" w:hAnsi="Arial"/>
          <w:b/>
          <w:bCs/>
          <w:sz w:val="26"/>
          <w:szCs w:val="26"/>
        </w:rPr>
        <w:t xml:space="preserve">4.4 GraphRAG for Multi-Document Compliance</w:t>
      </w:r>
    </w:p>
    <w:p>
      <w:pPr>
        <w:spacing w:after="120"/>
      </w:pPr>
      <w:r>
        <w:rPr>
          <w:rFonts w:ascii="Arial" w:cs="Arial" w:eastAsia="Arial" w:hAnsi="Arial"/>
          <w:sz w:val="22"/>
          <w:szCs w:val="22"/>
        </w:rPr>
        <w:t xml:space="preserve">Microsoft's GraphRAG and related approaches address a specific weakness in our pipeline: compliance queries that require reasoning across multiple regulatory documents (e.g., cross-references between ICDR regulations and related SEBI circulars). By building a knowledge graph over regulatory entities and then querying it alongside the vector search, GraphRAG answers multi-hop questions more reliably. As our pipeline scales to handle multiple regulatory frameworks, this is a natural extension.</w:t>
      </w:r>
    </w:p>
    <w:p>
      <w:pPr>
        <w:spacing w:after="80"/>
      </w:pPr>
      <w:r>
        <w:t xml:space="preserve"/>
      </w:r>
    </w:p>
    <w:p>
      <w:pPr>
        <w:pStyle w:val="Heading2"/>
      </w:pPr>
      <w:r>
        <w:rPr>
          <w:rFonts w:ascii="Arial" w:cs="Arial" w:eastAsia="Arial" w:hAnsi="Arial"/>
          <w:b/>
          <w:bCs/>
          <w:sz w:val="26"/>
          <w:szCs w:val="26"/>
        </w:rPr>
        <w:t xml:space="preserve">4.5 Financial LLMs (FinBERT, BloombergGPT, AuditWen)</w:t>
      </w:r>
    </w:p>
    <w:p>
      <w:pPr>
        <w:spacing w:after="120"/>
      </w:pPr>
      <w:r>
        <w:rPr>
          <w:rFonts w:ascii="Arial" w:cs="Arial" w:eastAsia="Arial" w:hAnsi="Arial"/>
          <w:sz w:val="22"/>
          <w:szCs w:val="22"/>
        </w:rPr>
        <w:t xml:space="preserve">Domain-specific models fine-tuned on financial corpora (FinBERT, BloombergGPT, AuditWen) consistently outperform general-purpose models on financial text tasks. For our rule extraction and issuer data extraction stages, using a finance-domain model as the base LLM—even without further fine-tuning on ICDR-specific data—is likely to improve numeric extraction accuracy and reduce hallucination in financial quantity identification.</w:t>
      </w:r>
    </w:p>
    <w:p>
      <w:pPr>
        <w:spacing w:after="80"/>
      </w:pPr>
      <w:r>
        <w:t xml:space="preserve"/>
      </w:r>
    </w:p>
    <w:p>
      <w:pPr>
        <w:pStyle w:val="Heading1"/>
      </w:pPr>
      <w:r>
        <w:rPr>
          <w:rFonts w:ascii="Arial" w:cs="Arial" w:eastAsia="Arial" w:hAnsi="Arial"/>
          <w:b/>
          <w:bCs/>
          <w:sz w:val="32"/>
          <w:szCs w:val="32"/>
        </w:rPr>
        <w:t xml:space="preserve">5. Positioning Our Work in the Academic Landscape</w:t>
      </w:r>
    </w:p>
    <w:p>
      <w:pPr>
        <w:spacing w:after="120"/>
      </w:pPr>
      <w:r>
        <w:rPr>
          <w:rFonts w:ascii="Arial" w:cs="Arial" w:eastAsia="Arial" w:hAnsi="Arial"/>
          <w:sz w:val="22"/>
          <w:szCs w:val="22"/>
        </w:rPr>
        <w:t xml:space="preserve">To our knowledge, no published work addresses the specific problem of formal compliance verification of Indian capital markets regulations (SEBI ICDR) using a theorem prover such as Lean. Our pipeline occupies a unique position at the intersection of three research areas:</w:t>
      </w:r>
    </w:p>
    <w:p>
      <w:pPr>
        <w:spacing w:after="80"/>
      </w:pPr>
      <w:r>
        <w:t xml:space="preserve"/>
      </w:r>
    </w:p>
    <w:p>
      <w:pPr>
        <w:pStyle w:val="ListParagraph"/>
        <w:numPr>
          <w:ilvl w:val="0"/>
          <w:numId w:val="2"/>
        </w:numPr>
        <w:spacing w:after="80"/>
      </w:pPr>
      <w:r>
        <w:rPr>
          <w:rFonts w:ascii="Arial" w:cs="Arial" w:eastAsia="Arial" w:hAnsi="Arial"/>
          <w:sz w:val="22"/>
          <w:szCs w:val="22"/>
        </w:rPr>
        <w:t xml:space="preserve">Regulatory NLP / RegTech: Rule extraction, obligation identification, and compliance checking from financial legal text.</w:t>
      </w:r>
    </w:p>
    <w:p>
      <w:pPr>
        <w:pStyle w:val="ListParagraph"/>
        <w:numPr>
          <w:ilvl w:val="0"/>
          <w:numId w:val="2"/>
        </w:numPr>
        <w:spacing w:after="80"/>
      </w:pPr>
      <w:r>
        <w:rPr>
          <w:rFonts w:ascii="Arial" w:cs="Arial" w:eastAsia="Arial" w:hAnsi="Arial"/>
          <w:sz w:val="22"/>
          <w:szCs w:val="22"/>
        </w:rPr>
        <w:t xml:space="preserve">Autoformalization: Translating natural-language regulatory rules into formally typed Lean structures.</w:t>
      </w:r>
    </w:p>
    <w:p>
      <w:pPr>
        <w:pStyle w:val="ListParagraph"/>
        <w:numPr>
          <w:ilvl w:val="0"/>
          <w:numId w:val="2"/>
        </w:numPr>
        <w:spacing w:after="80"/>
      </w:pPr>
      <w:r>
        <w:rPr>
          <w:rFonts w:ascii="Arial" w:cs="Arial" w:eastAsia="Arial" w:hAnsi="Arial"/>
          <w:sz w:val="22"/>
          <w:szCs w:val="22"/>
        </w:rPr>
        <w:t xml:space="preserve">Neural Theorem Proving: Using LLMs to generate and verify proofs of compliance properties.</w:t>
      </w:r>
    </w:p>
    <w:p>
      <w:pPr>
        <w:spacing w:after="80"/>
      </w:pPr>
      <w:r>
        <w:t xml:space="preserve"/>
      </w:r>
    </w:p>
    <w:p>
      <w:pPr>
        <w:spacing w:after="120"/>
      </w:pPr>
      <w:r>
        <w:rPr>
          <w:rFonts w:ascii="Arial" w:cs="Arial" w:eastAsia="Arial" w:hAnsi="Arial"/>
          <w:sz w:val="22"/>
          <w:szCs w:val="22"/>
        </w:rPr>
        <w:t xml:space="preserve">The closest adjacent work includes: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Similarity to Ours</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Gap They Do Not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Compliance-to-Code (2025)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Regulation-to-code pipeline, auditability focus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formal theorem proving; uses Python, not Lean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MIT CLR VER-LLM (2025)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Three-stage pipeline with feedback loop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 is LLM-based, not formally sound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ARCV on IFRS/HGB (2025)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Financial regulatory compliance with LLMs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English-language standards; no formal 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Lean Copilot (Song et al., 2025)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LLM-in-Lean infrastructure, tactic suggestion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Mathematical domain, not regulatory/compliance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FVEL (Lin et al., 2024)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Interactive formal verification with LLMs via theorem proving in Isabelle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Software verification domain, not regulatory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AutoReal-Prover on seL4 (2026)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Real-world industrial-scale formal verification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Operating system verification, not financial compliance</w:t>
            </w:r>
          </w:p>
        </w:tc>
      </w:tr>
    </w:tbl>
    <w:p>
      <w:pPr>
        <w:spacing w:after="80"/>
      </w:pPr>
      <w:r>
        <w:t xml:space="preserve"/>
      </w:r>
    </w:p>
    <w:p>
      <w:pPr>
        <w:spacing w:after="120"/>
      </w:pPr>
      <w:r>
        <w:rPr>
          <w:rFonts w:ascii="Arial" w:cs="Arial" w:eastAsia="Arial" w:hAnsi="Arial"/>
          <w:sz w:val="22"/>
          <w:szCs w:val="22"/>
        </w:rPr>
        <w:t xml:space="preserve">This positioning suggests our pipeline—if it achieves reliable end-to-end verification—would represent a novel contribution that could be published as a system paper at a venue such as ICAIL (International Conference on AI and Law), FinNLP, or a formal methods conference.</w:t>
      </w:r>
    </w:p>
    <w:p>
      <w:pPr>
        <w:spacing w:after="80"/>
      </w:pPr>
      <w:r>
        <w:t xml:space="preserve"/>
      </w:r>
    </w:p>
    <w:p>
      <w:pPr>
        <w:pStyle w:val="Heading1"/>
      </w:pPr>
      <w:r>
        <w:rPr>
          <w:rFonts w:ascii="Arial" w:cs="Arial" w:eastAsia="Arial" w:hAnsi="Arial"/>
          <w:b/>
          <w:bCs/>
          <w:sz w:val="32"/>
          <w:szCs w:val="32"/>
        </w:rPr>
        <w:t xml:space="preserve">6. Concrete Integration Opportunities</w:t>
      </w:r>
    </w:p>
    <w:p>
      <w:pPr>
        <w:spacing w:after="120"/>
      </w:pPr>
      <w:r>
        <w:rPr>
          <w:rFonts w:ascii="Arial" w:cs="Arial" w:eastAsia="Arial" w:hAnsi="Arial"/>
          <w:sz w:val="22"/>
          <w:szCs w:val="22"/>
        </w:rPr>
        <w:t xml:space="preserve">The following are specific techniques from the survey that can be adopted into our pipeline, ordered roughly by implementation effort and expected impact.</w:t>
      </w:r>
    </w:p>
    <w:p>
      <w:pPr>
        <w:spacing w:after="80"/>
      </w:pPr>
      <w:r>
        <w:t xml:space="preserve"/>
      </w:r>
    </w:p>
    <w:p>
      <w:pPr>
        <w:pStyle w:val="Heading2"/>
      </w:pPr>
      <w:r>
        <w:rPr>
          <w:rFonts w:ascii="Arial" w:cs="Arial" w:eastAsia="Arial" w:hAnsi="Arial"/>
          <w:b/>
          <w:bCs/>
          <w:sz w:val="26"/>
          <w:szCs w:val="26"/>
        </w:rPr>
        <w:t xml:space="preserve">6.1 Near-Term (Low Effort, High Impact)</w:t>
      </w:r>
    </w:p>
    <w:p>
      <w:pPr>
        <w:pStyle w:val="Heading3"/>
      </w:pPr>
      <w:r>
        <w:rPr>
          <w:rFonts w:ascii="Arial" w:cs="Arial" w:eastAsia="Arial" w:hAnsi="Arial"/>
          <w:b/>
          <w:bCs/>
          <w:sz w:val="24"/>
          <w:szCs w:val="24"/>
        </w:rPr>
        <w:t xml:space="preserve">Lean Compiler Error Feedback Loop</w:t>
      </w:r>
    </w:p>
    <w:p>
      <w:pPr>
        <w:spacing w:after="120"/>
      </w:pPr>
      <w:r>
        <w:rPr>
          <w:rFonts w:ascii="Arial" w:cs="Arial" w:eastAsia="Arial" w:hAnsi="Arial"/>
          <w:sz w:val="22"/>
          <w:szCs w:val="22"/>
        </w:rPr>
        <w:t xml:space="preserve">Currently, the LLM judge reconciles schema types without direct feedback from the Lean compiler. Adding a thin loop where generated Lean code is passed through the Lean REPL and any type errors are fed back to the LLM for correction would immediately improve type correctness. This is analogous to process-driven autoformalization (Zheng et al., 2024) and is the single highest-leverage addition to the pipeline.</w:t>
      </w:r>
    </w:p>
    <w:p>
      <w:pPr>
        <w:spacing w:after="80"/>
      </w:pPr>
      <w:r>
        <w:t xml:space="preserve"/>
      </w:r>
    </w:p>
    <w:p>
      <w:pPr>
        <w:pStyle w:val="Heading3"/>
      </w:pPr>
      <w:r>
        <w:rPr>
          <w:rFonts w:ascii="Arial" w:cs="Arial" w:eastAsia="Arial" w:hAnsi="Arial"/>
          <w:b/>
          <w:bCs/>
          <w:sz w:val="24"/>
          <w:szCs w:val="24"/>
        </w:rPr>
        <w:t xml:space="preserve">SEARCH_PROOF for Compliance Lemma Closing</w:t>
      </w:r>
    </w:p>
    <w:p>
      <w:pPr>
        <w:spacing w:after="120"/>
      </w:pPr>
      <w:r>
        <w:rPr>
          <w:rFonts w:ascii="Arial" w:cs="Arial" w:eastAsia="Arial" w:hAnsi="Arial"/>
          <w:sz w:val="22"/>
          <w:szCs w:val="22"/>
        </w:rPr>
        <w:t xml:space="preserve">For the Lean proof generation stage, replacing manual AESOP configuration with Lean Copilot's SEARCH_PROOF in server mode (ExternalGenerator pointing to a hosted LLM) would allow adaptive tactic generation without requiring full FFI integration. Most eligibility check functions in SEBI ICDR are decidable propositions (numeric comparisons, list membership) that should be amenable to automation with omega, decide, and simp, supplemented by LLM-suggested tactics for edge cases.</w:t>
      </w:r>
    </w:p>
    <w:p>
      <w:pPr>
        <w:spacing w:after="80"/>
      </w:pPr>
      <w:r>
        <w:t xml:space="preserve"/>
      </w:r>
    </w:p>
    <w:p>
      <w:pPr>
        <w:pStyle w:val="Heading3"/>
      </w:pPr>
      <w:r>
        <w:rPr>
          <w:rFonts w:ascii="Arial" w:cs="Arial" w:eastAsia="Arial" w:hAnsi="Arial"/>
          <w:b/>
          <w:bCs/>
          <w:sz w:val="24"/>
          <w:szCs w:val="24"/>
        </w:rPr>
        <w:t xml:space="preserve">Chain-of-Thought Prompting for Rule Extraction</w:t>
      </w:r>
    </w:p>
    <w:p>
      <w:pPr>
        <w:spacing w:after="120"/>
      </w:pPr>
      <w:r>
        <w:rPr>
          <w:rFonts w:ascii="Arial" w:cs="Arial" w:eastAsia="Arial" w:hAnsi="Arial"/>
          <w:sz w:val="22"/>
          <w:szCs w:val="22"/>
        </w:rPr>
        <w:t xml:space="preserve">The ARCV study confirms that chain-of-thought prompting substantially outperforms vanilla prompting for multi-condition regulatory checks. Our rule extraction phase should explicitly prompt the LLM to reason step-by-step through each regulatory rule before emitting the maps-to schema, particularly for rules with nested conditions or exceptions.</w:t>
      </w:r>
    </w:p>
    <w:p>
      <w:pPr>
        <w:spacing w:after="80"/>
      </w:pPr>
      <w:r>
        <w:t xml:space="preserve"/>
      </w:r>
    </w:p>
    <w:p>
      <w:pPr>
        <w:pStyle w:val="Heading2"/>
      </w:pPr>
      <w:r>
        <w:rPr>
          <w:rFonts w:ascii="Arial" w:cs="Arial" w:eastAsia="Arial" w:hAnsi="Arial"/>
          <w:b/>
          <w:bCs/>
          <w:sz w:val="26"/>
          <w:szCs w:val="26"/>
        </w:rPr>
        <w:t xml:space="preserve">6.2 Medium-Term</w:t>
      </w:r>
    </w:p>
    <w:p>
      <w:pPr>
        <w:pStyle w:val="Heading3"/>
      </w:pPr>
      <w:r>
        <w:rPr>
          <w:rFonts w:ascii="Arial" w:cs="Arial" w:eastAsia="Arial" w:hAnsi="Arial"/>
          <w:b/>
          <w:bCs/>
          <w:sz w:val="24"/>
          <w:szCs w:val="24"/>
        </w:rPr>
        <w:t xml:space="preserve">Semantic Equivalence Checks for Formalized Rules</w:t>
      </w:r>
    </w:p>
    <w:p>
      <w:pPr>
        <w:spacing w:after="120"/>
      </w:pPr>
      <w:r>
        <w:rPr>
          <w:rFonts w:ascii="Arial" w:cs="Arial" w:eastAsia="Arial" w:hAnsi="Arial"/>
          <w:sz w:val="22"/>
          <w:szCs w:val="22"/>
        </w:rPr>
        <w:t xml:space="preserve">Adopting the BEqL/BEq+ metrics from FormalAlign (Lu et al., ICLR 2025) would allow us to evaluate not just whether our Lean code type-checks, but whether it is semantically equivalent to the original ICDR rule text. This would be valuable for regression testing across rule updates and for building confidence in the formalization.</w:t>
      </w:r>
    </w:p>
    <w:p>
      <w:pPr>
        <w:spacing w:after="80"/>
      </w:pPr>
      <w:r>
        <w:t xml:space="preserve"/>
      </w:r>
    </w:p>
    <w:p>
      <w:pPr>
        <w:pStyle w:val="Heading3"/>
      </w:pPr>
      <w:r>
        <w:rPr>
          <w:rFonts w:ascii="Arial" w:cs="Arial" w:eastAsia="Arial" w:hAnsi="Arial"/>
          <w:b/>
          <w:bCs/>
          <w:sz w:val="24"/>
          <w:szCs w:val="24"/>
        </w:rPr>
        <w:t xml:space="preserve">LEGO-Prover-Style Growing Library</w:t>
      </w:r>
    </w:p>
    <w:p>
      <w:pPr>
        <w:spacing w:after="120"/>
      </w:pPr>
      <w:r>
        <w:rPr>
          <w:rFonts w:ascii="Arial" w:cs="Arial" w:eastAsia="Arial" w:hAnsi="Arial"/>
          <w:sz w:val="22"/>
          <w:szCs w:val="22"/>
        </w:rPr>
        <w:t xml:space="preserve">As we verify more compliance rules, we should build a cumulative library of proven compliance lemmas. Newly proven results—e.g., that a particular financial ratio calculation is always non-negative given ICDR table inputs—can be added as premises for future proofs. This is the LEGO-Prover approach (Wang et al.) applied to the compliance domain.</w:t>
      </w:r>
    </w:p>
    <w:p>
      <w:pPr>
        <w:spacing w:after="80"/>
      </w:pPr>
      <w:r>
        <w:t xml:space="preserve"/>
      </w:r>
    </w:p>
    <w:p>
      <w:pPr>
        <w:pStyle w:val="Heading3"/>
      </w:pPr>
      <w:r>
        <w:rPr>
          <w:rFonts w:ascii="Arial" w:cs="Arial" w:eastAsia="Arial" w:hAnsi="Arial"/>
          <w:b/>
          <w:bCs/>
          <w:sz w:val="24"/>
          <w:szCs w:val="24"/>
        </w:rPr>
        <w:t xml:space="preserve">Finance-Domain Base Model</w:t>
      </w:r>
    </w:p>
    <w:p>
      <w:pPr>
        <w:spacing w:after="120"/>
      </w:pPr>
      <w:r>
        <w:rPr>
          <w:rFonts w:ascii="Arial" w:cs="Arial" w:eastAsia="Arial" w:hAnsi="Arial"/>
          <w:sz w:val="22"/>
          <w:szCs w:val="22"/>
        </w:rPr>
        <w:t xml:space="preserve">Replacing the general-purpose LLM judge with a finance-domain model (AuditWen, or a FinBERT-style model fine-tuned on SEBI documents) for the evidence extraction and type reconciliation stages would likely improve extraction accuracy on Indian financial reporting formats and reduce hallucinated schema types.</w:t>
      </w:r>
    </w:p>
    <w:p>
      <w:pPr>
        <w:spacing w:after="80"/>
      </w:pPr>
      <w:r>
        <w:t xml:space="preserve"/>
      </w:r>
    </w:p>
    <w:p>
      <w:pPr>
        <w:pStyle w:val="Heading2"/>
      </w:pPr>
      <w:r>
        <w:rPr>
          <w:rFonts w:ascii="Arial" w:cs="Arial" w:eastAsia="Arial" w:hAnsi="Arial"/>
          <w:b/>
          <w:bCs/>
          <w:sz w:val="26"/>
          <w:szCs w:val="26"/>
        </w:rPr>
        <w:t xml:space="preserve">6.3 Longer-Term</w:t>
      </w:r>
    </w:p>
    <w:p>
      <w:pPr>
        <w:pStyle w:val="Heading3"/>
      </w:pPr>
      <w:r>
        <w:rPr>
          <w:rFonts w:ascii="Arial" w:cs="Arial" w:eastAsia="Arial" w:hAnsi="Arial"/>
          <w:b/>
          <w:bCs/>
          <w:sz w:val="24"/>
          <w:szCs w:val="24"/>
        </w:rPr>
        <w:t xml:space="preserve">Autoformalization Fine-Tuning on ICDR Data</w:t>
      </w:r>
    </w:p>
    <w:p>
      <w:pPr>
        <w:spacing w:after="120"/>
      </w:pPr>
      <w:r>
        <w:rPr>
          <w:rFonts w:ascii="Arial" w:cs="Arial" w:eastAsia="Arial" w:hAnsi="Arial"/>
          <w:sz w:val="22"/>
          <w:szCs w:val="22"/>
        </w:rPr>
        <w:t xml:space="preserve">Once we have a corpus of verified (rule text, Lean code) pairs, we can fine-tune an autoformalization model on our domain. Herald (ICLR 2025) shows that a dedicated formalizer substantially outperforms few-shot prompting of large general models on novel mathematical domains. A similar dataset of (ICDR rule text, Lean issuer schema + check function) pairs would be the first domain-specific training set for financial regulation autoformalization.</w:t>
      </w:r>
    </w:p>
    <w:p>
      <w:pPr>
        <w:spacing w:after="80"/>
      </w:pPr>
      <w:r>
        <w:t xml:space="preserve"/>
      </w:r>
    </w:p>
    <w:p>
      <w:pPr>
        <w:pStyle w:val="Heading3"/>
      </w:pPr>
      <w:r>
        <w:rPr>
          <w:rFonts w:ascii="Arial" w:cs="Arial" w:eastAsia="Arial" w:hAnsi="Arial"/>
          <w:b/>
          <w:bCs/>
          <w:sz w:val="24"/>
          <w:szCs w:val="24"/>
        </w:rPr>
        <w:t xml:space="preserve">Multi-Document Compliance with GraphRAG</w:t>
      </w:r>
    </w:p>
    <w:p>
      <w:pPr>
        <w:spacing w:after="120"/>
      </w:pPr>
      <w:r>
        <w:rPr>
          <w:rFonts w:ascii="Arial" w:cs="Arial" w:eastAsia="Arial" w:hAnsi="Arial"/>
          <w:sz w:val="22"/>
          <w:szCs w:val="22"/>
        </w:rPr>
        <w:t xml:space="preserve">As the pipeline scales to handle cross-references between ICDR regulations and related SEBI circulars, building a knowledge graph over regulatory entities and using GraphRAG for retrieval would improve multi-hop compliance queries (e.g., tracing which circular modifies which ICDR eligibility criterion).</w:t>
      </w:r>
    </w:p>
    <w:p>
      <w:pPr>
        <w:spacing w:after="80"/>
      </w:pPr>
      <w:r>
        <w:t xml:space="preserve"/>
      </w:r>
    </w:p>
    <w:p>
      <w:pPr>
        <w:pStyle w:val="Heading3"/>
      </w:pPr>
      <w:r>
        <w:rPr>
          <w:rFonts w:ascii="Arial" w:cs="Arial" w:eastAsia="Arial" w:hAnsi="Arial"/>
          <w:b/>
          <w:bCs/>
          <w:sz w:val="24"/>
          <w:szCs w:val="24"/>
        </w:rPr>
        <w:t xml:space="preserve">RL-Based Proof Policy</w:t>
      </w:r>
    </w:p>
    <w:p>
      <w:pPr>
        <w:spacing w:after="120"/>
      </w:pPr>
      <w:r>
        <w:rPr>
          <w:rFonts w:ascii="Arial" w:cs="Arial" w:eastAsia="Arial" w:hAnsi="Arial"/>
          <w:sz w:val="22"/>
          <w:szCs w:val="22"/>
        </w:rPr>
        <w:t xml:space="preserve">DeepSeek-Prover-V1.5 and BFS-Prover demonstrate that RL with proof assistant feedback (MCTS or best-first search) can dramatically improve proof success rates on novel domains. In the longer term, fine-tuning a prover LLM with RL on our verified compliance proof corpus would produce a domain-adapted model that can close compliance lemmas with far fewer tactic steps than a general model.</w:t>
      </w:r>
    </w:p>
    <w:p>
      <w:pPr>
        <w:spacing w:after="80"/>
      </w:pPr>
      <w:r>
        <w:t xml:space="preserve"/>
      </w:r>
    </w:p>
    <w:p>
      <w:pPr>
        <w:pStyle w:val="Heading1"/>
      </w:pPr>
      <w:r>
        <w:rPr>
          <w:rFonts w:ascii="Arial" w:cs="Arial" w:eastAsia="Arial" w:hAnsi="Arial"/>
          <w:b/>
          <w:bCs/>
          <w:sz w:val="32"/>
          <w:szCs w:val="32"/>
        </w:rPr>
        <w:t xml:space="preserve">7. References</w:t>
      </w:r>
    </w:p>
    <w:p>
      <w:pPr>
        <w:spacing w:after="80"/>
      </w:pPr>
      <w:r>
        <w:t xml:space="preserve"/>
      </w:r>
    </w:p>
    <w:p>
      <w:pPr>
        <w:pStyle w:val="ListParagraph"/>
        <w:numPr>
          <w:ilvl w:val="0"/>
          <w:numId w:val="3"/>
        </w:numPr>
        <w:spacing w:after="80"/>
      </w:pPr>
      <w:r>
        <w:rPr>
          <w:rFonts w:ascii="Arial" w:cs="Arial" w:eastAsia="Arial" w:hAnsi="Arial"/>
          <w:sz w:val="20"/>
          <w:szCs w:val="20"/>
        </w:rPr>
        <w:t xml:space="preserve">Song, P., Yang, K., Anandkumar, A.. </w:t>
      </w:r>
      <w:r>
        <w:rPr>
          <w:rFonts w:ascii="Arial" w:cs="Arial" w:eastAsia="Arial" w:hAnsi="Arial"/>
          <w:i/>
          <w:iCs/>
          <w:sz w:val="20"/>
          <w:szCs w:val="20"/>
        </w:rPr>
        <w:t xml:space="preserve">"Lean Copilot: Large Language Models as Copilots for Theorem Proving in Lean." </w:t>
      </w:r>
      <w:r>
        <w:rPr>
          <w:rFonts w:ascii="Arial" w:cs="Arial" w:eastAsia="Arial" w:hAnsi="Arial"/>
          <w:sz w:val="20"/>
          <w:szCs w:val="20"/>
        </w:rPr>
        <w:t xml:space="preserve">2nd International Conference on Neuro-symbolic Systems (NeuS), PMLR 288, 2025.</w:t>
      </w:r>
    </w:p>
    <w:p>
      <w:pPr>
        <w:pStyle w:val="ListParagraph"/>
        <w:numPr>
          <w:ilvl w:val="0"/>
          <w:numId w:val="3"/>
        </w:numPr>
        <w:spacing w:after="80"/>
      </w:pPr>
      <w:r>
        <w:rPr>
          <w:rFonts w:ascii="Arial" w:cs="Arial" w:eastAsia="Arial" w:hAnsi="Arial"/>
          <w:sz w:val="20"/>
          <w:szCs w:val="20"/>
        </w:rPr>
        <w:t xml:space="preserve">Yang, K. et al.. </w:t>
      </w:r>
      <w:r>
        <w:rPr>
          <w:rFonts w:ascii="Arial" w:cs="Arial" w:eastAsia="Arial" w:hAnsi="Arial"/>
          <w:i/>
          <w:iCs/>
          <w:sz w:val="20"/>
          <w:szCs w:val="20"/>
        </w:rPr>
        <w:t xml:space="preserve">"LeanDojo: Theorem Proving with Retrieval-Augmented Language Models." </w:t>
      </w:r>
      <w:r>
        <w:rPr>
          <w:rFonts w:ascii="Arial" w:cs="Arial" w:eastAsia="Arial" w:hAnsi="Arial"/>
          <w:sz w:val="20"/>
          <w:szCs w:val="20"/>
        </w:rPr>
        <w:t xml:space="preserve">NeurIPS, 2023.</w:t>
      </w:r>
    </w:p>
    <w:p>
      <w:pPr>
        <w:pStyle w:val="ListParagraph"/>
        <w:numPr>
          <w:ilvl w:val="0"/>
          <w:numId w:val="3"/>
        </w:numPr>
        <w:spacing w:after="80"/>
      </w:pPr>
      <w:r>
        <w:rPr>
          <w:rFonts w:ascii="Arial" w:cs="Arial" w:eastAsia="Arial" w:hAnsi="Arial"/>
          <w:sz w:val="20"/>
          <w:szCs w:val="20"/>
        </w:rPr>
        <w:t xml:space="preserve">Xin, H. et al.. </w:t>
      </w:r>
      <w:r>
        <w:rPr>
          <w:rFonts w:ascii="Arial" w:cs="Arial" w:eastAsia="Arial" w:hAnsi="Arial"/>
          <w:i/>
          <w:iCs/>
          <w:sz w:val="20"/>
          <w:szCs w:val="20"/>
        </w:rPr>
        <w:t xml:space="preserve">"DeepSeek-Prover-V1.5: Harnessing Proof Assistant Feedback for Reinforcement Learning and Monte-Carlo Tree Search." </w:t>
      </w:r>
      <w:r>
        <w:rPr>
          <w:rFonts w:ascii="Arial" w:cs="Arial" w:eastAsia="Arial" w:hAnsi="Arial"/>
          <w:sz w:val="20"/>
          <w:szCs w:val="20"/>
        </w:rPr>
        <w:t xml:space="preserve">arXiv:2408.08152, 2024.</w:t>
      </w:r>
    </w:p>
    <w:p>
      <w:pPr>
        <w:pStyle w:val="ListParagraph"/>
        <w:numPr>
          <w:ilvl w:val="0"/>
          <w:numId w:val="3"/>
        </w:numPr>
        <w:spacing w:after="80"/>
      </w:pPr>
      <w:r>
        <w:rPr>
          <w:rFonts w:ascii="Arial" w:cs="Arial" w:eastAsia="Arial" w:hAnsi="Arial"/>
          <w:sz w:val="20"/>
          <w:szCs w:val="20"/>
        </w:rPr>
        <w:t xml:space="preserve">Apple ML Research. </w:t>
      </w:r>
      <w:r>
        <w:rPr>
          <w:rFonts w:ascii="Arial" w:cs="Arial" w:eastAsia="Arial" w:hAnsi="Arial"/>
          <w:i/>
          <w:iCs/>
          <w:sz w:val="20"/>
          <w:szCs w:val="20"/>
        </w:rPr>
        <w:t xml:space="preserve">"Hilbert: Recursively Building Formal Proofs with Informal Reasoning." </w:t>
      </w:r>
      <w:r>
        <w:rPr>
          <w:rFonts w:ascii="Arial" w:cs="Arial" w:eastAsia="Arial" w:hAnsi="Arial"/>
          <w:sz w:val="20"/>
          <w:szCs w:val="20"/>
        </w:rPr>
        <w:t xml:space="preserve">MATH-AI Workshop, NeurIPS, 2025.</w:t>
      </w:r>
    </w:p>
    <w:p>
      <w:pPr>
        <w:pStyle w:val="ListParagraph"/>
        <w:numPr>
          <w:ilvl w:val="0"/>
          <w:numId w:val="3"/>
        </w:numPr>
        <w:spacing w:after="80"/>
      </w:pPr>
      <w:r>
        <w:rPr>
          <w:rFonts w:ascii="Arial" w:cs="Arial" w:eastAsia="Arial" w:hAnsi="Arial"/>
          <w:sz w:val="20"/>
          <w:szCs w:val="20"/>
        </w:rPr>
        <w:t xml:space="preserve">Wang, H. et al.. </w:t>
      </w:r>
      <w:r>
        <w:rPr>
          <w:rFonts w:ascii="Arial" w:cs="Arial" w:eastAsia="Arial" w:hAnsi="Arial"/>
          <w:i/>
          <w:iCs/>
          <w:sz w:val="20"/>
          <w:szCs w:val="20"/>
        </w:rPr>
        <w:t xml:space="preserve">"LEGO-Prover: Neural Theorem Proving with Growing Libraries." </w:t>
      </w:r>
      <w:r>
        <w:rPr>
          <w:rFonts w:ascii="Arial" w:cs="Arial" w:eastAsia="Arial" w:hAnsi="Arial"/>
          <w:sz w:val="20"/>
          <w:szCs w:val="20"/>
        </w:rPr>
        <w:t xml:space="preserve">ICLR, 2024.</w:t>
      </w:r>
    </w:p>
    <w:p>
      <w:pPr>
        <w:pStyle w:val="ListParagraph"/>
        <w:numPr>
          <w:ilvl w:val="0"/>
          <w:numId w:val="3"/>
        </w:numPr>
        <w:spacing w:after="80"/>
      </w:pPr>
      <w:r>
        <w:rPr>
          <w:rFonts w:ascii="Arial" w:cs="Arial" w:eastAsia="Arial" w:hAnsi="Arial"/>
          <w:sz w:val="20"/>
          <w:szCs w:val="20"/>
        </w:rPr>
        <w:t xml:space="preserve">Liu, J. et al.. </w:t>
      </w:r>
      <w:r>
        <w:rPr>
          <w:rFonts w:ascii="Arial" w:cs="Arial" w:eastAsia="Arial" w:hAnsi="Arial"/>
          <w:i/>
          <w:iCs/>
          <w:sz w:val="20"/>
          <w:szCs w:val="20"/>
        </w:rPr>
        <w:t xml:space="preserve">"APOLLO: Automated LLM and Lean Collaboration for Advanced Formal Reasoning." </w:t>
      </w:r>
      <w:r>
        <w:rPr>
          <w:rFonts w:ascii="Arial" w:cs="Arial" w:eastAsia="Arial" w:hAnsi="Arial"/>
          <w:sz w:val="20"/>
          <w:szCs w:val="20"/>
        </w:rPr>
        <w:t xml:space="preserve">arXiv:2505.05758, 2025.</w:t>
      </w:r>
    </w:p>
    <w:p>
      <w:pPr>
        <w:pStyle w:val="ListParagraph"/>
        <w:numPr>
          <w:ilvl w:val="0"/>
          <w:numId w:val="3"/>
        </w:numPr>
        <w:spacing w:after="80"/>
      </w:pPr>
      <w:r>
        <w:rPr>
          <w:rFonts w:ascii="Arial" w:cs="Arial" w:eastAsia="Arial" w:hAnsi="Arial"/>
          <w:sz w:val="20"/>
          <w:szCs w:val="20"/>
        </w:rPr>
        <w:t xml:space="preserve">Lu, J. et al.. </w:t>
      </w:r>
      <w:r>
        <w:rPr>
          <w:rFonts w:ascii="Arial" w:cs="Arial" w:eastAsia="Arial" w:hAnsi="Arial"/>
          <w:i/>
          <w:iCs/>
          <w:sz w:val="20"/>
          <w:szCs w:val="20"/>
        </w:rPr>
        <w:t xml:space="preserve">"FormalAlign: Automated Alignment Evaluation for Autoformalization." </w:t>
      </w:r>
      <w:r>
        <w:rPr>
          <w:rFonts w:ascii="Arial" w:cs="Arial" w:eastAsia="Arial" w:hAnsi="Arial"/>
          <w:sz w:val="20"/>
          <w:szCs w:val="20"/>
        </w:rPr>
        <w:t xml:space="preserve">ICLR, 2025.</w:t>
      </w:r>
    </w:p>
    <w:p>
      <w:pPr>
        <w:pStyle w:val="ListParagraph"/>
        <w:numPr>
          <w:ilvl w:val="0"/>
          <w:numId w:val="3"/>
        </w:numPr>
        <w:spacing w:after="80"/>
      </w:pPr>
      <w:r>
        <w:rPr>
          <w:rFonts w:ascii="Arial" w:cs="Arial" w:eastAsia="Arial" w:hAnsi="Arial"/>
          <w:sz w:val="20"/>
          <w:szCs w:val="20"/>
        </w:rPr>
        <w:t xml:space="preserve">Gao, G. et al.. </w:t>
      </w:r>
      <w:r>
        <w:rPr>
          <w:rFonts w:ascii="Arial" w:cs="Arial" w:eastAsia="Arial" w:hAnsi="Arial"/>
          <w:i/>
          <w:iCs/>
          <w:sz w:val="20"/>
          <w:szCs w:val="20"/>
        </w:rPr>
        <w:t xml:space="preserve">"Herald: A Natural Language Annotated Lean 4 Dataset." </w:t>
      </w:r>
      <w:r>
        <w:rPr>
          <w:rFonts w:ascii="Arial" w:cs="Arial" w:eastAsia="Arial" w:hAnsi="Arial"/>
          <w:sz w:val="20"/>
          <w:szCs w:val="20"/>
        </w:rPr>
        <w:t xml:space="preserve">ICLR, 2025.</w:t>
      </w:r>
    </w:p>
    <w:p>
      <w:pPr>
        <w:pStyle w:val="ListParagraph"/>
        <w:numPr>
          <w:ilvl w:val="0"/>
          <w:numId w:val="3"/>
        </w:numPr>
        <w:spacing w:after="80"/>
      </w:pPr>
      <w:r>
        <w:rPr>
          <w:rFonts w:ascii="Arial" w:cs="Arial" w:eastAsia="Arial" w:hAnsi="Arial"/>
          <w:sz w:val="20"/>
          <w:szCs w:val="20"/>
        </w:rPr>
        <w:t xml:space="preserve">Weng, K. et al.. </w:t>
      </w:r>
      <w:r>
        <w:rPr>
          <w:rFonts w:ascii="Arial" w:cs="Arial" w:eastAsia="Arial" w:hAnsi="Arial"/>
          <w:i/>
          <w:iCs/>
          <w:sz w:val="20"/>
          <w:szCs w:val="20"/>
        </w:rPr>
        <w:t xml:space="preserve">"Autoformalization in the Era of Large Language Models: A Survey." </w:t>
      </w:r>
      <w:r>
        <w:rPr>
          <w:rFonts w:ascii="Arial" w:cs="Arial" w:eastAsia="Arial" w:hAnsi="Arial"/>
          <w:sz w:val="20"/>
          <w:szCs w:val="20"/>
        </w:rPr>
        <w:t xml:space="preserve">arXiv:2505.23486, 2025.</w:t>
      </w:r>
    </w:p>
    <w:p>
      <w:pPr>
        <w:pStyle w:val="ListParagraph"/>
        <w:numPr>
          <w:ilvl w:val="0"/>
          <w:numId w:val="3"/>
        </w:numPr>
        <w:spacing w:after="80"/>
      </w:pPr>
      <w:r>
        <w:rPr>
          <w:rFonts w:ascii="Arial" w:cs="Arial" w:eastAsia="Arial" w:hAnsi="Arial"/>
          <w:sz w:val="20"/>
          <w:szCs w:val="20"/>
        </w:rPr>
        <w:t xml:space="preserve">Wu, Y. et al.. </w:t>
      </w:r>
      <w:r>
        <w:rPr>
          <w:rFonts w:ascii="Arial" w:cs="Arial" w:eastAsia="Arial" w:hAnsi="Arial"/>
          <w:i/>
          <w:iCs/>
          <w:sz w:val="20"/>
          <w:szCs w:val="20"/>
        </w:rPr>
        <w:t xml:space="preserve">"Autoformalization with Large Language Models." </w:t>
      </w:r>
      <w:r>
        <w:rPr>
          <w:rFonts w:ascii="Arial" w:cs="Arial" w:eastAsia="Arial" w:hAnsi="Arial"/>
          <w:sz w:val="20"/>
          <w:szCs w:val="20"/>
        </w:rPr>
        <w:t xml:space="preserve">NeurIPS, 2022.</w:t>
      </w:r>
    </w:p>
    <w:p>
      <w:pPr>
        <w:pStyle w:val="ListParagraph"/>
        <w:numPr>
          <w:ilvl w:val="0"/>
          <w:numId w:val="3"/>
        </w:numPr>
        <w:spacing w:after="80"/>
      </w:pPr>
      <w:r>
        <w:rPr>
          <w:rFonts w:ascii="Arial" w:cs="Arial" w:eastAsia="Arial" w:hAnsi="Arial"/>
          <w:sz w:val="20"/>
          <w:szCs w:val="20"/>
        </w:rPr>
        <w:t xml:space="preserve">Lin, X. et al.. </w:t>
      </w:r>
      <w:r>
        <w:rPr>
          <w:rFonts w:ascii="Arial" w:cs="Arial" w:eastAsia="Arial" w:hAnsi="Arial"/>
          <w:i/>
          <w:iCs/>
          <w:sz w:val="20"/>
          <w:szCs w:val="20"/>
        </w:rPr>
        <w:t xml:space="preserve">"FVEL: Interactive Formal Verification Environment with Large Language Models via Theorem Proving." </w:t>
      </w:r>
      <w:r>
        <w:rPr>
          <w:rFonts w:ascii="Arial" w:cs="Arial" w:eastAsia="Arial" w:hAnsi="Arial"/>
          <w:sz w:val="20"/>
          <w:szCs w:val="20"/>
        </w:rPr>
        <w:t xml:space="preserve">arXiv, 2024.</w:t>
      </w:r>
    </w:p>
    <w:p>
      <w:pPr>
        <w:pStyle w:val="ListParagraph"/>
        <w:numPr>
          <w:ilvl w:val="0"/>
          <w:numId w:val="3"/>
        </w:numPr>
        <w:spacing w:after="80"/>
      </w:pPr>
      <w:r>
        <w:rPr>
          <w:rFonts w:ascii="Arial" w:cs="Arial" w:eastAsia="Arial" w:hAnsi="Arial"/>
          <w:sz w:val="20"/>
          <w:szCs w:val="20"/>
        </w:rPr>
        <w:t xml:space="preserve">Sobkowski, M., Karapetyan, G.. </w:t>
      </w:r>
      <w:r>
        <w:rPr>
          <w:rFonts w:ascii="Arial" w:cs="Arial" w:eastAsia="Arial" w:hAnsi="Arial"/>
          <w:i/>
          <w:iCs/>
          <w:sz w:val="20"/>
          <w:szCs w:val="20"/>
        </w:rPr>
        <w:t xml:space="preserve">"The Dawn of a New Era of Compliance: Automated Compliance Verification and Enforcement." </w:t>
      </w:r>
      <w:r>
        <w:rPr>
          <w:rFonts w:ascii="Arial" w:cs="Arial" w:eastAsia="Arial" w:hAnsi="Arial"/>
          <w:sz w:val="20"/>
          <w:szCs w:val="20"/>
        </w:rPr>
        <w:t xml:space="preserve">MIT Computational Law Report, 2025.</w:t>
      </w:r>
    </w:p>
    <w:p>
      <w:pPr>
        <w:pStyle w:val="ListParagraph"/>
        <w:numPr>
          <w:ilvl w:val="0"/>
          <w:numId w:val="3"/>
        </w:numPr>
        <w:spacing w:after="80"/>
      </w:pPr>
      <w:r>
        <w:rPr>
          <w:rFonts w:ascii="Arial" w:cs="Arial" w:eastAsia="Arial" w:hAnsi="Arial"/>
          <w:sz w:val="20"/>
          <w:szCs w:val="20"/>
        </w:rPr>
        <w:t xml:space="preserve">Weirich, T. et al.. </w:t>
      </w:r>
      <w:r>
        <w:rPr>
          <w:rFonts w:ascii="Arial" w:cs="Arial" w:eastAsia="Arial" w:hAnsi="Arial"/>
          <w:i/>
          <w:iCs/>
          <w:sz w:val="20"/>
          <w:szCs w:val="20"/>
        </w:rPr>
        <w:t xml:space="preserve">"Towards Automated Regulatory Compliance Verification in Financial Auditing with LLMs." </w:t>
      </w:r>
      <w:r>
        <w:rPr>
          <w:rFonts w:ascii="Arial" w:cs="Arial" w:eastAsia="Arial" w:hAnsi="Arial"/>
          <w:sz w:val="20"/>
          <w:szCs w:val="20"/>
        </w:rPr>
        <w:t xml:space="preserve">arXiv:2507.16642, 2025.</w:t>
      </w:r>
    </w:p>
    <w:p>
      <w:pPr>
        <w:pStyle w:val="ListParagraph"/>
        <w:numPr>
          <w:ilvl w:val="0"/>
          <w:numId w:val="3"/>
        </w:numPr>
        <w:spacing w:after="80"/>
      </w:pPr>
      <w:r>
        <w:rPr>
          <w:rFonts w:ascii="Arial" w:cs="Arial" w:eastAsia="Arial" w:hAnsi="Arial"/>
          <w:sz w:val="20"/>
          <w:szCs w:val="20"/>
        </w:rPr>
        <w:t xml:space="preserve">Jiang, S. et al.. </w:t>
      </w:r>
      <w:r>
        <w:rPr>
          <w:rFonts w:ascii="Arial" w:cs="Arial" w:eastAsia="Arial" w:hAnsi="Arial"/>
          <w:i/>
          <w:iCs/>
          <w:sz w:val="20"/>
          <w:szCs w:val="20"/>
        </w:rPr>
        <w:t xml:space="preserve">"Compliance-to-Code: Enhancing Financial Compliance Checking via Code Generation." </w:t>
      </w:r>
      <w:r>
        <w:rPr>
          <w:rFonts w:ascii="Arial" w:cs="Arial" w:eastAsia="Arial" w:hAnsi="Arial"/>
          <w:sz w:val="20"/>
          <w:szCs w:val="20"/>
        </w:rPr>
        <w:t xml:space="preserve">arXiv:2505.19804, 2025.</w:t>
      </w:r>
    </w:p>
    <w:p>
      <w:pPr>
        <w:pStyle w:val="ListParagraph"/>
        <w:numPr>
          <w:ilvl w:val="0"/>
          <w:numId w:val="3"/>
        </w:numPr>
        <w:spacing w:after="80"/>
      </w:pPr>
      <w:r>
        <w:rPr>
          <w:rFonts w:ascii="Arial" w:cs="Arial" w:eastAsia="Arial" w:hAnsi="Arial"/>
          <w:sz w:val="20"/>
          <w:szCs w:val="20"/>
        </w:rPr>
        <w:t xml:space="preserve">Yang, K. et al.. </w:t>
      </w:r>
      <w:r>
        <w:rPr>
          <w:rFonts w:ascii="Arial" w:cs="Arial" w:eastAsia="Arial" w:hAnsi="Arial"/>
          <w:i/>
          <w:iCs/>
          <w:sz w:val="20"/>
          <w:szCs w:val="20"/>
        </w:rPr>
        <w:t xml:space="preserve">"Formal Mathematical Reasoning: A New Frontier in AI." </w:t>
      </w:r>
      <w:r>
        <w:rPr>
          <w:rFonts w:ascii="Arial" w:cs="Arial" w:eastAsia="Arial" w:hAnsi="Arial"/>
          <w:sz w:val="20"/>
          <w:szCs w:val="20"/>
        </w:rPr>
        <w:t xml:space="preserve">arXiv:2412.16075, 2024.</w:t>
      </w:r>
    </w:p>
    <w:p>
      <w:pPr>
        <w:pStyle w:val="ListParagraph"/>
        <w:numPr>
          <w:ilvl w:val="0"/>
          <w:numId w:val="3"/>
        </w:numPr>
        <w:spacing w:after="80"/>
      </w:pPr>
      <w:r>
        <w:rPr>
          <w:rFonts w:ascii="Arial" w:cs="Arial" w:eastAsia="Arial" w:hAnsi="Arial"/>
          <w:sz w:val="20"/>
          <w:szCs w:val="20"/>
        </w:rPr>
        <w:t xml:space="preserve">Lin, H. et al.. </w:t>
      </w:r>
      <w:r>
        <w:rPr>
          <w:rFonts w:ascii="Arial" w:cs="Arial" w:eastAsia="Arial" w:hAnsi="Arial"/>
          <w:i/>
          <w:iCs/>
          <w:sz w:val="20"/>
          <w:szCs w:val="20"/>
        </w:rPr>
        <w:t xml:space="preserve">"Lean-STaR: Learning to Interleave Thinking and Proving." </w:t>
      </w:r>
      <w:r>
        <w:rPr>
          <w:rFonts w:ascii="Arial" w:cs="Arial" w:eastAsia="Arial" w:hAnsi="Arial"/>
          <w:sz w:val="20"/>
          <w:szCs w:val="20"/>
        </w:rPr>
        <w:t xml:space="preserve">ICLR, 2025.</w:t>
      </w:r>
    </w:p>
    <w:p>
      <w:pPr>
        <w:pStyle w:val="ListParagraph"/>
        <w:numPr>
          <w:ilvl w:val="0"/>
          <w:numId w:val="3"/>
        </w:numPr>
        <w:spacing w:after="80"/>
      </w:pPr>
      <w:r>
        <w:rPr>
          <w:rFonts w:ascii="Arial" w:cs="Arial" w:eastAsia="Arial" w:hAnsi="Arial"/>
          <w:sz w:val="20"/>
          <w:szCs w:val="20"/>
        </w:rPr>
        <w:t xml:space="preserve">Wang, H. et al.. </w:t>
      </w:r>
      <w:r>
        <w:rPr>
          <w:rFonts w:ascii="Arial" w:cs="Arial" w:eastAsia="Arial" w:hAnsi="Arial"/>
          <w:i/>
          <w:iCs/>
          <w:sz w:val="20"/>
          <w:szCs w:val="20"/>
        </w:rPr>
        <w:t xml:space="preserve">"Kimina-Prover Preview: Towards Large Formal Reasoning Models with Reinforcement Learning." </w:t>
      </w:r>
      <w:r>
        <w:rPr>
          <w:rFonts w:ascii="Arial" w:cs="Arial" w:eastAsia="Arial" w:hAnsi="Arial"/>
          <w:sz w:val="20"/>
          <w:szCs w:val="20"/>
        </w:rPr>
        <w:t xml:space="preserve">arXiv, 2025.</w:t>
      </w:r>
    </w:p>
    <w:p>
      <w:pPr>
        <w:pStyle w:val="ListParagraph"/>
        <w:numPr>
          <w:ilvl w:val="0"/>
          <w:numId w:val="3"/>
        </w:numPr>
        <w:spacing w:after="80"/>
      </w:pPr>
      <w:r>
        <w:rPr>
          <w:rFonts w:ascii="Arial" w:cs="Arial" w:eastAsia="Arial" w:hAnsi="Arial"/>
          <w:sz w:val="20"/>
          <w:szCs w:val="20"/>
        </w:rPr>
        <w:t xml:space="preserve">Anand, A. et al.. </w:t>
      </w:r>
      <w:r>
        <w:rPr>
          <w:rFonts w:ascii="Arial" w:cs="Arial" w:eastAsia="Arial" w:hAnsi="Arial"/>
          <w:i/>
          <w:iCs/>
          <w:sz w:val="20"/>
          <w:szCs w:val="20"/>
        </w:rPr>
        <w:t xml:space="preserve">"LLM-Powered Compliance Automation for Financial Services." </w:t>
      </w:r>
      <w:r>
        <w:rPr>
          <w:rFonts w:ascii="Arial" w:cs="Arial" w:eastAsia="Arial" w:hAnsi="Arial"/>
          <w:sz w:val="20"/>
          <w:szCs w:val="20"/>
        </w:rPr>
        <w:t xml:space="preserve">World Journal of Advanced Engineering Technology and Sciences, 15(02), 2025.</w:t>
      </w:r>
    </w:p>
    <w:p>
      <w:pPr>
        <w:pStyle w:val="ListParagraph"/>
        <w:numPr>
          <w:ilvl w:val="0"/>
          <w:numId w:val="3"/>
        </w:numPr>
        <w:spacing w:after="80"/>
      </w:pPr>
      <w:r>
        <w:rPr>
          <w:rFonts w:ascii="Arial" w:cs="Arial" w:eastAsia="Arial" w:hAnsi="Arial"/>
          <w:sz w:val="20"/>
          <w:szCs w:val="20"/>
        </w:rPr>
        <w:t xml:space="preserve">Zheng, K. et al.. </w:t>
      </w:r>
      <w:r>
        <w:rPr>
          <w:rFonts w:ascii="Arial" w:cs="Arial" w:eastAsia="Arial" w:hAnsi="Arial"/>
          <w:i/>
          <w:iCs/>
          <w:sz w:val="20"/>
          <w:szCs w:val="20"/>
        </w:rPr>
        <w:t xml:space="preserve">"Process-Driven Autoformalization in Lean 4." </w:t>
      </w:r>
      <w:r>
        <w:rPr>
          <w:rFonts w:ascii="Arial" w:cs="Arial" w:eastAsia="Arial" w:hAnsi="Arial"/>
          <w:sz w:val="20"/>
          <w:szCs w:val="20"/>
        </w:rPr>
        <w:t xml:space="preserve">ICLR, 2024.</w:t>
      </w:r>
    </w:p>
    <w:p>
      <w:pPr>
        <w:spacing w:after="80"/>
      </w:pPr>
      <w:r>
        <w:t xml:space="preserve"/>
      </w:r>
    </w:p>
    <w:p>
      <w:pPr>
        <w:pBdr>
          <w:bottom w:val="single" w:color="2E75B6" w:sz="6" w:space="1"/>
        </w:pBdr>
      </w:pPr>
      <w:r>
        <w:t xml:space="preserve"/>
      </w:r>
    </w:p>
    <w:p>
      <w:pPr>
        <w:spacing w:before="200"/>
        <w:jc w:val="center"/>
      </w:pPr>
      <w:r>
        <w:rPr>
          <w:rFonts w:ascii="Arial" w:cs="Arial" w:eastAsia="Arial" w:hAnsi="Arial"/>
          <w:i/>
          <w:iCs/>
          <w:color w:val="808080"/>
          <w:sz w:val="18"/>
          <w:szCs w:val="18"/>
        </w:rPr>
        <w:t xml:space="preserve">Internal Document — Project Reference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2026-03-16T02:15:04.584Z</dcterms:created>
  <dcterms:modified xsi:type="dcterms:W3CDTF">2026-03-16T02:15:04.585Z</dcterms:modified>
</cp:coreProperties>
</file>

<file path=docProps/custom.xml><?xml version="1.0" encoding="utf-8"?>
<Properties xmlns="http://schemas.openxmlformats.org/officeDocument/2006/custom-properties" xmlns:vt="http://schemas.openxmlformats.org/officeDocument/2006/docPropsVTypes"/>
</file>