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LLM-Based Theorem Proving</w:t>
      </w:r>
    </w:p>
    <w:p>
      <w:pPr>
        <w:spacing w:after="80"/>
        <w:jc w:val="center"/>
      </w:pPr>
      <w:r>
        <w:rPr>
          <w:rFonts w:ascii="Arial" w:cs="Arial" w:eastAsia="Arial" w:hAnsi="Arial"/>
          <w:color w:val="2E75B6"/>
          <w:sz w:val="28"/>
          <w:szCs w:val="28"/>
        </w:rPr>
        <w:t xml:space="preserve">State of the Art, Application Literature &amp; Pipeline Integration Roadmap</w:t>
      </w:r>
    </w:p>
    <w:p>
      <w:pPr>
        <w:spacing w:after="240"/>
        <w:jc w:val="center"/>
      </w:pPr>
      <w:r>
        <w:rPr>
          <w:rFonts w:ascii="Arial" w:cs="Arial" w:eastAsia="Arial" w:hAnsi="Arial"/>
          <w:i/>
          <w:iCs/>
          <w:color w:val="808080"/>
          <w:sz w:val="20"/>
          <w:szCs w:val="20"/>
        </w:rPr>
        <w:t xml:space="preserve">Compiled: March 2026  |  Internal Project Reference</w:t>
      </w:r>
    </w:p>
    <w:p>
      <w:pPr>
        <w:pBdr>
          <w:bottom w:val="single" w:color="1F4E79" w:sz="8" w:space="1"/>
        </w:pBdr>
        <w:spacing w:after="160"/>
      </w:pPr>
      <w:r>
        <w:t xml:space="preserve"/>
      </w:r>
    </w:p>
    <w:p>
      <w:pPr>
        <w:spacing w:after="40"/>
      </w:pPr>
      <w:r>
        <w:t xml:space="preserve"/>
      </w:r>
    </w:p>
    <w:p>
      <w:pPr>
        <w:pStyle w:val="Heading1"/>
      </w:pPr>
      <w:r>
        <w:t xml:space="preserve">1. Overview</w:t>
      </w:r>
    </w:p>
    <w:p>
      <w:pPr>
        <w:spacing w:after="100"/>
      </w:pPr>
      <w:r>
        <w:rPr>
          <w:rFonts w:ascii="Arial" w:cs="Arial" w:eastAsia="Arial" w:hAnsi="Arial"/>
          <w:sz w:val="22"/>
          <w:szCs w:val="22"/>
        </w:rPr>
        <w:t xml:space="preserve">This document synthesises the current state of the art in LLM-assisted formal theorem proving and maps findings to our SEBI ICDR compliance verification pipeline. It incorporates both our earlier literature survey (March 2026) and new papers published through early 2026. The document is structured as follows:</w:t>
      </w:r>
    </w:p>
    <w:p>
      <w:pPr>
        <w:spacing w:after="60"/>
      </w:pPr>
      <w:r>
        <w:t xml:space="preserve"/>
      </w:r>
    </w:p>
    <w:p>
      <w:pPr>
        <w:pStyle w:val="ListParagraph"/>
        <w:numPr>
          <w:ilvl w:val="0"/>
          <w:numId w:val="2"/>
        </w:numPr>
        <w:spacing w:after="80"/>
      </w:pPr>
      <w:r>
        <w:rPr>
          <w:rFonts w:ascii="Arial" w:cs="Arial" w:eastAsia="Arial" w:hAnsi="Arial"/>
          <w:sz w:val="22"/>
          <w:szCs w:val="22"/>
        </w:rPr>
        <w:t xml:space="preserve">Section 2 covers the four main architectural paradigms in LLM theorem proving as they stand today.</w:t>
      </w:r>
    </w:p>
    <w:p>
      <w:pPr>
        <w:pStyle w:val="ListParagraph"/>
        <w:numPr>
          <w:ilvl w:val="0"/>
          <w:numId w:val="2"/>
        </w:numPr>
        <w:spacing w:after="80"/>
      </w:pPr>
      <w:r>
        <w:rPr>
          <w:rFonts w:ascii="Arial" w:cs="Arial" w:eastAsia="Arial" w:hAnsi="Arial"/>
          <w:sz w:val="22"/>
          <w:szCs w:val="22"/>
        </w:rPr>
        <w:t xml:space="preserve">Section 3 profiles the most relevant individual papers and systems.</w:t>
      </w:r>
    </w:p>
    <w:p>
      <w:pPr>
        <w:pStyle w:val="ListParagraph"/>
        <w:numPr>
          <w:ilvl w:val="0"/>
          <w:numId w:val="2"/>
        </w:numPr>
        <w:spacing w:after="80"/>
      </w:pPr>
      <w:r>
        <w:rPr>
          <w:rFonts w:ascii="Arial" w:cs="Arial" w:eastAsia="Arial" w:hAnsi="Arial"/>
          <w:sz w:val="22"/>
          <w:szCs w:val="22"/>
        </w:rPr>
        <w:t xml:space="preserve">Section 4 covers the compliance automation and RegTech literature.</w:t>
      </w:r>
    </w:p>
    <w:p>
      <w:pPr>
        <w:pStyle w:val="ListParagraph"/>
        <w:numPr>
          <w:ilvl w:val="0"/>
          <w:numId w:val="2"/>
        </w:numPr>
        <w:spacing w:after="80"/>
      </w:pPr>
      <w:r>
        <w:rPr>
          <w:rFonts w:ascii="Arial" w:cs="Arial" w:eastAsia="Arial" w:hAnsi="Arial"/>
          <w:sz w:val="22"/>
          <w:szCs w:val="22"/>
        </w:rPr>
        <w:t xml:space="preserve">Section 5 positions our work in the academic landscape and identifies our novel contribution.</w:t>
      </w:r>
    </w:p>
    <w:p>
      <w:pPr>
        <w:pStyle w:val="ListParagraph"/>
        <w:numPr>
          <w:ilvl w:val="0"/>
          <w:numId w:val="2"/>
        </w:numPr>
        <w:spacing w:after="80"/>
      </w:pPr>
      <w:r>
        <w:rPr>
          <w:rFonts w:ascii="Arial" w:cs="Arial" w:eastAsia="Arial" w:hAnsi="Arial"/>
          <w:sz w:val="22"/>
          <w:szCs w:val="22"/>
        </w:rPr>
        <w:t xml:space="preserve">Section 6 gives a concrete, prioritised integration roadmap for our pipeline.</w:t>
      </w:r>
    </w:p>
    <w:p>
      <w:pPr>
        <w:pStyle w:val="ListParagraph"/>
        <w:numPr>
          <w:ilvl w:val="0"/>
          <w:numId w:val="2"/>
        </w:numPr>
        <w:spacing w:after="80"/>
      </w:pPr>
      <w:r>
        <w:rPr>
          <w:rFonts w:ascii="Arial" w:cs="Arial" w:eastAsia="Arial" w:hAnsi="Arial"/>
          <w:sz w:val="22"/>
          <w:szCs w:val="22"/>
        </w:rPr>
        <w:t xml:space="preserve">Section 7 is the full reference list.</w:t>
      </w:r>
    </w:p>
    <w:p>
      <w:pPr>
        <w:spacing w:after="100"/>
      </w:pPr>
      <w:r>
        <w:t xml:space="preserve"/>
      </w:r>
    </w:p>
    <w:p>
      <w:pPr>
        <w:pBdr>
          <w:bottom w:val="single" w:color="2E75B6" w:sz="8" w:space="1"/>
        </w:pBdr>
        <w:spacing w:after="160"/>
      </w:pPr>
      <w:r>
        <w:t xml:space="preserve"/>
      </w:r>
    </w:p>
    <w:p>
      <w:pPr>
        <w:pStyle w:val="Heading1"/>
      </w:pPr>
      <w:r>
        <w:t xml:space="preserve">2. The Architectural Landscape</w:t>
      </w:r>
    </w:p>
    <w:p>
      <w:pPr>
        <w:spacing w:after="100"/>
      </w:pPr>
      <w:r>
        <w:rPr>
          <w:rFonts w:ascii="Arial" w:cs="Arial" w:eastAsia="Arial" w:hAnsi="Arial"/>
          <w:sz w:val="22"/>
          <w:szCs w:val="22"/>
        </w:rPr>
        <w:t xml:space="preserve">The field has consolidated around four main paradigms. Understanding where each sits — and what it costs — is necessary for choosing what to adopt.</w:t>
      </w:r>
    </w:p>
    <w:p>
      <w:pPr>
        <w:spacing w:after="60"/>
      </w:pPr>
      <w:r>
        <w:t xml:space="preserve"/>
      </w:r>
    </w:p>
    <w:p>
      <w:pPr>
        <w:pStyle w:val="Heading2"/>
      </w:pPr>
      <w:r>
        <w:t xml:space="preserve">2.1 Whole-Proof Generation</w:t>
      </w:r>
    </w:p>
    <w:p>
      <w:pPr>
        <w:spacing w:after="100"/>
      </w:pPr>
      <w:r>
        <w:rPr>
          <w:rFonts w:ascii="Arial" w:cs="Arial" w:eastAsia="Arial" w:hAnsi="Arial"/>
          <w:sz w:val="22"/>
          <w:szCs w:val="22"/>
        </w:rPr>
        <w:t xml:space="preserve">The LLM emits an entire proof script in a single pass, which is then validated by the proof assistant. This is the simplest architecture and has scaled dramatically.</w:t>
      </w:r>
    </w:p>
    <w:p>
      <w:pPr>
        <w:spacing w:after="40"/>
      </w:pPr>
      <w:r>
        <w:t xml:space="preserve"/>
      </w:r>
    </w:p>
    <w:p>
      <w:pPr>
        <w:pStyle w:val="ListParagraph"/>
        <w:numPr>
          <w:ilvl w:val="0"/>
          <w:numId w:val="2"/>
        </w:numPr>
        <w:spacing w:after="80"/>
      </w:pPr>
      <w:r>
        <w:rPr>
          <w:rFonts w:ascii="Arial" w:cs="Arial" w:eastAsia="Arial" w:hAnsi="Arial"/>
          <w:sz w:val="22"/>
          <w:szCs w:val="22"/>
        </w:rPr>
        <w:t xml:space="preserve">Representative systems: MA-LoT (2025), HybridProver (2025), Goedel-Prover (2025), STP (2025).</w:t>
      </w:r>
    </w:p>
    <w:p>
      <w:pPr>
        <w:pStyle w:val="ListParagraph"/>
        <w:numPr>
          <w:ilvl w:val="0"/>
          <w:numId w:val="2"/>
        </w:numPr>
        <w:spacing w:after="80"/>
      </w:pPr>
      <w:r>
        <w:rPr>
          <w:rFonts w:ascii="Arial" w:cs="Arial" w:eastAsia="Arial" w:hAnsi="Arial"/>
          <w:sz w:val="22"/>
          <w:szCs w:val="22"/>
        </w:rPr>
        <w:t xml:space="preserve">Key result: Goedel-Prover-SFT achieves 57.6% on miniF2F (Pass@32) using supervised fine-tuning alone on 1.64 million formalised statements.</w:t>
      </w:r>
    </w:p>
    <w:p>
      <w:pPr>
        <w:pStyle w:val="ListParagraph"/>
        <w:numPr>
          <w:ilvl w:val="0"/>
          <w:numId w:val="2"/>
        </w:numPr>
        <w:spacing w:after="80"/>
      </w:pPr>
      <w:r>
        <w:rPr>
          <w:rFonts w:ascii="Arial" w:cs="Arial" w:eastAsia="Arial" w:hAnsi="Arial"/>
          <w:sz w:val="22"/>
          <w:szCs w:val="22"/>
        </w:rPr>
        <w:t xml:space="preserve">Key insight for us: Whole-proof generation works well for small, decidable propositions — exactly what our compliance check functions are (numeric comparisons, list membership, threshold checks). The main failure mode is long-horizon proofs with many dependent steps, which our lemmas rarely require.</w:t>
      </w:r>
    </w:p>
    <w:p>
      <w:pPr>
        <w:spacing w:after="100"/>
      </w:pPr>
      <w:r>
        <w:t xml:space="preserve"/>
      </w:r>
    </w:p>
    <w:p>
      <w:pPr>
        <w:pStyle w:val="Heading2"/>
      </w:pPr>
      <w:r>
        <w:t xml:space="preserve">2.2 Stepwise Tactic Generation with Tree Search</w:t>
      </w:r>
    </w:p>
    <w:p>
      <w:pPr>
        <w:spacing w:after="100"/>
      </w:pPr>
      <w:r>
        <w:rPr>
          <w:rFonts w:ascii="Arial" w:cs="Arial" w:eastAsia="Arial" w:hAnsi="Arial"/>
          <w:sz w:val="22"/>
          <w:szCs w:val="22"/>
        </w:rPr>
        <w:t xml:space="preserve">The LLM proposes the next tactic for a given proof state; search procedures (best-first search, beam search, MCTS) explore the proof tree. This family achieves the highest benchmark scores but at greater inference cost.</w:t>
      </w:r>
    </w:p>
    <w:p>
      <w:pPr>
        <w:spacing w:after="40"/>
      </w:pPr>
      <w:r>
        <w:t xml:space="preserve"/>
      </w:r>
    </w:p>
    <w:p>
      <w:pPr>
        <w:pStyle w:val="ListParagraph"/>
        <w:numPr>
          <w:ilvl w:val="0"/>
          <w:numId w:val="2"/>
        </w:numPr>
        <w:spacing w:after="80"/>
      </w:pPr>
      <w:r>
        <w:rPr>
          <w:rFonts w:ascii="Arial" w:cs="Arial" w:eastAsia="Arial" w:hAnsi="Arial"/>
          <w:sz w:val="22"/>
          <w:szCs w:val="22"/>
        </w:rPr>
        <w:t xml:space="preserve">Representative systems: BFS-Prover (2025), Lean Copilot / SEARCH_PROOF (2025), InternLM-StepProver.</w:t>
      </w:r>
    </w:p>
    <w:p>
      <w:pPr>
        <w:pStyle w:val="ListParagraph"/>
        <w:numPr>
          <w:ilvl w:val="0"/>
          <w:numId w:val="2"/>
        </w:numPr>
        <w:spacing w:after="80"/>
      </w:pPr>
      <w:r>
        <w:rPr>
          <w:rFonts w:ascii="Arial" w:cs="Arial" w:eastAsia="Arial" w:hAnsi="Arial"/>
          <w:sz w:val="22"/>
          <w:szCs w:val="22"/>
        </w:rPr>
        <w:t xml:space="preserve">Key result: BFS-Prover achieves 95.08% on miniF2F by combining multi-turn off-policy RL with adaptive beam-size decay.</w:t>
      </w:r>
    </w:p>
    <w:p>
      <w:pPr>
        <w:pStyle w:val="ListParagraph"/>
        <w:numPr>
          <w:ilvl w:val="0"/>
          <w:numId w:val="2"/>
        </w:numPr>
        <w:spacing w:after="80"/>
      </w:pPr>
      <w:r>
        <w:rPr>
          <w:rFonts w:ascii="Arial" w:cs="Arial" w:eastAsia="Arial" w:hAnsi="Arial"/>
          <w:sz w:val="22"/>
          <w:szCs w:val="22"/>
        </w:rPr>
        <w:t xml:space="preserve">Key insight for us: SEARCH_PROOF in server mode (ExternalGenerator pointing to a hosted LLM) is directly usable without rewriting our stack. Our compliance lemmas are strong candidates for this: most are decidable propositions that omega, decide, and simp can close with LLM-suggested tactics for edge cases.</w:t>
      </w:r>
    </w:p>
    <w:p>
      <w:pPr>
        <w:spacing w:after="100"/>
      </w:pPr>
      <w:r>
        <w:t xml:space="preserve"/>
      </w:r>
    </w:p>
    <w:p>
      <w:pPr>
        <w:pStyle w:val="Heading2"/>
      </w:pPr>
      <w:r>
        <w:t xml:space="preserve">2.3 Modular / Block-Based Generation with Repair</w:t>
      </w:r>
    </w:p>
    <w:p>
      <w:pPr>
        <w:spacing w:after="100"/>
      </w:pPr>
      <w:r>
        <w:rPr>
          <w:rFonts w:ascii="Arial" w:cs="Arial" w:eastAsia="Arial" w:hAnsi="Arial"/>
          <w:sz w:val="22"/>
          <w:szCs w:val="22"/>
        </w:rPr>
        <w:t xml:space="preserve">Proofs are constructed modularly: the LLM generates a whole proof or sketch, agents analyse it, isolate failing sub-lemmas, apply automated solvers, and invoke the LLM on remaining goals. Sub-proofs are recombined and reverified. This is the most practically important paradigm for our use case.</w:t>
      </w:r>
    </w:p>
    <w:p>
      <w:pPr>
        <w:spacing w:after="40"/>
      </w:pPr>
      <w:r>
        <w:t xml:space="preserve"/>
      </w:r>
    </w:p>
    <w:p>
      <w:pPr>
        <w:pStyle w:val="ListParagraph"/>
        <w:numPr>
          <w:ilvl w:val="0"/>
          <w:numId w:val="2"/>
        </w:numPr>
        <w:spacing w:after="80"/>
      </w:pPr>
      <w:r>
        <w:rPr>
          <w:rFonts w:ascii="Arial" w:cs="Arial" w:eastAsia="Arial" w:hAnsi="Arial"/>
          <w:sz w:val="22"/>
          <w:szCs w:val="22"/>
        </w:rPr>
        <w:t xml:space="preserve">Representative systems: APOLLO (NeurIPS 2025), HybridProver, PALM, ProofAug, MA-LoT.</w:t>
      </w:r>
    </w:p>
    <w:p>
      <w:pPr>
        <w:pStyle w:val="ListParagraph"/>
        <w:numPr>
          <w:ilvl w:val="0"/>
          <w:numId w:val="2"/>
        </w:numPr>
        <w:spacing w:after="80"/>
      </w:pPr>
      <w:r>
        <w:rPr>
          <w:rFonts w:ascii="Arial" w:cs="Arial" w:eastAsia="Arial" w:hAnsi="Arial"/>
          <w:sz w:val="22"/>
          <w:szCs w:val="22"/>
        </w:rPr>
        <w:t xml:space="preserve">Key result: APOLLO achieves 84.9% on miniF2F (sub-8B models) while keeping the sampling budget below 100 — a 10-100x reduction in queries compared to naive sampling approaches.</w:t>
      </w:r>
    </w:p>
    <w:p>
      <w:pPr>
        <w:pStyle w:val="ListParagraph"/>
        <w:numPr>
          <w:ilvl w:val="0"/>
          <w:numId w:val="2"/>
        </w:numPr>
        <w:spacing w:after="80"/>
      </w:pPr>
      <w:r>
        <w:rPr>
          <w:rFonts w:ascii="Arial" w:cs="Arial" w:eastAsia="Arial" w:hAnsi="Arial"/>
          <w:sz w:val="22"/>
          <w:szCs w:val="22"/>
        </w:rPr>
        <w:t xml:space="preserve">Key result: General-purpose models like o3-mini jump from 3-7% to over 40% accuracy with APOLLO's repair loop — no fine-tuning required.</w:t>
      </w:r>
    </w:p>
    <w:p>
      <w:pPr>
        <w:pStyle w:val="ListParagraph"/>
        <w:numPr>
          <w:ilvl w:val="0"/>
          <w:numId w:val="2"/>
        </w:numPr>
        <w:spacing w:after="80"/>
      </w:pPr>
      <w:r>
        <w:rPr>
          <w:rFonts w:ascii="Arial" w:cs="Arial" w:eastAsia="Arial" w:hAnsi="Arial"/>
          <w:sz w:val="22"/>
          <w:szCs w:val="22"/>
        </w:rPr>
        <w:t xml:space="preserve">Key insight for us: This is the architecture to adopt for Phase 6 (Lean generation). The APOLLO pipeline maps directly onto our verify_one.py orchestrator.</w:t>
      </w:r>
    </w:p>
    <w:p>
      <w:pPr>
        <w:spacing w:after="100"/>
      </w:pPr>
      <w:r>
        <w:t xml:space="preserve"/>
      </w:r>
    </w:p>
    <w:p>
      <w:pPr>
        <w:pStyle w:val="Heading2"/>
      </w:pPr>
      <w:r>
        <w:t xml:space="preserve">2.4 Self-Play and Lifelong / Continual Learning</w:t>
      </w:r>
    </w:p>
    <w:p>
      <w:pPr>
        <w:spacing w:after="100"/>
      </w:pPr>
      <w:r>
        <w:rPr>
          <w:rFonts w:ascii="Arial" w:cs="Arial" w:eastAsia="Arial" w:hAnsi="Arial"/>
          <w:sz w:val="22"/>
          <w:szCs w:val="22"/>
        </w:rPr>
        <w:t xml:space="preserve">Newer systems go beyond static training: dual-agent self-play generates increasingly hard conjectures, while lifelong learning frameworks continuously expand across new theorem repositories without forgetting.</w:t>
      </w:r>
    </w:p>
    <w:p>
      <w:pPr>
        <w:spacing w:after="40"/>
      </w:pPr>
      <w:r>
        <w:t xml:space="preserve"/>
      </w:r>
    </w:p>
    <w:p>
      <w:pPr>
        <w:pStyle w:val="ListParagraph"/>
        <w:numPr>
          <w:ilvl w:val="0"/>
          <w:numId w:val="2"/>
        </w:numPr>
        <w:spacing w:after="80"/>
      </w:pPr>
      <w:r>
        <w:rPr>
          <w:rFonts w:ascii="Arial" w:cs="Arial" w:eastAsia="Arial" w:hAnsi="Arial"/>
          <w:sz w:val="22"/>
          <w:szCs w:val="22"/>
        </w:rPr>
        <w:t xml:space="preserve">Representative systems: STP (ICML 2025), LeanAgent (ICLR 2025).</w:t>
      </w:r>
    </w:p>
    <w:p>
      <w:pPr>
        <w:pStyle w:val="ListParagraph"/>
        <w:numPr>
          <w:ilvl w:val="0"/>
          <w:numId w:val="2"/>
        </w:numPr>
        <w:spacing w:after="80"/>
      </w:pPr>
      <w:r>
        <w:rPr>
          <w:rFonts w:ascii="Arial" w:cs="Arial" w:eastAsia="Arial" w:hAnsi="Arial"/>
          <w:sz w:val="22"/>
          <w:szCs w:val="22"/>
        </w:rPr>
        <w:t xml:space="preserve">Key result: STP proves 28.5% of LeanWorkbook statements, doubling the previous best of 13.1%, by iteratively generating conjectures that are barely provable by the current prover.</w:t>
      </w:r>
    </w:p>
    <w:p>
      <w:pPr>
        <w:pStyle w:val="ListParagraph"/>
        <w:numPr>
          <w:ilvl w:val="0"/>
          <w:numId w:val="2"/>
        </w:numPr>
        <w:spacing w:after="80"/>
      </w:pPr>
      <w:r>
        <w:rPr>
          <w:rFonts w:ascii="Arial" w:cs="Arial" w:eastAsia="Arial" w:hAnsi="Arial"/>
          <w:sz w:val="22"/>
          <w:szCs w:val="22"/>
        </w:rPr>
        <w:t xml:space="preserve">Key result: LeanAgent proves 155 previously unproven theorems across 23 diverse Lean repositories using curriculum learning and progressive training, achieving a 94% composite lifelong learning score.</w:t>
      </w:r>
    </w:p>
    <w:p>
      <w:pPr>
        <w:pStyle w:val="ListParagraph"/>
        <w:numPr>
          <w:ilvl w:val="0"/>
          <w:numId w:val="2"/>
        </w:numPr>
        <w:spacing w:after="80"/>
      </w:pPr>
      <w:r>
        <w:rPr>
          <w:rFonts w:ascii="Arial" w:cs="Arial" w:eastAsia="Arial" w:hAnsi="Arial"/>
          <w:sz w:val="22"/>
          <w:szCs w:val="22"/>
        </w:rPr>
        <w:t xml:space="preserve">Key insight for us: LeanAgent's architecture is the long-term target for our growing compliance lemma library. Each verified ICDR rule becomes a premise for proving the next; curriculum ordering (simple threshold checks first, composite eligibility rules later) naturally follows.</w:t>
      </w:r>
    </w:p>
    <w:p>
      <w:pPr>
        <w:spacing w:after="100"/>
      </w:pPr>
      <w:r>
        <w:t xml:space="preserve"/>
      </w:r>
    </w:p>
    <w:p>
      <w:pPr>
        <w:pBdr>
          <w:bottom w:val="single" w:color="2E75B6" w:sz="8" w:space="1"/>
        </w:pBdr>
        <w:spacing w:after="160"/>
      </w:pPr>
      <w:r>
        <w:t xml:space="preserve"/>
      </w:r>
    </w:p>
    <w:p>
      <w:pPr>
        <w:pStyle w:val="Heading1"/>
      </w:pPr>
      <w:r>
        <w:t xml:space="preserve">3. Key Papers and Systems — Detailed Profiles</w:t>
      </w:r>
    </w:p>
    <w:p>
      <w:pPr>
        <w:spacing w:after="40"/>
      </w:pPr>
      <w:r>
        <w:t xml:space="preserve"/>
      </w:r>
    </w:p>
    <w:p>
      <w:pPr>
        <w:pStyle w:val="Heading2"/>
      </w:pPr>
      <w:r>
        <w:t xml:space="preserve">3.1 Lean Copilot (Song, Yang &amp; Anandkumar — NeuS 2025)</w:t>
      </w:r>
    </w:p>
    <w:p>
      <w:pPr>
        <w:spacing w:after="100"/>
      </w:pPr>
      <w:r>
        <w:rPr>
          <w:rFonts w:ascii="Arial" w:cs="Arial" w:eastAsia="Arial" w:hAnsi="Arial"/>
          <w:sz w:val="22"/>
          <w:szCs w:val="22"/>
        </w:rPr>
        <w:t xml:space="preserve">Runs LLM inference natively inside Lean via FFI, removing inter-process overhead. Builds three tools: SUGGEST_TACTICS (next-tactic suggestion), SEARCH_PROOF (LLM-augmented best-first proof search over AESOP), and SELECT_PREMISES (retrieval-augmented premise selection).</w:t>
      </w:r>
    </w:p>
    <w:p>
      <w:pPr>
        <w:spacing w:after="40"/>
      </w:pPr>
      <w:r>
        <w:t xml:space="preserve"/>
      </w:r>
    </w:p>
    <w:p>
      <w:pPr>
        <w:pStyle w:val="ListParagraph"/>
        <w:numPr>
          <w:ilvl w:val="0"/>
          <w:numId w:val="2"/>
        </w:numPr>
        <w:spacing w:after="80"/>
      </w:pPr>
      <w:r>
        <w:rPr>
          <w:rFonts w:ascii="Arial" w:cs="Arial" w:eastAsia="Arial" w:hAnsi="Arial"/>
          <w:sz w:val="22"/>
          <w:szCs w:val="22"/>
        </w:rPr>
        <w:t xml:space="preserve">SEARCH_PROOF automates 74.2% of proof steps vs 40.1% for rule-based AESOP alone.</w:t>
      </w:r>
    </w:p>
    <w:p>
      <w:pPr>
        <w:pStyle w:val="ListParagraph"/>
        <w:numPr>
          <w:ilvl w:val="0"/>
          <w:numId w:val="2"/>
        </w:numPr>
        <w:spacing w:after="80"/>
      </w:pPr>
      <w:r>
        <w:rPr>
          <w:rFonts w:ascii="Arial" w:cs="Arial" w:eastAsia="Arial" w:hAnsi="Arial"/>
          <w:sz w:val="22"/>
          <w:szCs w:val="22"/>
        </w:rPr>
        <w:t xml:space="preserve">Server mode (ExternalGenerator) allows calling a hosted LLM from our Python orchestrator without rewriting anything in Lean — the most immediately usable integration path.</w:t>
      </w:r>
    </w:p>
    <w:p>
      <w:pPr>
        <w:pStyle w:val="ListParagraph"/>
        <w:numPr>
          <w:ilvl w:val="0"/>
          <w:numId w:val="2"/>
        </w:numPr>
        <w:spacing w:after="80"/>
      </w:pPr>
      <w:r>
        <w:rPr>
          <w:rFonts w:ascii="Arial" w:cs="Arial" w:eastAsia="Arial" w:hAnsi="Arial"/>
          <w:sz w:val="22"/>
          <w:szCs w:val="22"/>
        </w:rPr>
        <w:t xml:space="preserve">Limitation: default model (ReProver/ByT5) is trained on Mathlib. Domain adaptation needed for financial compliance lemmas.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CCCCCC" w:sz="1"/>
            </w:tcBorders>
            <w:shd w:fill="EBF3FB"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Pipeline applicability</w:t>
            </w:r>
          </w:p>
          <w:p>
            <w:pPr>
              <w:spacing w:after="0"/>
            </w:pPr>
            <w:r>
              <w:rPr>
                <w:rFonts w:ascii="Arial" w:cs="Arial" w:eastAsia="Arial" w:hAnsi="Arial"/>
                <w:sz w:val="20"/>
                <w:szCs w:val="20"/>
              </w:rPr>
              <w:t xml:space="preserve">SEARCH_PROOF in server mode is the highest-leverage single addition to Phase 6. No fine-tuning required. Drop-in replacement for manual AESOP configuration.</w:t>
            </w:r>
          </w:p>
        </w:tc>
      </w:tr>
    </w:tbl>
    <w:p>
      <w:pPr>
        <w:spacing w:after="120"/>
      </w:pPr>
      <w:r>
        <w:t xml:space="preserve"/>
      </w:r>
    </w:p>
    <w:p>
      <w:pPr>
        <w:pStyle w:val="Heading2"/>
      </w:pPr>
      <w:r>
        <w:t xml:space="preserve">3.2 APOLLO (Ospanov et al. — NeurIPS 2025)</w:t>
      </w:r>
    </w:p>
    <w:p>
      <w:pPr>
        <w:spacing w:after="100"/>
      </w:pPr>
      <w:r>
        <w:rPr>
          <w:rFonts w:ascii="Arial" w:cs="Arial" w:eastAsia="Arial" w:hAnsi="Arial"/>
          <w:sz w:val="22"/>
          <w:szCs w:val="22"/>
        </w:rPr>
        <w:t xml:space="preserve">Modular, model-agnostic agentic framework for compiler-guided proof repair. The pipeline: generate proof → fix syntax errors → sorrify failing blocks → apply automated solvers per sub-lemma → invoke LLM on remaining goals → recombine and reverify.</w:t>
      </w:r>
    </w:p>
    <w:p>
      <w:pPr>
        <w:spacing w:after="40"/>
      </w:pPr>
      <w:r>
        <w:t xml:space="preserve"/>
      </w:r>
    </w:p>
    <w:p>
      <w:pPr>
        <w:pStyle w:val="ListParagraph"/>
        <w:numPr>
          <w:ilvl w:val="0"/>
          <w:numId w:val="2"/>
        </w:numPr>
        <w:spacing w:after="80"/>
      </w:pPr>
      <w:r>
        <w:rPr>
          <w:rFonts w:ascii="Arial" w:cs="Arial" w:eastAsia="Arial" w:hAnsi="Arial"/>
          <w:sz w:val="22"/>
          <w:szCs w:val="22"/>
        </w:rPr>
        <w:t xml:space="preserve">84.9% on miniF2F among sub-8B models with sampling budget under 100.</w:t>
      </w:r>
    </w:p>
    <w:p>
      <w:pPr>
        <w:pStyle w:val="ListParagraph"/>
        <w:numPr>
          <w:ilvl w:val="0"/>
          <w:numId w:val="2"/>
        </w:numPr>
        <w:spacing w:after="80"/>
      </w:pPr>
      <w:r>
        <w:rPr>
          <w:rFonts w:ascii="Arial" w:cs="Arial" w:eastAsia="Arial" w:hAnsi="Arial"/>
          <w:sz w:val="22"/>
          <w:szCs w:val="22"/>
        </w:rPr>
        <w:t xml:space="preserve">Raises Goedel-Prover-SFT from base to 65.6%, cutting sample complexity from 25,600 to a few hundred.</w:t>
      </w:r>
    </w:p>
    <w:p>
      <w:pPr>
        <w:pStyle w:val="ListParagraph"/>
        <w:numPr>
          <w:ilvl w:val="0"/>
          <w:numId w:val="2"/>
        </w:numPr>
        <w:spacing w:after="80"/>
      </w:pPr>
      <w:r>
        <w:rPr>
          <w:rFonts w:ascii="Arial" w:cs="Arial" w:eastAsia="Arial" w:hAnsi="Arial"/>
          <w:sz w:val="22"/>
          <w:szCs w:val="22"/>
        </w:rPr>
        <w:t xml:space="preserve">General-purpose models (o3-mini, o4-mini) jump from 3-7% to over 40% accuracy.</w:t>
      </w:r>
    </w:p>
    <w:p>
      <w:pPr>
        <w:pStyle w:val="ListParagraph"/>
        <w:numPr>
          <w:ilvl w:val="0"/>
          <w:numId w:val="2"/>
        </w:numPr>
        <w:spacing w:after="80"/>
      </w:pPr>
      <w:r>
        <w:rPr>
          <w:rFonts w:ascii="Arial" w:cs="Arial" w:eastAsia="Arial" w:hAnsi="Arial"/>
          <w:sz w:val="22"/>
          <w:szCs w:val="22"/>
        </w:rPr>
        <w:t xml:space="preserve">The Syntax Refiner catches common Lean 4 idiom errors from non-specialised LLMs — directly analogous to what our postprocess_rules_and_fields.py already does, but at the Lean compiler level.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CCCCCC" w:sz="1"/>
            </w:tcBorders>
            <w:shd w:fill="EBF3FB"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Pipeline applicability</w:t>
            </w:r>
          </w:p>
          <w:p>
            <w:pPr>
              <w:spacing w:after="0"/>
            </w:pPr>
            <w:r>
              <w:rPr>
                <w:rFonts w:ascii="Arial" w:cs="Arial" w:eastAsia="Arial" w:hAnsi="Arial"/>
                <w:sz w:val="20"/>
                <w:szCs w:val="20"/>
              </w:rPr>
              <w:t xml:space="preserve">APOLLO's repair loop should be integrated into verify_one.py between the Lean generation step and the lake build step. The sorrify → sub-lemma isolation → targeted LLM repair cycle maps exactly onto our bounded retry architecture.</w:t>
            </w:r>
          </w:p>
        </w:tc>
      </w:tr>
    </w:tbl>
    <w:p>
      <w:pPr>
        <w:spacing w:after="120"/>
      </w:pPr>
      <w:r>
        <w:t xml:space="preserve"/>
      </w:r>
    </w:p>
    <w:p>
      <w:pPr>
        <w:pStyle w:val="Heading2"/>
      </w:pPr>
      <w:r>
        <w:t xml:space="preserve">3.3 MA-LoT (Wang et al. — ICML 2025)</w:t>
      </w:r>
    </w:p>
    <w:p>
      <w:pPr>
        <w:spacing w:after="100"/>
      </w:pPr>
      <w:r>
        <w:rPr>
          <w:rFonts w:ascii="Arial" w:cs="Arial" w:eastAsia="Arial" w:hAnsi="Arial"/>
          <w:sz w:val="22"/>
          <w:szCs w:val="22"/>
        </w:rPr>
        <w:t xml:space="preserve">Model-Collaboration Lean-based Long Chain-of-Thought. Separates the proof task: a Prover LLM generates a proof via long chain-of-thought, a Corrector LLM repairs failures using Lean4 error messages. Achieves 61.07% on miniF2F, outperforming single-model tree search.</w:t>
      </w:r>
    </w:p>
    <w:p>
      <w:pPr>
        <w:spacing w:after="40"/>
      </w:pPr>
      <w:r>
        <w:t xml:space="preserve"/>
      </w:r>
    </w:p>
    <w:p>
      <w:pPr>
        <w:pStyle w:val="ListParagraph"/>
        <w:numPr>
          <w:ilvl w:val="0"/>
          <w:numId w:val="2"/>
        </w:numPr>
        <w:spacing w:after="80"/>
      </w:pPr>
      <w:r>
        <w:rPr>
          <w:rFonts w:ascii="Arial" w:cs="Arial" w:eastAsia="Arial" w:hAnsi="Arial"/>
          <w:sz w:val="22"/>
          <w:szCs w:val="22"/>
        </w:rPr>
        <w:t xml:space="preserve">The two-model split is the key architectural idea: generation and correction are fundamentally different cognitive tasks and benefit from different prompts and models.</w:t>
      </w:r>
    </w:p>
    <w:p>
      <w:pPr>
        <w:pStyle w:val="ListParagraph"/>
        <w:numPr>
          <w:ilvl w:val="0"/>
          <w:numId w:val="2"/>
        </w:numPr>
        <w:spacing w:after="80"/>
      </w:pPr>
      <w:r>
        <w:rPr>
          <w:rFonts w:ascii="Arial" w:cs="Arial" w:eastAsia="Arial" w:hAnsi="Arial"/>
          <w:sz w:val="22"/>
          <w:szCs w:val="22"/>
        </w:rPr>
        <w:t xml:space="preserve">LoT-Transfer Learning enables the Long CoT capability to emerge without specially annotated training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CCCCCC" w:sz="1"/>
            </w:tcBorders>
            <w:shd w:fill="EBF3FB"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Pipeline applicability</w:t>
            </w:r>
          </w:p>
          <w:p>
            <w:pPr>
              <w:spacing w:after="0"/>
            </w:pPr>
            <w:r>
              <w:rPr>
                <w:rFonts w:ascii="Arial" w:cs="Arial" w:eastAsia="Arial" w:hAnsi="Arial"/>
                <w:sz w:val="20"/>
                <w:szCs w:val="20"/>
              </w:rPr>
              <w:t xml:space="preserve">Split llm_generate_lean.py into two calls: (1) a Generator prompt that produces the initial Lean proof, and (2) a Corrector prompt that receives the Lean compiler error message and produces only the fix for the failing subgoal. This is cheaper and more accurate than full regeneration.</w:t>
            </w:r>
          </w:p>
        </w:tc>
      </w:tr>
    </w:tbl>
    <w:p>
      <w:pPr>
        <w:spacing w:after="120"/>
      </w:pPr>
      <w:r>
        <w:t xml:space="preserve"/>
      </w:r>
    </w:p>
    <w:p>
      <w:pPr>
        <w:pStyle w:val="Heading2"/>
      </w:pPr>
      <w:r>
        <w:t xml:space="preserve">3.4 Goedel-Prover (Lin et al. — 2025)</w:t>
      </w:r>
    </w:p>
    <w:p>
      <w:pPr>
        <w:spacing w:after="100"/>
      </w:pPr>
      <w:r>
        <w:rPr>
          <w:rFonts w:ascii="Arial" w:cs="Arial" w:eastAsia="Arial" w:hAnsi="Arial"/>
          <w:sz w:val="22"/>
          <w:szCs w:val="22"/>
        </w:rPr>
        <w:t xml:space="preserve">Open-source frontier model for automated formal proof generation. Trains statement formalizers to translate natural language problems into Lean 4, verifies semantic preservation with an LLM, then iteratively builds a proof dataset: each prover in the series proves statements the previous could not, adding new proofs to training.</w:t>
      </w:r>
    </w:p>
    <w:p>
      <w:pPr>
        <w:spacing w:after="40"/>
      </w:pPr>
      <w:r>
        <w:t xml:space="preserve"/>
      </w:r>
    </w:p>
    <w:p>
      <w:pPr>
        <w:pStyle w:val="ListParagraph"/>
        <w:numPr>
          <w:ilvl w:val="0"/>
          <w:numId w:val="2"/>
        </w:numPr>
        <w:spacing w:after="80"/>
      </w:pPr>
      <w:r>
        <w:rPr>
          <w:rFonts w:ascii="Arial" w:cs="Arial" w:eastAsia="Arial" w:hAnsi="Arial"/>
          <w:sz w:val="22"/>
          <w:szCs w:val="22"/>
        </w:rPr>
        <w:t xml:space="preserve">1.64 million formalised statements; 57.6% miniF2F (Pass@32), 64.7% at Pass@4x6400.</w:t>
      </w:r>
    </w:p>
    <w:p>
      <w:pPr>
        <w:pStyle w:val="ListParagraph"/>
        <w:numPr>
          <w:ilvl w:val="0"/>
          <w:numId w:val="2"/>
        </w:numPr>
        <w:spacing w:after="80"/>
      </w:pPr>
      <w:r>
        <w:rPr>
          <w:rFonts w:ascii="Arial" w:cs="Arial" w:eastAsia="Arial" w:hAnsi="Arial"/>
          <w:sz w:val="22"/>
          <w:szCs w:val="22"/>
        </w:rPr>
        <w:t xml:space="preserve">Solves 29.7K LeanWorkbook problems, nearly doubling prior work.</w:t>
      </w:r>
    </w:p>
    <w:p>
      <w:pPr>
        <w:pStyle w:val="ListParagraph"/>
        <w:numPr>
          <w:ilvl w:val="0"/>
          <w:numId w:val="2"/>
        </w:numPr>
        <w:spacing w:after="80"/>
      </w:pPr>
      <w:r>
        <w:rPr>
          <w:rFonts w:ascii="Arial" w:cs="Arial" w:eastAsia="Arial" w:hAnsi="Arial"/>
          <w:sz w:val="22"/>
          <w:szCs w:val="22"/>
        </w:rPr>
        <w:t xml:space="preserve">Fully open-source: model weights, code, and formalised statements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CCCCCC" w:sz="1"/>
            </w:tcBorders>
            <w:shd w:fill="EEF4E8"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Pipeline applicability (longer-term)</w:t>
            </w:r>
          </w:p>
          <w:p>
            <w:pPr>
              <w:spacing w:after="0"/>
            </w:pPr>
            <w:r>
              <w:rPr>
                <w:rFonts w:ascii="Arial" w:cs="Arial" w:eastAsia="Arial" w:hAnsi="Arial"/>
                <w:sz w:val="20"/>
                <w:szCs w:val="20"/>
              </w:rPr>
              <w:t xml:space="preserve">Once we have a corpus of verified (ICDR rule text, Lean check function) pairs, Goedel-Prover's iterative fine-tuning approach is the path to a domain-adapted compliance prover. Our dataset would be the first of its kind for financial regulation.</w:t>
            </w:r>
          </w:p>
        </w:tc>
      </w:tr>
    </w:tbl>
    <w:p>
      <w:pPr>
        <w:spacing w:after="120"/>
      </w:pPr>
      <w:r>
        <w:t xml:space="preserve"/>
      </w:r>
    </w:p>
    <w:p>
      <w:pPr>
        <w:pStyle w:val="Heading2"/>
      </w:pPr>
      <w:r>
        <w:t xml:space="preserve">3.5 LeanAgent (Kumarappan et al. — ICLR 2025)</w:t>
      </w:r>
    </w:p>
    <w:p>
      <w:pPr>
        <w:spacing w:after="100"/>
      </w:pPr>
      <w:r>
        <w:rPr>
          <w:rFonts w:ascii="Arial" w:cs="Arial" w:eastAsia="Arial" w:hAnsi="Arial"/>
          <w:sz w:val="22"/>
          <w:szCs w:val="22"/>
        </w:rPr>
        <w:t xml:space="preserve">Lifelong learning framework that continuously expands its theorem-proving capability across new Lean repositories without forgetting. Four components: curriculum learning (ordered by proof complexity), dynamic database, progressive retriever training (one epoch per new repository), and sorry-theorem proving via best-first tree search.</w:t>
      </w:r>
    </w:p>
    <w:p>
      <w:pPr>
        <w:spacing w:after="40"/>
      </w:pPr>
      <w:r>
        <w:t xml:space="preserve"/>
      </w:r>
    </w:p>
    <w:p>
      <w:pPr>
        <w:pStyle w:val="ListParagraph"/>
        <w:numPr>
          <w:ilvl w:val="0"/>
          <w:numId w:val="2"/>
        </w:numPr>
        <w:spacing w:after="80"/>
      </w:pPr>
      <w:r>
        <w:rPr>
          <w:rFonts w:ascii="Arial" w:cs="Arial" w:eastAsia="Arial" w:hAnsi="Arial"/>
          <w:sz w:val="22"/>
          <w:szCs w:val="22"/>
        </w:rPr>
        <w:t xml:space="preserve">Proves 155 previously unproven theorems across 23 diverse Lean repositories.</w:t>
      </w:r>
    </w:p>
    <w:p>
      <w:pPr>
        <w:pStyle w:val="ListParagraph"/>
        <w:numPr>
          <w:ilvl w:val="0"/>
          <w:numId w:val="2"/>
        </w:numPr>
        <w:spacing w:after="80"/>
      </w:pPr>
      <w:r>
        <w:rPr>
          <w:rFonts w:ascii="Arial" w:cs="Arial" w:eastAsia="Arial" w:hAnsi="Arial"/>
          <w:sz w:val="22"/>
          <w:szCs w:val="22"/>
        </w:rPr>
        <w:t xml:space="preserve">94% composite lifelong learning score — exceptional stability and backward transfer.</w:t>
      </w:r>
    </w:p>
    <w:p>
      <w:pPr>
        <w:pStyle w:val="ListParagraph"/>
        <w:numPr>
          <w:ilvl w:val="0"/>
          <w:numId w:val="2"/>
        </w:numPr>
        <w:spacing w:after="80"/>
      </w:pPr>
      <w:r>
        <w:rPr>
          <w:rFonts w:ascii="Arial" w:cs="Arial" w:eastAsia="Arial" w:hAnsi="Arial"/>
          <w:sz w:val="22"/>
          <w:szCs w:val="22"/>
        </w:rPr>
        <w:t xml:space="preserve">Curriculum ordering uses theorem complexity = e^S where S is number of proof steps — exponential scaling accounts for combinatorial explosion of proof paths.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CCCCCC" w:sz="1"/>
            </w:tcBorders>
            <w:shd w:fill="EBF3FB"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Pipeline applicability</w:t>
            </w:r>
          </w:p>
          <w:p>
            <w:pPr>
              <w:spacing w:after="0"/>
            </w:pPr>
            <w:r>
              <w:rPr>
                <w:rFonts w:ascii="Arial" w:cs="Arial" w:eastAsia="Arial" w:hAnsi="Arial"/>
                <w:sz w:val="20"/>
                <w:szCs w:val="20"/>
              </w:rPr>
              <w:t xml:space="preserve">The growing compliance lemma library we are building IS a LeanAgent-style problem. Order rules by complexity (boolean flags &lt; numeric thresholds &lt; composite eligibility rules). Add newly proven lemmas as premises before attempting harder ones. This is the LEGO-Prover idea validated at scale.</w:t>
            </w:r>
          </w:p>
        </w:tc>
      </w:tr>
    </w:tbl>
    <w:p>
      <w:pPr>
        <w:spacing w:after="120"/>
      </w:pPr>
      <w:r>
        <w:t xml:space="preserve"/>
      </w:r>
    </w:p>
    <w:p>
      <w:pPr>
        <w:pStyle w:val="Heading2"/>
      </w:pPr>
      <w:r>
        <w:t xml:space="preserve">3.6 STP — Self-Play Theorem Prover (Dong et al. — ICML 2025)</w:t>
      </w:r>
    </w:p>
    <w:p>
      <w:pPr>
        <w:spacing w:after="100"/>
      </w:pPr>
      <w:r>
        <w:rPr>
          <w:rFonts w:ascii="Arial" w:cs="Arial" w:eastAsia="Arial" w:hAnsi="Arial"/>
          <w:sz w:val="22"/>
          <w:szCs w:val="22"/>
        </w:rPr>
        <w:t xml:space="preserve">Dual-agent self-play: a conjecturer generates new statements that are barely provable by the current prover, providing useful training signal at the frontier. The prover attempts proofs via expert iteration. Conjectures verified by Lean are added to training.</w:t>
      </w:r>
    </w:p>
    <w:p>
      <w:pPr>
        <w:spacing w:after="40"/>
      </w:pPr>
      <w:r>
        <w:t xml:space="preserve"/>
      </w:r>
    </w:p>
    <w:p>
      <w:pPr>
        <w:pStyle w:val="ListParagraph"/>
        <w:numPr>
          <w:ilvl w:val="0"/>
          <w:numId w:val="2"/>
        </w:numPr>
        <w:spacing w:after="80"/>
      </w:pPr>
      <w:r>
        <w:rPr>
          <w:rFonts w:ascii="Arial" w:cs="Arial" w:eastAsia="Arial" w:hAnsi="Arial"/>
          <w:sz w:val="22"/>
          <w:szCs w:val="22"/>
        </w:rPr>
        <w:t xml:space="preserve">28.5% of LeanWorkbook statements proved, doubling the previous best.</w:t>
      </w:r>
    </w:p>
    <w:p>
      <w:pPr>
        <w:pStyle w:val="ListParagraph"/>
        <w:numPr>
          <w:ilvl w:val="0"/>
          <w:numId w:val="2"/>
        </w:numPr>
        <w:spacing w:after="80"/>
      </w:pPr>
      <w:r>
        <w:rPr>
          <w:rFonts w:ascii="Arial" w:cs="Arial" w:eastAsia="Arial" w:hAnsi="Arial"/>
          <w:sz w:val="22"/>
          <w:szCs w:val="22"/>
        </w:rPr>
        <w:t xml:space="preserve">65.0% miniF2F (Pass@3200) using whole-proof generation.</w:t>
      </w:r>
    </w:p>
    <w:p>
      <w:pPr>
        <w:pStyle w:val="ListParagraph"/>
        <w:numPr>
          <w:ilvl w:val="0"/>
          <w:numId w:val="2"/>
        </w:numPr>
        <w:spacing w:after="80"/>
      </w:pPr>
      <w:r>
        <w:rPr>
          <w:rFonts w:ascii="Arial" w:cs="Arial" w:eastAsia="Arial" w:hAnsi="Arial"/>
          <w:sz w:val="22"/>
          <w:szCs w:val="22"/>
        </w:rPr>
        <w:t xml:space="preserve">51.3 billion tokens generated during training — the self-play loop is compute-intensive but data-efficient.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CCCCCC" w:sz="1"/>
            </w:tcBorders>
            <w:shd w:fill="EEF4E8"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Pipeline applicability (research direction)</w:t>
            </w:r>
          </w:p>
          <w:p>
            <w:pPr>
              <w:spacing w:after="0"/>
            </w:pPr>
            <w:r>
              <w:rPr>
                <w:rFonts w:ascii="Arial" w:cs="Arial" w:eastAsia="Arial" w:hAnsi="Arial"/>
                <w:sz w:val="20"/>
                <w:szCs w:val="20"/>
              </w:rPr>
              <w:t xml:space="preserve">Once we have a verified corpus, STP's conjecture-generation idea applies: generate harder variants of proved compliance lemmas (e.g., 'what if the threshold is 10 crore instead of 15?') to stress-test the prover and generate synthetic training data.</w:t>
            </w:r>
          </w:p>
        </w:tc>
      </w:tr>
    </w:tbl>
    <w:p>
      <w:pPr>
        <w:spacing w:after="120"/>
      </w:pPr>
      <w:r>
        <w:t xml:space="preserve"/>
      </w:r>
    </w:p>
    <w:p>
      <w:pPr>
        <w:pStyle w:val="Heading2"/>
      </w:pPr>
      <w:r>
        <w:t xml:space="preserve">3.7 Seed-Prover 1.5 (ByteDance — December 2025)</w:t>
      </w:r>
    </w:p>
    <w:p>
      <w:pPr>
        <w:spacing w:after="100"/>
      </w:pPr>
      <w:r>
        <w:rPr>
          <w:rFonts w:ascii="Arial" w:cs="Arial" w:eastAsia="Arial" w:hAnsi="Arial"/>
          <w:sz w:val="22"/>
          <w:szCs w:val="22"/>
        </w:rPr>
        <w:t xml:space="preserve">Agentic RL-based prover for graduate-level mathematics. Architecture: a natural language prover drafts an informal proof, which a formal prover then translates and verifies in Lean 4. Solves 11/12 Putnam 2025 problems and 5/6 IMO 2025 problems.</w:t>
      </w:r>
    </w:p>
    <w:p>
      <w:pPr>
        <w:spacing w:after="40"/>
      </w:pPr>
      <w:r>
        <w:t xml:space="preserve"/>
      </w:r>
    </w:p>
    <w:p>
      <w:pPr>
        <w:pStyle w:val="ListParagraph"/>
        <w:numPr>
          <w:ilvl w:val="0"/>
          <w:numId w:val="2"/>
        </w:numPr>
        <w:spacing w:after="80"/>
      </w:pPr>
      <w:r>
        <w:rPr>
          <w:rFonts w:ascii="Arial" w:cs="Arial" w:eastAsia="Arial" w:hAnsi="Arial"/>
          <w:sz w:val="22"/>
          <w:szCs w:val="22"/>
        </w:rPr>
        <w:t xml:space="preserve">Hierarchical decomposition: generates intermediate lemmas for complex problems, then proves each sub-lemma.</w:t>
      </w:r>
    </w:p>
    <w:p>
      <w:pPr>
        <w:pStyle w:val="ListParagraph"/>
        <w:numPr>
          <w:ilvl w:val="0"/>
          <w:numId w:val="2"/>
        </w:numPr>
        <w:spacing w:after="80"/>
      </w:pPr>
      <w:r>
        <w:rPr>
          <w:rFonts w:ascii="Arial" w:cs="Arial" w:eastAsia="Arial" w:hAnsi="Arial"/>
          <w:sz w:val="22"/>
          <w:szCs w:val="22"/>
        </w:rPr>
        <w:t xml:space="preserve">Dynamic lemma scoring: factors in proof rate, semantic relevance, and proof length.</w:t>
      </w:r>
    </w:p>
    <w:p>
      <w:pPr>
        <w:pStyle w:val="ListParagraph"/>
        <w:numPr>
          <w:ilvl w:val="0"/>
          <w:numId w:val="2"/>
        </w:numPr>
        <w:spacing w:after="80"/>
      </w:pPr>
      <w:r>
        <w:rPr>
          <w:rFonts w:ascii="Arial" w:cs="Arial" w:eastAsia="Arial" w:hAnsi="Arial"/>
          <w:sz w:val="22"/>
          <w:szCs w:val="22"/>
        </w:rPr>
        <w:t xml:space="preserve">~80% of problems solved in the first 5 hours of test-time search.</w:t>
      </w:r>
    </w:p>
    <w:p>
      <w:pPr>
        <w:pStyle w:val="ListParagraph"/>
        <w:numPr>
          <w:ilvl w:val="0"/>
          <w:numId w:val="2"/>
        </w:numPr>
        <w:spacing w:after="80"/>
      </w:pPr>
      <w:r>
        <w:rPr>
          <w:rFonts w:ascii="Arial" w:cs="Arial" w:eastAsia="Arial" w:hAnsi="Arial"/>
          <w:sz w:val="22"/>
          <w:szCs w:val="22"/>
        </w:rPr>
        <w:t xml:space="preserve">Failure mode: PhD-level problems where required formalisms are missing from Mathlib — directly analogous to our situation where SEBI-specific concepts are absent from Mathlib.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6"/>
              <w:right w:val="single" w:color="CCCCCC" w:sz="1"/>
            </w:tcBorders>
            <w:shd w:fill="EBF3FB" w:val="clear"/>
            <w:tcMar>
              <w:top w:type="dxa" w:w="100"/>
              <w:left w:type="dxa" w:w="180"/>
              <w:bottom w:type="dxa" w:w="100"/>
              <w:right w:type="dxa" w:w="120"/>
            </w:tcMar>
          </w:tcPr>
          <w:p>
            <w:pPr>
              <w:spacing w:after="60"/>
            </w:pPr>
            <w:r>
              <w:rPr>
                <w:rFonts w:ascii="Arial" w:cs="Arial" w:eastAsia="Arial" w:hAnsi="Arial"/>
                <w:b/>
                <w:bCs/>
                <w:color w:val="1F4E79"/>
                <w:sz w:val="20"/>
                <w:szCs w:val="20"/>
              </w:rPr>
              <w:t xml:space="preserve">Pipeline applicability</w:t>
            </w:r>
          </w:p>
          <w:p>
            <w:pPr>
              <w:spacing w:after="0"/>
            </w:pPr>
            <w:r>
              <w:rPr>
                <w:rFonts w:ascii="Arial" w:cs="Arial" w:eastAsia="Arial" w:hAnsi="Arial"/>
                <w:sz w:val="20"/>
                <w:szCs w:val="20"/>
              </w:rPr>
              <w:t xml:space="preserve">The informal-then-formal architecture (natural language proof sketch → Lean formalisation) is the right design for our rule extraction stage: extract a natural language description of the compliance check, then translate it to Lean — rather than going directly from regulatory text to Lean code.</w:t>
            </w:r>
          </w:p>
        </w:tc>
      </w:tr>
    </w:tbl>
    <w:p>
      <w:pPr>
        <w:spacing w:after="120"/>
      </w:pPr>
      <w:r>
        <w:t xml:space="preserve"/>
      </w:r>
    </w:p>
    <w:p>
      <w:pPr>
        <w:pStyle w:val="Heading2"/>
      </w:pPr>
      <w:r>
        <w:t xml:space="preserve">3.8 Harmonic's Aristotle — Commercial Validation</w:t>
      </w:r>
    </w:p>
    <w:p>
      <w:pPr>
        <w:spacing w:after="100"/>
      </w:pPr>
      <w:r>
        <w:rPr>
          <w:rFonts w:ascii="Arial" w:cs="Arial" w:eastAsia="Arial" w:hAnsi="Arial"/>
          <w:sz w:val="22"/>
          <w:szCs w:val="22"/>
        </w:rPr>
        <w:t xml:space="preserve">Harmonic AI raised $100M in 2025 to build 'hallucination-free' AI using Lean 4 as its backbone. Aristotle achieved gold-medal level performance on IMO 2025, with solutions that are formally verified — not just English prose answers. It also produced a Lean-verified solution to a variant of Erdős problem #124, open for ~30 years, in ~6 hours of autonomous search.</w:t>
      </w:r>
    </w:p>
    <w:p>
      <w:pPr>
        <w:spacing w:after="40"/>
      </w:pPr>
      <w:r>
        <w:t xml:space="preserve"/>
      </w:r>
    </w:p>
    <w:p>
      <w:pPr>
        <w:pStyle w:val="ListParagraph"/>
        <w:numPr>
          <w:ilvl w:val="0"/>
          <w:numId w:val="2"/>
        </w:numPr>
        <w:spacing w:after="80"/>
      </w:pPr>
      <w:r>
        <w:rPr>
          <w:rFonts w:ascii="Arial" w:cs="Arial" w:eastAsia="Arial" w:hAnsi="Arial"/>
          <w:sz w:val="22"/>
          <w:szCs w:val="22"/>
        </w:rPr>
        <w:t xml:space="preserve">Strategic significance: the thesis that 'formal verification is the path to trustworthy AI in high-stakes domains' is now commercially validated at scale.</w:t>
      </w:r>
    </w:p>
    <w:p>
      <w:pPr>
        <w:pStyle w:val="ListParagraph"/>
        <w:numPr>
          <w:ilvl w:val="0"/>
          <w:numId w:val="2"/>
        </w:numPr>
        <w:spacing w:after="80"/>
      </w:pPr>
      <w:r>
        <w:rPr>
          <w:rFonts w:ascii="Arial" w:cs="Arial" w:eastAsia="Arial" w:hAnsi="Arial"/>
          <w:sz w:val="22"/>
          <w:szCs w:val="22"/>
        </w:rPr>
        <w:t xml:space="preserve">The VentureBeat analysis of this work specifically mentions financial compliance as a natural application: 'an LLM assistant for finance that provides an answer only if it can generate a formal proof that it adheres to accounting rules or legal constraints' — which is exactly our project.</w:t>
      </w:r>
    </w:p>
    <w:p>
      <w:pPr>
        <w:pStyle w:val="ListParagraph"/>
        <w:numPr>
          <w:ilvl w:val="0"/>
          <w:numId w:val="2"/>
        </w:numPr>
        <w:spacing w:after="80"/>
      </w:pPr>
      <w:r>
        <w:rPr>
          <w:rFonts w:ascii="Arial" w:cs="Arial" w:eastAsia="Arial" w:hAnsi="Arial"/>
          <w:sz w:val="22"/>
          <w:szCs w:val="22"/>
        </w:rPr>
        <w:t xml:space="preserve">Competitive window: no equivalent system exists for regulatory compliance. We are building the first.</w:t>
      </w:r>
    </w:p>
    <w:p>
      <w:pPr>
        <w:spacing w:after="100"/>
      </w:pPr>
      <w:r>
        <w:t xml:space="preserve"/>
      </w:r>
    </w:p>
    <w:p>
      <w:pPr>
        <w:pBdr>
          <w:bottom w:val="single" w:color="2E75B6" w:sz="8" w:space="1"/>
        </w:pBdr>
        <w:spacing w:after="160"/>
      </w:pPr>
      <w:r>
        <w:t xml:space="preserve"/>
      </w:r>
    </w:p>
    <w:p>
      <w:pPr>
        <w:pStyle w:val="Heading1"/>
      </w:pPr>
      <w:r>
        <w:t xml:space="preserve">4. Compliance Automation and RegTech Literature</w:t>
      </w:r>
    </w:p>
    <w:p>
      <w:pPr>
        <w:spacing w:after="40"/>
      </w:pPr>
      <w:r>
        <w:t xml:space="preserve"/>
      </w:r>
    </w:p>
    <w:p>
      <w:pPr>
        <w:pStyle w:val="Heading2"/>
      </w:pPr>
      <w:r>
        <w:t xml:space="preserve">4.1 Compliance-to-Code (Jiang et al. — arXiv 2505.19804, 2025)</w:t>
      </w:r>
    </w:p>
    <w:p>
      <w:pPr>
        <w:spacing w:after="100"/>
      </w:pPr>
      <w:r>
        <w:rPr>
          <w:rFonts w:ascii="Arial" w:cs="Arial" w:eastAsia="Arial" w:hAnsi="Arial"/>
          <w:sz w:val="22"/>
          <w:szCs w:val="22"/>
        </w:rPr>
        <w:t xml:space="preserve">The closest academic work to our pipeline. Presents a code-centric approach for LLM-driven compliance automation, arguing that code generation improves transparency, interpretability, and auditability over natural-language verification — precisely our motivation for targeting Lean.</w:t>
      </w:r>
    </w:p>
    <w:p>
      <w:pPr>
        <w:spacing w:after="40"/>
      </w:pPr>
      <w:r>
        <w:t xml:space="preserve"/>
      </w:r>
    </w:p>
    <w:p>
      <w:pPr>
        <w:pStyle w:val="ListParagraph"/>
        <w:numPr>
          <w:ilvl w:val="0"/>
          <w:numId w:val="2"/>
        </w:numPr>
        <w:spacing w:after="80"/>
      </w:pPr>
      <w:r>
        <w:rPr>
          <w:rFonts w:ascii="Arial" w:cs="Arial" w:eastAsia="Arial" w:hAnsi="Arial"/>
          <w:sz w:val="22"/>
          <w:szCs w:val="22"/>
        </w:rPr>
        <w:t xml:space="preserve">Identifies a critical dataset gap: there is almost no publicly available mapping from real regulatory text to executable compliance logic in the financial sector.</w:t>
      </w:r>
    </w:p>
    <w:p>
      <w:pPr>
        <w:pStyle w:val="ListParagraph"/>
        <w:numPr>
          <w:ilvl w:val="0"/>
          <w:numId w:val="2"/>
        </w:numPr>
        <w:spacing w:after="80"/>
      </w:pPr>
      <w:r>
        <w:rPr>
          <w:rFonts w:ascii="Arial" w:cs="Arial" w:eastAsia="Arial" w:hAnsi="Arial"/>
          <w:sz w:val="22"/>
          <w:szCs w:val="22"/>
        </w:rPr>
        <w:t xml:space="preserve">Our SEBI ICDR corpus, once complete, would be the first such dataset — and a direct academic contribution.</w:t>
      </w:r>
    </w:p>
    <w:p>
      <w:pPr>
        <w:pStyle w:val="ListParagraph"/>
        <w:numPr>
          <w:ilvl w:val="0"/>
          <w:numId w:val="2"/>
        </w:numPr>
        <w:spacing w:after="80"/>
      </w:pPr>
      <w:r>
        <w:rPr>
          <w:rFonts w:ascii="Arial" w:cs="Arial" w:eastAsia="Arial" w:hAnsi="Arial"/>
          <w:sz w:val="22"/>
          <w:szCs w:val="22"/>
        </w:rPr>
        <w:t xml:space="preserve">Key difference from our work: uses Python, not Lean. No formal soundness guarantees. Their verifier is probabilistic; ours is the Lean kernel.</w:t>
      </w:r>
    </w:p>
    <w:p>
      <w:pPr>
        <w:spacing w:after="100"/>
      </w:pPr>
      <w:r>
        <w:t xml:space="preserve"/>
      </w:r>
    </w:p>
    <w:p>
      <w:pPr>
        <w:pStyle w:val="Heading2"/>
      </w:pPr>
      <w:r>
        <w:t xml:space="preserve">4.2 MIT Computational Law — VER-LLM Framework (Sobkowski &amp; Karapetyan, 2025)</w:t>
      </w:r>
    </w:p>
    <w:p>
      <w:pPr>
        <w:spacing w:after="100"/>
      </w:pPr>
      <w:r>
        <w:rPr>
          <w:rFonts w:ascii="Arial" w:cs="Arial" w:eastAsia="Arial" w:hAnsi="Arial"/>
          <w:sz w:val="22"/>
          <w:szCs w:val="22"/>
        </w:rPr>
        <w:t xml:space="preserve">Three-component architecture: (1) knowledge acquisition from unstructured text into an ontology, (2) a Verification LLM (VER-LLM) that applies logical reasoning and hypothesis testing, and (3) a continuous improvement feedback loop.</w:t>
      </w:r>
    </w:p>
    <w:p>
      <w:pPr>
        <w:spacing w:after="40"/>
      </w:pPr>
      <w:r>
        <w:t xml:space="preserve"/>
      </w:r>
    </w:p>
    <w:p>
      <w:pPr>
        <w:pStyle w:val="ListParagraph"/>
        <w:numPr>
          <w:ilvl w:val="0"/>
          <w:numId w:val="2"/>
        </w:numPr>
        <w:spacing w:after="80"/>
      </w:pPr>
      <w:r>
        <w:rPr>
          <w:rFonts w:ascii="Arial" w:cs="Arial" w:eastAsia="Arial" w:hAnsi="Arial"/>
          <w:sz w:val="22"/>
          <w:szCs w:val="22"/>
        </w:rPr>
        <w:t xml:space="preserve">Our pipeline mirrors this exactly: rule extraction (knowledge acquisition), LLM judge (VER-LLM), schema reconciliation (continuous improvement).</w:t>
      </w:r>
    </w:p>
    <w:p>
      <w:pPr>
        <w:pStyle w:val="ListParagraph"/>
        <w:numPr>
          <w:ilvl w:val="0"/>
          <w:numId w:val="2"/>
        </w:numPr>
        <w:spacing w:after="80"/>
      </w:pPr>
      <w:r>
        <w:rPr>
          <w:rFonts w:ascii="Arial" w:cs="Arial" w:eastAsia="Arial" w:hAnsi="Arial"/>
          <w:sz w:val="22"/>
          <w:szCs w:val="22"/>
        </w:rPr>
        <w:t xml:space="preserve">The key upgrade we offer: their VER-LLM operates on natural language. Ours targets Lean — giving formally sound verification instead of probabilistic assessment.</w:t>
      </w:r>
    </w:p>
    <w:p>
      <w:pPr>
        <w:spacing w:after="100"/>
      </w:pPr>
      <w:r>
        <w:t xml:space="preserve"/>
      </w:r>
    </w:p>
    <w:p>
      <w:pPr>
        <w:pStyle w:val="Heading2"/>
      </w:pPr>
      <w:r>
        <w:t xml:space="preserve">4.3 ARCV — Automated Regulatory Compliance Verification (Weirich et al. — arXiv 2507.16642, 2025)</w:t>
      </w:r>
    </w:p>
    <w:p>
      <w:pPr>
        <w:spacing w:after="100"/>
      </w:pPr>
      <w:r>
        <w:rPr>
          <w:rFonts w:ascii="Arial" w:cs="Arial" w:eastAsia="Arial" w:hAnsi="Arial"/>
          <w:sz w:val="22"/>
          <w:szCs w:val="22"/>
        </w:rPr>
        <w:t xml:space="preserve">Empirical study evaluating LLMs on financial auditing datasets (IFRS and HGB standards) using structured prompts, chain-of-thought, and tree-of-thought techniques.</w:t>
      </w:r>
    </w:p>
    <w:p>
      <w:pPr>
        <w:spacing w:after="40"/>
      </w:pPr>
      <w:r>
        <w:t xml:space="preserve"/>
      </w:r>
    </w:p>
    <w:p>
      <w:pPr>
        <w:pStyle w:val="ListParagraph"/>
        <w:numPr>
          <w:ilvl w:val="0"/>
          <w:numId w:val="2"/>
        </w:numPr>
        <w:spacing w:after="80"/>
      </w:pPr>
      <w:r>
        <w:rPr>
          <w:rFonts w:ascii="Arial" w:cs="Arial" w:eastAsia="Arial" w:hAnsi="Arial"/>
          <w:sz w:val="22"/>
          <w:szCs w:val="22"/>
        </w:rPr>
        <w:t xml:space="preserve">Chain-of-thought prompting substantially outperforms vanilla prompting for multi-condition compliance checks.</w:t>
      </w:r>
    </w:p>
    <w:p>
      <w:pPr>
        <w:pStyle w:val="ListParagraph"/>
        <w:numPr>
          <w:ilvl w:val="0"/>
          <w:numId w:val="2"/>
        </w:numPr>
        <w:spacing w:after="80"/>
      </w:pPr>
      <w:r>
        <w:rPr>
          <w:rFonts w:ascii="Arial" w:cs="Arial" w:eastAsia="Arial" w:hAnsi="Arial"/>
          <w:sz w:val="22"/>
          <w:szCs w:val="22"/>
        </w:rPr>
        <w:t xml:space="preserve">Models perform poorly on domain-specific numeric formats — similar to our Indian comma-format issues. Deterministic numeric parsing is a necessary pre-condition for reliable compliance checking. We already do this.</w:t>
      </w:r>
    </w:p>
    <w:p>
      <w:pPr>
        <w:pStyle w:val="ListParagraph"/>
        <w:numPr>
          <w:ilvl w:val="0"/>
          <w:numId w:val="2"/>
        </w:numPr>
        <w:spacing w:after="80"/>
      </w:pPr>
      <w:r>
        <w:rPr>
          <w:rFonts w:ascii="Arial" w:cs="Arial" w:eastAsia="Arial" w:hAnsi="Arial"/>
          <w:sz w:val="22"/>
          <w:szCs w:val="22"/>
        </w:rPr>
        <w:t xml:space="preserve">Prompt structure has large effect on performance — our rule extraction phase should use explicit CoT prompting for rules with nested conditions.</w:t>
      </w:r>
    </w:p>
    <w:p>
      <w:pPr>
        <w:spacing w:after="100"/>
      </w:pPr>
      <w:r>
        <w:t xml:space="preserve"/>
      </w:r>
    </w:p>
    <w:p>
      <w:pPr>
        <w:pStyle w:val="Heading2"/>
      </w:pPr>
      <w:r>
        <w:t xml:space="preserve">4.4 Reg-LLaMA — A Large Language Model for Financial Regulation (ACL 2025)</w:t>
      </w:r>
    </w:p>
    <w:p>
      <w:pPr>
        <w:spacing w:after="100"/>
      </w:pPr>
      <w:r>
        <w:rPr>
          <w:rFonts w:ascii="Arial" w:cs="Arial" w:eastAsia="Arial" w:hAnsi="Arial"/>
          <w:sz w:val="22"/>
          <w:szCs w:val="22"/>
        </w:rPr>
        <w:t xml:space="preserve">Instruction-tuned LLM trained on a bilingual financial regulation dataset covering audit issue summarization, legal advice, and regulatory question answering. Benchmarked at the COLING 2025 Regulations Challenge.</w:t>
      </w:r>
    </w:p>
    <w:p>
      <w:pPr>
        <w:spacing w:after="40"/>
      </w:pPr>
      <w:r>
        <w:t xml:space="preserve"/>
      </w:r>
    </w:p>
    <w:p>
      <w:pPr>
        <w:pStyle w:val="ListParagraph"/>
        <w:numPr>
          <w:ilvl w:val="0"/>
          <w:numId w:val="2"/>
        </w:numPr>
        <w:spacing w:after="80"/>
      </w:pPr>
      <w:r>
        <w:rPr>
          <w:rFonts w:ascii="Arial" w:cs="Arial" w:eastAsia="Arial" w:hAnsi="Arial"/>
          <w:sz w:val="22"/>
          <w:szCs w:val="22"/>
        </w:rPr>
        <w:t xml:space="preserve">Domain-specific fine-tuning on financial regulation text outperforms general-purpose models on audit-related NLP tasks.</w:t>
      </w:r>
    </w:p>
    <w:p>
      <w:pPr>
        <w:pStyle w:val="ListParagraph"/>
        <w:numPr>
          <w:ilvl w:val="0"/>
          <w:numId w:val="2"/>
        </w:numPr>
        <w:spacing w:after="80"/>
      </w:pPr>
      <w:r>
        <w:rPr>
          <w:rFonts w:ascii="Arial" w:cs="Arial" w:eastAsia="Arial" w:hAnsi="Arial"/>
          <w:sz w:val="22"/>
          <w:szCs w:val="22"/>
        </w:rPr>
        <w:t xml:space="preserve">For our rule extraction stage: using a finance-domain base model (AuditWen, FinBERT, or a Reg-LLaMA variant) would improve numeric extraction accuracy and reduce hallucination in financial quantity identification.</w:t>
      </w:r>
    </w:p>
    <w:p>
      <w:pPr>
        <w:spacing w:after="100"/>
      </w:pPr>
      <w:r>
        <w:t xml:space="preserve"/>
      </w:r>
    </w:p>
    <w:p>
      <w:pPr>
        <w:pStyle w:val="Heading2"/>
      </w:pPr>
      <w:r>
        <w:t xml:space="preserve">4.5 FVEL — Interactive Formal Verification with LLMs (Lin et al., 2024)</w:t>
      </w:r>
    </w:p>
    <w:p>
      <w:pPr>
        <w:spacing w:after="100"/>
      </w:pPr>
      <w:r>
        <w:rPr>
          <w:rFonts w:ascii="Arial" w:cs="Arial" w:eastAsia="Arial" w:hAnsi="Arial"/>
          <w:sz w:val="22"/>
          <w:szCs w:val="22"/>
        </w:rPr>
        <w:t xml:space="preserve">Uses interactive formal verification via theorem proving in Isabelle for software verification tasks. Closest prior work to combining LLMs with formal verification in a non-mathematical domain.</w:t>
      </w:r>
    </w:p>
    <w:p>
      <w:pPr>
        <w:spacing w:after="40"/>
      </w:pPr>
      <w:r>
        <w:t xml:space="preserve"/>
      </w:r>
    </w:p>
    <w:p>
      <w:pPr>
        <w:pStyle w:val="ListParagraph"/>
        <w:numPr>
          <w:ilvl w:val="0"/>
          <w:numId w:val="2"/>
        </w:numPr>
        <w:spacing w:after="80"/>
      </w:pPr>
      <w:r>
        <w:rPr>
          <w:rFonts w:ascii="Arial" w:cs="Arial" w:eastAsia="Arial" w:hAnsi="Arial"/>
          <w:sz w:val="22"/>
          <w:szCs w:val="22"/>
        </w:rPr>
        <w:t xml:space="preserve">Domain: software verification, not regulatory compliance. But the infrastructure patterns — LLM generating proof sketches, verifier providing feedback, iterative repair — are directly transferable.</w:t>
      </w:r>
    </w:p>
    <w:p>
      <w:pPr>
        <w:pStyle w:val="ListParagraph"/>
        <w:numPr>
          <w:ilvl w:val="0"/>
          <w:numId w:val="2"/>
        </w:numPr>
        <w:spacing w:after="80"/>
      </w:pPr>
      <w:r>
        <w:rPr>
          <w:rFonts w:ascii="Arial" w:cs="Arial" w:eastAsia="Arial" w:hAnsi="Arial"/>
          <w:sz w:val="22"/>
          <w:szCs w:val="22"/>
        </w:rPr>
        <w:t xml:space="preserve">Key lesson: the bottleneck in non-mathematical domains is not proof search but autoformalization — translating domain-specific concepts into formal structures.</w:t>
      </w:r>
    </w:p>
    <w:p>
      <w:pPr>
        <w:spacing w:after="100"/>
      </w:pPr>
      <w:r>
        <w:t xml:space="preserve"/>
      </w:r>
    </w:p>
    <w:p>
      <w:pPr>
        <w:pBdr>
          <w:bottom w:val="single" w:color="2E75B6" w:sz="8" w:space="1"/>
        </w:pBdr>
        <w:spacing w:after="160"/>
      </w:pPr>
      <w:r>
        <w:t xml:space="preserve"/>
      </w:r>
    </w:p>
    <w:p>
      <w:pPr>
        <w:pStyle w:val="Heading1"/>
      </w:pPr>
      <w:r>
        <w:t xml:space="preserve">5. Positioning Our Work</w:t>
      </w:r>
    </w:p>
    <w:p>
      <w:pPr>
        <w:spacing w:after="100"/>
      </w:pPr>
      <w:r>
        <w:rPr>
          <w:rFonts w:ascii="Arial" w:cs="Arial" w:eastAsia="Arial" w:hAnsi="Arial"/>
          <w:sz w:val="22"/>
          <w:szCs w:val="22"/>
        </w:rPr>
        <w:t xml:space="preserve">To our knowledge, no published work addresses the specific problem of formal compliance verification of Indian capital markets regulations (SEBI ICDR) using a theorem prover. Our pipeline sits at the intersection of three research areas: Regulatory NLP / RegTech, Autoformalization, and Neural Theorem Proving.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Similarity to ours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gap</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advantage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Compliance-to-Code (2025)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Regulation-to-code pipeline, auditability focus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formal theorem proving; uses Python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kernel = formally sound oracle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MIT CLR VER-LLM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Three-stage pipeline with feedback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Verification is LLM-based, not formally sound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verification, not probabilistic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ARCV on IFRS/HGB (2025)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regulatory compliance with LLMs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English-language standards; no formal verification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SEBI ICDR (Indian); Lean verification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Copilot (NeuS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LLM-in-Lean infrastructure, tactic suggestion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Mathematical domain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 compliance domain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APOLLO (NeurIPS 2025)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Compiler-guided repair loop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Mathematical domain; no regulatory application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to apply repair loop to compliance lemmas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FVEL (Lin et al.,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 formal verification via theorem proving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 verification domain (Isabelle)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compliance; Lean 4</w:t>
            </w:r>
          </w:p>
        </w:tc>
      </w:tr>
    </w:tbl>
    <w:p>
      <w:pPr>
        <w:spacing w:after="120"/>
      </w:pPr>
      <w:r>
        <w:t xml:space="preserve"/>
      </w:r>
    </w:p>
    <w:p>
      <w:pPr>
        <w:spacing w:after="100"/>
      </w:pPr>
      <w:r>
        <w:rPr>
          <w:rFonts w:ascii="Arial" w:cs="Arial" w:eastAsia="Arial" w:hAnsi="Arial"/>
          <w:i/>
          <w:iCs/>
          <w:sz w:val="22"/>
          <w:szCs w:val="22"/>
        </w:rPr>
        <w:t xml:space="preserve">Our pipeline, if it achieves reliable end-to-end verification, would represent a novel contribution publishable at ICAIL (International Conference on AI and Law), FinNLP, or a formal methods conference. The dataset of (ICDR rule text, Lean check function) pairs would be the first domain-specific training set for financial regulation autoformalization.</w:t>
      </w:r>
    </w:p>
    <w:p>
      <w:pPr>
        <w:spacing w:after="100"/>
      </w:pPr>
      <w:r>
        <w:t xml:space="preserve"/>
      </w:r>
    </w:p>
    <w:p>
      <w:pPr>
        <w:pBdr>
          <w:bottom w:val="single" w:color="2E75B6" w:sz="8" w:space="1"/>
        </w:pBdr>
        <w:spacing w:after="160"/>
      </w:pPr>
      <w:r>
        <w:t xml:space="preserve"/>
      </w:r>
    </w:p>
    <w:p>
      <w:pPr>
        <w:pStyle w:val="Heading1"/>
      </w:pPr>
      <w:r>
        <w:t xml:space="preserve">6. Concrete Integration Roadmap</w:t>
      </w:r>
    </w:p>
    <w:p>
      <w:pPr>
        <w:spacing w:after="100"/>
      </w:pPr>
      <w:r>
        <w:rPr>
          <w:rFonts w:ascii="Arial" w:cs="Arial" w:eastAsia="Arial" w:hAnsi="Arial"/>
          <w:sz w:val="22"/>
          <w:szCs w:val="22"/>
        </w:rPr>
        <w:t xml:space="preserve">The following recommendations are ordered by implementation effort and expected impact. Each is tied to a specific pipeline phase.</w:t>
      </w:r>
    </w:p>
    <w:p>
      <w:pPr>
        <w:spacing w:after="80"/>
      </w:pPr>
      <w:r>
        <w:t xml:space="preserve"/>
      </w:r>
    </w:p>
    <w:p>
      <w:pPr>
        <w:pStyle w:val="Heading2"/>
      </w:pPr>
      <w:r>
        <w:t xml:space="preserve">6.1 Immediate — High Impact, Low Effort</w:t>
      </w:r>
    </w:p>
    <w:p>
      <w:pPr>
        <w:spacing w:after="40"/>
      </w:pPr>
      <w:r>
        <w:t xml:space="preserve"/>
      </w:r>
    </w:p>
    <w:p>
      <w:pPr>
        <w:pStyle w:val="Heading3"/>
      </w:pPr>
      <w:r>
        <w:t xml:space="preserve">6.1.1 APOLLO-style Repair Loop in verify_one.py (Phase 6)</w:t>
      </w:r>
    </w:p>
    <w:p>
      <w:pPr>
        <w:spacing w:after="100"/>
      </w:pPr>
      <w:r>
        <w:rPr>
          <w:rFonts w:ascii="Arial" w:cs="Arial" w:eastAsia="Arial" w:hAnsi="Arial"/>
          <w:sz w:val="22"/>
          <w:szCs w:val="22"/>
        </w:rPr>
        <w:t xml:space="preserve">Replace the current 'generate once and accept' Lean generation with an iterative repair cycle. The loop should be:</w:t>
      </w:r>
    </w:p>
    <w:p>
      <w:pPr>
        <w:pStyle w:val="ListParagraph"/>
        <w:numPr>
          <w:ilvl w:val="0"/>
          <w:numId w:val="3"/>
        </w:numPr>
        <w:spacing w:after="80"/>
      </w:pPr>
      <w:r>
        <w:rPr>
          <w:rFonts w:ascii="Arial" w:cs="Arial" w:eastAsia="Arial" w:hAnsi="Arial"/>
          <w:sz w:val="22"/>
          <w:szCs w:val="22"/>
        </w:rPr>
        <w:t xml:space="preserve">Generate initial proof attempt via llm_generate_lean.py.</w:t>
      </w:r>
    </w:p>
    <w:p>
      <w:pPr>
        <w:pStyle w:val="ListParagraph"/>
        <w:numPr>
          <w:ilvl w:val="0"/>
          <w:numId w:val="3"/>
        </w:numPr>
        <w:spacing w:after="80"/>
      </w:pPr>
      <w:r>
        <w:rPr>
          <w:rFonts w:ascii="Arial" w:cs="Arial" w:eastAsia="Arial" w:hAnsi="Arial"/>
          <w:sz w:val="22"/>
          <w:szCs w:val="22"/>
        </w:rPr>
        <w:t xml:space="preserve">Syntax-fix common Lean 4 idiom errors (already partially done in postprocess_rules_and_fields.py).</w:t>
      </w:r>
    </w:p>
    <w:p>
      <w:pPr>
        <w:pStyle w:val="ListParagraph"/>
        <w:numPr>
          <w:ilvl w:val="0"/>
          <w:numId w:val="3"/>
        </w:numPr>
        <w:spacing w:after="80"/>
      </w:pPr>
      <w:r>
        <w:rPr>
          <w:rFonts w:ascii="Arial" w:cs="Arial" w:eastAsia="Arial" w:hAnsi="Arial"/>
          <w:sz w:val="22"/>
          <w:szCs w:val="22"/>
        </w:rPr>
        <w:t xml:space="preserve">Sorrify failing blocks: replace failing subgoals with sorry placeholders to isolate them.</w:t>
      </w:r>
    </w:p>
    <w:p>
      <w:pPr>
        <w:pStyle w:val="ListParagraph"/>
        <w:numPr>
          <w:ilvl w:val="0"/>
          <w:numId w:val="3"/>
        </w:numPr>
        <w:spacing w:after="80"/>
      </w:pPr>
      <w:r>
        <w:rPr>
          <w:rFonts w:ascii="Arial" w:cs="Arial" w:eastAsia="Arial" w:hAnsi="Arial"/>
          <w:sz w:val="22"/>
          <w:szCs w:val="22"/>
        </w:rPr>
        <w:t xml:space="preserve">Apply omega / decide / simp to each sorry'd sub-goal automatically.</w:t>
      </w:r>
    </w:p>
    <w:p>
      <w:pPr>
        <w:pStyle w:val="ListParagraph"/>
        <w:numPr>
          <w:ilvl w:val="0"/>
          <w:numId w:val="3"/>
        </w:numPr>
        <w:spacing w:after="80"/>
      </w:pPr>
      <w:r>
        <w:rPr>
          <w:rFonts w:ascii="Arial" w:cs="Arial" w:eastAsia="Arial" w:hAnsi="Arial"/>
          <w:sz w:val="22"/>
          <w:szCs w:val="22"/>
        </w:rPr>
        <w:t xml:space="preserve">For goals that survive, invoke the LLM with only that sub-goal as context (not the full rule).</w:t>
      </w:r>
    </w:p>
    <w:p>
      <w:pPr>
        <w:pStyle w:val="ListParagraph"/>
        <w:numPr>
          <w:ilvl w:val="0"/>
          <w:numId w:val="3"/>
        </w:numPr>
        <w:spacing w:after="80"/>
      </w:pPr>
      <w:r>
        <w:rPr>
          <w:rFonts w:ascii="Arial" w:cs="Arial" w:eastAsia="Arial" w:hAnsi="Arial"/>
          <w:sz w:val="22"/>
          <w:szCs w:val="22"/>
        </w:rPr>
        <w:t xml:space="preserve">Recombine sub-proofs and reverify with lake build.</w:t>
      </w:r>
    </w:p>
    <w:p>
      <w:pPr>
        <w:pStyle w:val="ListParagraph"/>
        <w:numPr>
          <w:ilvl w:val="0"/>
          <w:numId w:val="3"/>
        </w:numPr>
        <w:spacing w:after="80"/>
      </w:pPr>
      <w:r>
        <w:rPr>
          <w:rFonts w:ascii="Arial" w:cs="Arial" w:eastAsia="Arial" w:hAnsi="Arial"/>
          <w:sz w:val="22"/>
          <w:szCs w:val="22"/>
        </w:rPr>
        <w:t xml:space="preserve">Repeat up to a bounded number of rounds (3-5). Quarantine persistent failures.</w:t>
      </w:r>
    </w:p>
    <w:p>
      <w:pPr>
        <w:spacing w:after="60"/>
      </w:pPr>
      <w:r>
        <w:t xml:space="preserve"/>
      </w:r>
    </w:p>
    <w:p>
      <w:pPr>
        <w:spacing w:after="100"/>
      </w:pPr>
      <w:r>
        <w:rPr>
          <w:rFonts w:ascii="Arial" w:cs="Arial" w:eastAsia="Arial" w:hAnsi="Arial"/>
          <w:sz w:val="22"/>
          <w:szCs w:val="22"/>
        </w:rPr>
        <w:t xml:space="preserve">Expected impact: general-purpose models jump from ~5% to 40%+ proof success without any fine-tuning, based on APOLLO results.</w:t>
      </w:r>
    </w:p>
    <w:p>
      <w:pPr>
        <w:spacing w:after="100"/>
      </w:pPr>
      <w:r>
        <w:t xml:space="preserve"/>
      </w:r>
    </w:p>
    <w:p>
      <w:pPr>
        <w:pStyle w:val="Heading3"/>
      </w:pPr>
      <w:r>
        <w:t xml:space="preserve">6.1.2 MA-LoT Corrector Split (Phase 3a / Phase 6)</w:t>
      </w:r>
    </w:p>
    <w:p>
      <w:pPr>
        <w:spacing w:after="100"/>
      </w:pPr>
      <w:r>
        <w:rPr>
          <w:rFonts w:ascii="Arial" w:cs="Arial" w:eastAsia="Arial" w:hAnsi="Arial"/>
          <w:sz w:val="22"/>
          <w:szCs w:val="22"/>
        </w:rPr>
        <w:t xml:space="preserve">Separate the Lean generation prompt from the correction prompt in llm_generate_lean.py. The Generator receives the rule text and schema. The Corrector receives specifically the Lean compiler error message and the failing subgoal — nothing else. This is cheaper and more targeted than full regeneration.</w:t>
      </w:r>
    </w:p>
    <w:p>
      <w:pPr>
        <w:spacing w:after="80"/>
      </w:pPr>
      <w:r>
        <w:t xml:space="preserve"/>
      </w:r>
    </w:p>
    <w:p>
      <w:pPr>
        <w:pStyle w:val="Heading3"/>
      </w:pPr>
      <w:r>
        <w:t xml:space="preserve">6.1.3 Chain-of-Thought Prompting for Rule Extraction (Phase 1)</w:t>
      </w:r>
    </w:p>
    <w:p>
      <w:pPr>
        <w:spacing w:after="100"/>
      </w:pPr>
      <w:r>
        <w:rPr>
          <w:rFonts w:ascii="Arial" w:cs="Arial" w:eastAsia="Arial" w:hAnsi="Arial"/>
          <w:sz w:val="22"/>
          <w:szCs w:val="22"/>
        </w:rPr>
        <w:t xml:space="preserve">The ARCV study confirms that CoT prompting substantially outperforms vanilla prompting for multi-condition compliance checks. The rule extraction phase should explicitly prompt the LLM to reason step-by-step through each regulatory clause before emitting the maps_to schema — particularly for rules with nested conditions or exceptions.</w:t>
      </w:r>
    </w:p>
    <w:p>
      <w:pPr>
        <w:spacing w:after="80"/>
      </w:pPr>
      <w:r>
        <w:t xml:space="preserve"/>
      </w:r>
    </w:p>
    <w:p>
      <w:pPr>
        <w:pStyle w:val="Heading3"/>
      </w:pPr>
      <w:r>
        <w:t xml:space="preserve">6.1.4 Lean Compiler Error Feedback Loop (Phase 4 / Phase 6)</w:t>
      </w:r>
    </w:p>
    <w:p>
      <w:pPr>
        <w:spacing w:after="100"/>
      </w:pPr>
      <w:r>
        <w:rPr>
          <w:rFonts w:ascii="Arial" w:cs="Arial" w:eastAsia="Arial" w:hAnsi="Arial"/>
          <w:sz w:val="22"/>
          <w:szCs w:val="22"/>
        </w:rPr>
        <w:t xml:space="preserve">Currently, the LLM judge reconciles schema types without direct feedback from the Lean compiler. Adding a thin loop where generated Lean code is passed through the Lean REPL and any type errors are fed back to the LLM for correction would immediately improve type correctness. This is the single highest-leverage addition to the pipeline and the most cited recommendation in the process-driven autoformalization literature (Zheng et al., ICLR 2024).</w:t>
      </w:r>
    </w:p>
    <w:p>
      <w:pPr>
        <w:spacing w:after="100"/>
      </w:pPr>
      <w:r>
        <w:t xml:space="preserve"/>
      </w:r>
    </w:p>
    <w:p>
      <w:pPr>
        <w:pStyle w:val="Heading2"/>
      </w:pPr>
      <w:r>
        <w:t xml:space="preserve">6.2 Medium-Term</w:t>
      </w:r>
    </w:p>
    <w:p>
      <w:pPr>
        <w:spacing w:after="40"/>
      </w:pPr>
      <w:r>
        <w:t xml:space="preserve"/>
      </w:r>
    </w:p>
    <w:p>
      <w:pPr>
        <w:pStyle w:val="Heading3"/>
      </w:pPr>
      <w:r>
        <w:t xml:space="preserve">6.2.1 Lean Copilot SEARCH_PROOF in Server Mode (Phase 6)</w:t>
      </w:r>
    </w:p>
    <w:p>
      <w:pPr>
        <w:spacing w:after="100"/>
      </w:pPr>
      <w:r>
        <w:rPr>
          <w:rFonts w:ascii="Arial" w:cs="Arial" w:eastAsia="Arial" w:hAnsi="Arial"/>
          <w:sz w:val="22"/>
          <w:szCs w:val="22"/>
        </w:rPr>
        <w:t xml:space="preserve">Use Lean Copilot's SEARCH_PROOF with ExternalGenerator pointing to a hosted LLM from our Python orchestrator. This replaces manual AESOP configuration with adaptive tactic generation without requiring full FFI integration. Most ICDR eligibility check functions are decidable propositions amenable to omega, decide, and simp, with LLM-suggested tactics for edge cases.</w:t>
      </w:r>
    </w:p>
    <w:p>
      <w:pPr>
        <w:spacing w:after="80"/>
      </w:pPr>
      <w:r>
        <w:t xml:space="preserve"/>
      </w:r>
    </w:p>
    <w:p>
      <w:pPr>
        <w:pStyle w:val="Heading3"/>
      </w:pPr>
      <w:r>
        <w:t xml:space="preserve">6.2.2 LeanAgent-Style Curriculum Library (Phase 6 ongoing)</w:t>
      </w:r>
    </w:p>
    <w:p>
      <w:pPr>
        <w:spacing w:after="100"/>
      </w:pPr>
      <w:r>
        <w:rPr>
          <w:rFonts w:ascii="Arial" w:cs="Arial" w:eastAsia="Arial" w:hAnsi="Arial"/>
          <w:sz w:val="22"/>
          <w:szCs w:val="22"/>
        </w:rPr>
        <w:t xml:space="preserve">As we verify more compliance rules, build a cumulative library of proven compliance lemmas ordered by complexity. Simple boolean flags (has_demat_agreement, is_debarred) are proved first and become premises for numeric threshold lemmas, which in turn become premises for composite eligibility rules. This is the LEGO-Prover approach applied to compliance and validated at scale by LeanAgent.</w:t>
      </w:r>
    </w:p>
    <w:p>
      <w:pPr>
        <w:spacing w:after="80"/>
      </w:pPr>
      <w:r>
        <w:t xml:space="preserve"/>
      </w:r>
    </w:p>
    <w:p>
      <w:pPr>
        <w:pStyle w:val="Heading3"/>
      </w:pPr>
      <w:r>
        <w:t xml:space="preserve">6.2.3 Informal-then-Formal Proof Architecture (Phase 3a)</w:t>
      </w:r>
    </w:p>
    <w:p>
      <w:pPr>
        <w:spacing w:after="100"/>
      </w:pPr>
      <w:r>
        <w:rPr>
          <w:rFonts w:ascii="Arial" w:cs="Arial" w:eastAsia="Arial" w:hAnsi="Arial"/>
          <w:sz w:val="22"/>
          <w:szCs w:val="22"/>
        </w:rPr>
        <w:t xml:space="preserve">Inspired by Seed-Prover 1.5: rather than translating regulatory text directly to Lean, first generate a natural language description of the compliance check logic, then translate that to Lean. The intermediate step reduces hallucination and catches semantic errors before they propagate into the formal representation.</w:t>
      </w:r>
    </w:p>
    <w:p>
      <w:pPr>
        <w:spacing w:after="80"/>
      </w:pPr>
      <w:r>
        <w:t xml:space="preserve"/>
      </w:r>
    </w:p>
    <w:p>
      <w:pPr>
        <w:pStyle w:val="Heading3"/>
      </w:pPr>
      <w:r>
        <w:t xml:space="preserve">6.2.4 Semantic Equivalence Evaluation (Phase 3b)</w:t>
      </w:r>
    </w:p>
    <w:p>
      <w:pPr>
        <w:spacing w:after="100"/>
      </w:pPr>
      <w:r>
        <w:rPr>
          <w:rFonts w:ascii="Arial" w:cs="Arial" w:eastAsia="Arial" w:hAnsi="Arial"/>
          <w:sz w:val="22"/>
          <w:szCs w:val="22"/>
        </w:rPr>
        <w:t xml:space="preserve">Adopt the BEqL/BEq+ metrics from FormalAlign (ICLR 2025) to evaluate not just whether our Lean code type-checks, but whether it is semantically equivalent to the original ICDR rule text. This enables regression testing across rule updates and builds confidence in the formalization quality.</w:t>
      </w:r>
    </w:p>
    <w:p>
      <w:pPr>
        <w:spacing w:after="80"/>
      </w:pPr>
      <w:r>
        <w:t xml:space="preserve"/>
      </w:r>
    </w:p>
    <w:p>
      <w:pPr>
        <w:pStyle w:val="Heading3"/>
      </w:pPr>
      <w:r>
        <w:t xml:space="preserve">6.2.5 Finance-Domain Base Model (Phase 1 / Phase 5)</w:t>
      </w:r>
    </w:p>
    <w:p>
      <w:pPr>
        <w:spacing w:after="100"/>
      </w:pPr>
      <w:r>
        <w:rPr>
          <w:rFonts w:ascii="Arial" w:cs="Arial" w:eastAsia="Arial" w:hAnsi="Arial"/>
          <w:sz w:val="22"/>
          <w:szCs w:val="22"/>
        </w:rPr>
        <w:t xml:space="preserve">Replace the general-purpose LLM judge with a finance-domain model (AuditWen, or a Reg-LLaMA variant) for evidence extraction and type reconciliation. Finance-specific models consistently outperform general-purpose models on numeric extraction from Indian financial reporting formats and reduce hallucinated schema types.</w:t>
      </w:r>
    </w:p>
    <w:p>
      <w:pPr>
        <w:spacing w:after="100"/>
      </w:pPr>
      <w:r>
        <w:t xml:space="preserve"/>
      </w:r>
    </w:p>
    <w:p>
      <w:pPr>
        <w:pStyle w:val="Heading2"/>
      </w:pPr>
      <w:r>
        <w:t xml:space="preserve">6.3 Longer-Term — Research Contributions</w:t>
      </w:r>
    </w:p>
    <w:p>
      <w:pPr>
        <w:spacing w:after="40"/>
      </w:pPr>
      <w:r>
        <w:t xml:space="preserve"/>
      </w:r>
    </w:p>
    <w:p>
      <w:pPr>
        <w:pStyle w:val="Heading3"/>
      </w:pPr>
      <w:r>
        <w:t xml:space="preserve">6.3.1 Domain-Adapted Prover via Goedel-Prover-Style Fine-Tuning</w:t>
      </w:r>
    </w:p>
    <w:p>
      <w:pPr>
        <w:spacing w:after="100"/>
      </w:pPr>
      <w:r>
        <w:rPr>
          <w:rFonts w:ascii="Arial" w:cs="Arial" w:eastAsia="Arial" w:hAnsi="Arial"/>
          <w:sz w:val="22"/>
          <w:szCs w:val="22"/>
        </w:rPr>
        <w:t xml:space="preserve">Once we have a corpus of verified (ICDR rule text, Lean check function) pairs, Goedel-Prover's iterative fine-tuning approach is the path to a domain-adapted compliance prover. Each prover in the series proves statements the previous could not; those proofs are added to the next training set. Our dataset would be the first domain-specific training set for financial regulation autoformalization.</w:t>
      </w:r>
    </w:p>
    <w:p>
      <w:pPr>
        <w:spacing w:after="80"/>
      </w:pPr>
      <w:r>
        <w:t xml:space="preserve"/>
      </w:r>
    </w:p>
    <w:p>
      <w:pPr>
        <w:pStyle w:val="Heading3"/>
      </w:pPr>
      <w:r>
        <w:t xml:space="preserve">6.3.2 STP-Style Conjecture Generation for Stress Testing</w:t>
      </w:r>
    </w:p>
    <w:p>
      <w:pPr>
        <w:spacing w:after="100"/>
      </w:pPr>
      <w:r>
        <w:rPr>
          <w:rFonts w:ascii="Arial" w:cs="Arial" w:eastAsia="Arial" w:hAnsi="Arial"/>
          <w:sz w:val="22"/>
          <w:szCs w:val="22"/>
        </w:rPr>
        <w:t xml:space="preserve">Generate harder variants of proved compliance lemmas (e.g., threshold variations, changed time windows, different issuer categories) to stress-test the prover and generate synthetic training data. This mirrors how STP's conjecturer operates at the frontier of current prover capability.</w:t>
      </w:r>
    </w:p>
    <w:p>
      <w:pPr>
        <w:spacing w:after="80"/>
      </w:pPr>
      <w:r>
        <w:t xml:space="preserve"/>
      </w:r>
    </w:p>
    <w:p>
      <w:pPr>
        <w:pStyle w:val="Heading3"/>
      </w:pPr>
      <w:r>
        <w:t xml:space="preserve">6.3.3 GraphRAG for Multi-Document Compliance</w:t>
      </w:r>
    </w:p>
    <w:p>
      <w:pPr>
        <w:spacing w:after="100"/>
      </w:pPr>
      <w:r>
        <w:rPr>
          <w:rFonts w:ascii="Arial" w:cs="Arial" w:eastAsia="Arial" w:hAnsi="Arial"/>
          <w:sz w:val="22"/>
          <w:szCs w:val="22"/>
        </w:rPr>
        <w:t xml:space="preserve">As the pipeline scales to handle cross-references between ICDR regulations and related SEBI circulars, build a knowledge graph over regulatory entities and use GraphRAG for retrieval. This improves multi-hop compliance queries — e.g., tracing which circular modifies which ICDR eligibility criterion — and addresses a known weakness in the current vector-search-only approach.</w:t>
      </w:r>
    </w:p>
    <w:p>
      <w:pPr>
        <w:spacing w:after="80"/>
      </w:pPr>
      <w:r>
        <w:t xml:space="preserve"/>
      </w:r>
    </w:p>
    <w:p>
      <w:pPr>
        <w:pStyle w:val="Heading3"/>
      </w:pPr>
      <w:r>
        <w:t xml:space="preserve">6.3.4 RL-Based Proof Policy (DeepSeek-Prover / BFS-Prover Approach)</w:t>
      </w:r>
    </w:p>
    <w:p>
      <w:pPr>
        <w:spacing w:after="100"/>
      </w:pPr>
      <w:r>
        <w:rPr>
          <w:rFonts w:ascii="Arial" w:cs="Arial" w:eastAsia="Arial" w:hAnsi="Arial"/>
          <w:sz w:val="22"/>
          <w:szCs w:val="22"/>
        </w:rPr>
        <w:t xml:space="preserve">In the longer term, fine-tune a prover LLM with RL on our verified compliance proof corpus. DeepSeek-Prover-V1.5 and BFS-Prover demonstrate that MCTS or best-first search with RL can dramatically improve proof success rates on novel domains. A domain-adapted model would close compliance lemmas with far fewer tactic steps than a general model.</w:t>
      </w:r>
    </w:p>
    <w:p>
      <w:pPr>
        <w:spacing w:after="100"/>
      </w:pPr>
      <w:r>
        <w:t xml:space="preserve"/>
      </w:r>
    </w:p>
    <w:p>
      <w:pPr>
        <w:pBdr>
          <w:bottom w:val="single" w:color="2E75B6" w:sz="8" w:space="1"/>
        </w:pBdr>
        <w:spacing w:after="160"/>
      </w:pPr>
      <w:r>
        <w:t xml:space="preserve"/>
      </w:r>
    </w:p>
    <w:p>
      <w:pPr>
        <w:pStyle w:val="Heading1"/>
      </w:pPr>
      <w:r>
        <w:t xml:space="preserve">7. References</w:t>
      </w:r>
    </w:p>
    <w:p>
      <w:pPr>
        <w:spacing w:after="40"/>
      </w:pPr>
      <w:r>
        <w:t xml:space="preserve"/>
      </w:r>
    </w:p>
    <w:p>
      <w:pPr>
        <w:pStyle w:val="ListParagraph"/>
        <w:numPr>
          <w:ilvl w:val="0"/>
          <w:numId w:val="4"/>
        </w:numPr>
        <w:spacing w:after="80"/>
      </w:pPr>
      <w:r>
        <w:rPr>
          <w:rFonts w:ascii="Arial" w:cs="Arial" w:eastAsia="Arial" w:hAnsi="Arial"/>
          <w:sz w:val="20"/>
          <w:szCs w:val="20"/>
        </w:rPr>
        <w:t xml:space="preserve">Song, P., Yang, K., Anandkumar, A.. </w:t>
      </w:r>
      <w:r>
        <w:rPr>
          <w:rFonts w:ascii="Arial" w:cs="Arial" w:eastAsia="Arial" w:hAnsi="Arial"/>
          <w:i/>
          <w:iCs/>
          <w:sz w:val="20"/>
          <w:szCs w:val="20"/>
        </w:rPr>
        <w:t xml:space="preserve">"Lean Copilot: Large Language Models as Copilots for Theorem Proving in Lean." </w:t>
      </w:r>
      <w:r>
        <w:rPr>
          <w:rFonts w:ascii="Arial" w:cs="Arial" w:eastAsia="Arial" w:hAnsi="Arial"/>
          <w:sz w:val="20"/>
          <w:szCs w:val="20"/>
        </w:rPr>
        <w:t xml:space="preserve">NeuS (NeurIPS Workshop), 2025.</w:t>
      </w:r>
    </w:p>
    <w:p>
      <w:pPr>
        <w:pStyle w:val="ListParagraph"/>
        <w:numPr>
          <w:ilvl w:val="0"/>
          <w:numId w:val="4"/>
        </w:numPr>
        <w:spacing w:after="80"/>
      </w:pPr>
      <w:r>
        <w:rPr>
          <w:rFonts w:ascii="Arial" w:cs="Arial" w:eastAsia="Arial" w:hAnsi="Arial"/>
          <w:sz w:val="20"/>
          <w:szCs w:val="20"/>
        </w:rPr>
        <w:t xml:space="preserve">Yang, K. et al.. </w:t>
      </w:r>
      <w:r>
        <w:rPr>
          <w:rFonts w:ascii="Arial" w:cs="Arial" w:eastAsia="Arial" w:hAnsi="Arial"/>
          <w:i/>
          <w:iCs/>
          <w:sz w:val="20"/>
          <w:szCs w:val="20"/>
        </w:rPr>
        <w:t xml:space="preserve">"LeanDojo: Theorem Proving with Retrieval-Augmented Language Models." </w:t>
      </w:r>
      <w:r>
        <w:rPr>
          <w:rFonts w:ascii="Arial" w:cs="Arial" w:eastAsia="Arial" w:hAnsi="Arial"/>
          <w:sz w:val="20"/>
          <w:szCs w:val="20"/>
        </w:rPr>
        <w:t xml:space="preserve">NeurIPS, 2023.</w:t>
      </w:r>
    </w:p>
    <w:p>
      <w:pPr>
        <w:pStyle w:val="ListParagraph"/>
        <w:numPr>
          <w:ilvl w:val="0"/>
          <w:numId w:val="4"/>
        </w:numPr>
        <w:spacing w:after="80"/>
      </w:pPr>
      <w:r>
        <w:rPr>
          <w:rFonts w:ascii="Arial" w:cs="Arial" w:eastAsia="Arial" w:hAnsi="Arial"/>
          <w:sz w:val="20"/>
          <w:szCs w:val="20"/>
        </w:rPr>
        <w:t xml:space="preserve">Ospanov, A., Farnia, F., Yousefzadeh, R.. </w:t>
      </w:r>
      <w:r>
        <w:rPr>
          <w:rFonts w:ascii="Arial" w:cs="Arial" w:eastAsia="Arial" w:hAnsi="Arial"/>
          <w:i/>
          <w:iCs/>
          <w:sz w:val="20"/>
          <w:szCs w:val="20"/>
        </w:rPr>
        <w:t xml:space="preserve">"APOLLO: Automated LLM and Lean Collaboration for Advanced Formal Reasoning." </w:t>
      </w:r>
      <w:r>
        <w:rPr>
          <w:rFonts w:ascii="Arial" w:cs="Arial" w:eastAsia="Arial" w:hAnsi="Arial"/>
          <w:sz w:val="20"/>
          <w:szCs w:val="20"/>
        </w:rPr>
        <w:t xml:space="preserve">NeurIPS, 2025.</w:t>
      </w:r>
    </w:p>
    <w:p>
      <w:pPr>
        <w:pStyle w:val="ListParagraph"/>
        <w:numPr>
          <w:ilvl w:val="0"/>
          <w:numId w:val="4"/>
        </w:numPr>
        <w:spacing w:after="80"/>
      </w:pPr>
      <w:r>
        <w:rPr>
          <w:rFonts w:ascii="Arial" w:cs="Arial" w:eastAsia="Arial" w:hAnsi="Arial"/>
          <w:sz w:val="20"/>
          <w:szCs w:val="20"/>
        </w:rPr>
        <w:t xml:space="preserve">Wang, H. et al.. </w:t>
      </w:r>
      <w:r>
        <w:rPr>
          <w:rFonts w:ascii="Arial" w:cs="Arial" w:eastAsia="Arial" w:hAnsi="Arial"/>
          <w:i/>
          <w:iCs/>
          <w:sz w:val="20"/>
          <w:szCs w:val="20"/>
        </w:rPr>
        <w:t xml:space="preserve">"MA-LoT: Model-Collaboration Lean-based Long Chain-of-Thought Reasoning enhances Formal Theorem Proving." </w:t>
      </w:r>
      <w:r>
        <w:rPr>
          <w:rFonts w:ascii="Arial" w:cs="Arial" w:eastAsia="Arial" w:hAnsi="Arial"/>
          <w:sz w:val="20"/>
          <w:szCs w:val="20"/>
        </w:rPr>
        <w:t xml:space="preserve">ICML, 2025.</w:t>
      </w:r>
    </w:p>
    <w:p>
      <w:pPr>
        <w:pStyle w:val="ListParagraph"/>
        <w:numPr>
          <w:ilvl w:val="0"/>
          <w:numId w:val="4"/>
        </w:numPr>
        <w:spacing w:after="80"/>
      </w:pPr>
      <w:r>
        <w:rPr>
          <w:rFonts w:ascii="Arial" w:cs="Arial" w:eastAsia="Arial" w:hAnsi="Arial"/>
          <w:sz w:val="20"/>
          <w:szCs w:val="20"/>
        </w:rPr>
        <w:t xml:space="preserve">Dong, K., Ma, T.. </w:t>
      </w:r>
      <w:r>
        <w:rPr>
          <w:rFonts w:ascii="Arial" w:cs="Arial" w:eastAsia="Arial" w:hAnsi="Arial"/>
          <w:i/>
          <w:iCs/>
          <w:sz w:val="20"/>
          <w:szCs w:val="20"/>
        </w:rPr>
        <w:t xml:space="preserve">"STP: Self-Play LLM Theorem Provers with Iterative Conjecturing and Proving." </w:t>
      </w:r>
      <w:r>
        <w:rPr>
          <w:rFonts w:ascii="Arial" w:cs="Arial" w:eastAsia="Arial" w:hAnsi="Arial"/>
          <w:sz w:val="20"/>
          <w:szCs w:val="20"/>
        </w:rPr>
        <w:t xml:space="preserve">ICML, 2025.</w:t>
      </w:r>
    </w:p>
    <w:p>
      <w:pPr>
        <w:pStyle w:val="ListParagraph"/>
        <w:numPr>
          <w:ilvl w:val="0"/>
          <w:numId w:val="4"/>
        </w:numPr>
        <w:spacing w:after="80"/>
      </w:pPr>
      <w:r>
        <w:rPr>
          <w:rFonts w:ascii="Arial" w:cs="Arial" w:eastAsia="Arial" w:hAnsi="Arial"/>
          <w:sz w:val="20"/>
          <w:szCs w:val="20"/>
        </w:rPr>
        <w:t xml:space="preserve">Lin, Y. et al.. </w:t>
      </w:r>
      <w:r>
        <w:rPr>
          <w:rFonts w:ascii="Arial" w:cs="Arial" w:eastAsia="Arial" w:hAnsi="Arial"/>
          <w:i/>
          <w:iCs/>
          <w:sz w:val="20"/>
          <w:szCs w:val="20"/>
        </w:rPr>
        <w:t xml:space="preserve">"Goedel-Prover: A Frontier Model for Open-Source Automated Theorem Proving." </w:t>
      </w:r>
      <w:r>
        <w:rPr>
          <w:rFonts w:ascii="Arial" w:cs="Arial" w:eastAsia="Arial" w:hAnsi="Arial"/>
          <w:sz w:val="20"/>
          <w:szCs w:val="20"/>
        </w:rPr>
        <w:t xml:space="preserve">arXiv:2502.07640, 2025.</w:t>
      </w:r>
    </w:p>
    <w:p>
      <w:pPr>
        <w:pStyle w:val="ListParagraph"/>
        <w:numPr>
          <w:ilvl w:val="0"/>
          <w:numId w:val="4"/>
        </w:numPr>
        <w:spacing w:after="80"/>
      </w:pPr>
      <w:r>
        <w:rPr>
          <w:rFonts w:ascii="Arial" w:cs="Arial" w:eastAsia="Arial" w:hAnsi="Arial"/>
          <w:sz w:val="20"/>
          <w:szCs w:val="20"/>
        </w:rPr>
        <w:t xml:space="preserve">Kumarappan, A. et al.. </w:t>
      </w:r>
      <w:r>
        <w:rPr>
          <w:rFonts w:ascii="Arial" w:cs="Arial" w:eastAsia="Arial" w:hAnsi="Arial"/>
          <w:i/>
          <w:iCs/>
          <w:sz w:val="20"/>
          <w:szCs w:val="20"/>
        </w:rPr>
        <w:t xml:space="preserve">"LeanAgent: Lifelong Learning for Formal Theorem Proving." </w:t>
      </w:r>
      <w:r>
        <w:rPr>
          <w:rFonts w:ascii="Arial" w:cs="Arial" w:eastAsia="Arial" w:hAnsi="Arial"/>
          <w:sz w:val="20"/>
          <w:szCs w:val="20"/>
        </w:rPr>
        <w:t xml:space="preserve">ICLR, 2025.</w:t>
      </w:r>
    </w:p>
    <w:p>
      <w:pPr>
        <w:pStyle w:val="ListParagraph"/>
        <w:numPr>
          <w:ilvl w:val="0"/>
          <w:numId w:val="4"/>
        </w:numPr>
        <w:spacing w:after="80"/>
      </w:pPr>
      <w:r>
        <w:rPr>
          <w:rFonts w:ascii="Arial" w:cs="Arial" w:eastAsia="Arial" w:hAnsi="Arial"/>
          <w:sz w:val="20"/>
          <w:szCs w:val="20"/>
        </w:rPr>
        <w:t xml:space="preserve">Chen, et al.. </w:t>
      </w:r>
      <w:r>
        <w:rPr>
          <w:rFonts w:ascii="Arial" w:cs="Arial" w:eastAsia="Arial" w:hAnsi="Arial"/>
          <w:i/>
          <w:iCs/>
          <w:sz w:val="20"/>
          <w:szCs w:val="20"/>
        </w:rPr>
        <w:t xml:space="preserve">"Seed-Prover 1.5: Automated Lean Theorem Prover via Agentic RL." </w:t>
      </w:r>
      <w:r>
        <w:rPr>
          <w:rFonts w:ascii="Arial" w:cs="Arial" w:eastAsia="Arial" w:hAnsi="Arial"/>
          <w:sz w:val="20"/>
          <w:szCs w:val="20"/>
        </w:rPr>
        <w:t xml:space="preserve">arXiv, 2025.</w:t>
      </w:r>
    </w:p>
    <w:p>
      <w:pPr>
        <w:pStyle w:val="ListParagraph"/>
        <w:numPr>
          <w:ilvl w:val="0"/>
          <w:numId w:val="4"/>
        </w:numPr>
        <w:spacing w:after="80"/>
      </w:pPr>
      <w:r>
        <w:rPr>
          <w:rFonts w:ascii="Arial" w:cs="Arial" w:eastAsia="Arial" w:hAnsi="Arial"/>
          <w:sz w:val="20"/>
          <w:szCs w:val="20"/>
        </w:rPr>
        <w:t xml:space="preserve">Xin, H. et al.. </w:t>
      </w:r>
      <w:r>
        <w:rPr>
          <w:rFonts w:ascii="Arial" w:cs="Arial" w:eastAsia="Arial" w:hAnsi="Arial"/>
          <w:i/>
          <w:iCs/>
          <w:sz w:val="20"/>
          <w:szCs w:val="20"/>
        </w:rPr>
        <w:t xml:space="preserve">"DeepSeek-Prover-V1.5: Harnessing Proof Assistant Feedback for Reinforcement Learning and MCTS." </w:t>
      </w:r>
      <w:r>
        <w:rPr>
          <w:rFonts w:ascii="Arial" w:cs="Arial" w:eastAsia="Arial" w:hAnsi="Arial"/>
          <w:sz w:val="20"/>
          <w:szCs w:val="20"/>
        </w:rPr>
        <w:t xml:space="preserve">arXiv:2408.08152, 2024.</w:t>
      </w:r>
    </w:p>
    <w:p>
      <w:pPr>
        <w:pStyle w:val="ListParagraph"/>
        <w:numPr>
          <w:ilvl w:val="0"/>
          <w:numId w:val="4"/>
        </w:numPr>
        <w:spacing w:after="80"/>
      </w:pPr>
      <w:r>
        <w:rPr>
          <w:rFonts w:ascii="Arial" w:cs="Arial" w:eastAsia="Arial" w:hAnsi="Arial"/>
          <w:sz w:val="20"/>
          <w:szCs w:val="20"/>
        </w:rPr>
        <w:t xml:space="preserve">Wang, H. et al.. </w:t>
      </w:r>
      <w:r>
        <w:rPr>
          <w:rFonts w:ascii="Arial" w:cs="Arial" w:eastAsia="Arial" w:hAnsi="Arial"/>
          <w:i/>
          <w:iCs/>
          <w:sz w:val="20"/>
          <w:szCs w:val="20"/>
        </w:rPr>
        <w:t xml:space="preserve">"LEGO-Prover: Neural Theorem Proving with Growing Libraries." </w:t>
      </w:r>
      <w:r>
        <w:rPr>
          <w:rFonts w:ascii="Arial" w:cs="Arial" w:eastAsia="Arial" w:hAnsi="Arial"/>
          <w:sz w:val="20"/>
          <w:szCs w:val="20"/>
        </w:rPr>
        <w:t xml:space="preserve">ICLR, 2024.</w:t>
      </w:r>
    </w:p>
    <w:p>
      <w:pPr>
        <w:pStyle w:val="ListParagraph"/>
        <w:numPr>
          <w:ilvl w:val="0"/>
          <w:numId w:val="4"/>
        </w:numPr>
        <w:spacing w:after="80"/>
      </w:pPr>
      <w:r>
        <w:rPr>
          <w:rFonts w:ascii="Arial" w:cs="Arial" w:eastAsia="Arial" w:hAnsi="Arial"/>
          <w:sz w:val="20"/>
          <w:szCs w:val="20"/>
        </w:rPr>
        <w:t xml:space="preserve">Hu, et al.. </w:t>
      </w:r>
      <w:r>
        <w:rPr>
          <w:rFonts w:ascii="Arial" w:cs="Arial" w:eastAsia="Arial" w:hAnsi="Arial"/>
          <w:i/>
          <w:iCs/>
          <w:sz w:val="20"/>
          <w:szCs w:val="20"/>
        </w:rPr>
        <w:t xml:space="preserve">"HybridProver: Hybrid Proof Synthesis and Sketch Filling." </w:t>
      </w:r>
      <w:r>
        <w:rPr>
          <w:rFonts w:ascii="Arial" w:cs="Arial" w:eastAsia="Arial" w:hAnsi="Arial"/>
          <w:sz w:val="20"/>
          <w:szCs w:val="20"/>
        </w:rPr>
        <w:t xml:space="preserve">arXiv, 2025.</w:t>
      </w:r>
    </w:p>
    <w:p>
      <w:pPr>
        <w:pStyle w:val="ListParagraph"/>
        <w:numPr>
          <w:ilvl w:val="0"/>
          <w:numId w:val="4"/>
        </w:numPr>
        <w:spacing w:after="80"/>
      </w:pPr>
      <w:r>
        <w:rPr>
          <w:rFonts w:ascii="Arial" w:cs="Arial" w:eastAsia="Arial" w:hAnsi="Arial"/>
          <w:sz w:val="20"/>
          <w:szCs w:val="20"/>
        </w:rPr>
        <w:t xml:space="preserve">Liu, J. et al.. </w:t>
      </w:r>
      <w:r>
        <w:rPr>
          <w:rFonts w:ascii="Arial" w:cs="Arial" w:eastAsia="Arial" w:hAnsi="Arial"/>
          <w:i/>
          <w:iCs/>
          <w:sz w:val="20"/>
          <w:szCs w:val="20"/>
        </w:rPr>
        <w:t xml:space="preserve">"ProofAug: Sample-Efficient Proof Augmentation for Isabelle." </w:t>
      </w:r>
      <w:r>
        <w:rPr>
          <w:rFonts w:ascii="Arial" w:cs="Arial" w:eastAsia="Arial" w:hAnsi="Arial"/>
          <w:sz w:val="20"/>
          <w:szCs w:val="20"/>
        </w:rPr>
        <w:t xml:space="preserve">arXiv, 2025.</w:t>
      </w:r>
    </w:p>
    <w:p>
      <w:pPr>
        <w:pStyle w:val="ListParagraph"/>
        <w:numPr>
          <w:ilvl w:val="0"/>
          <w:numId w:val="4"/>
        </w:numPr>
        <w:spacing w:after="80"/>
      </w:pPr>
      <w:r>
        <w:rPr>
          <w:rFonts w:ascii="Arial" w:cs="Arial" w:eastAsia="Arial" w:hAnsi="Arial"/>
          <w:sz w:val="20"/>
          <w:szCs w:val="20"/>
        </w:rPr>
        <w:t xml:space="preserve">Lu, J. et al.. </w:t>
      </w:r>
      <w:r>
        <w:rPr>
          <w:rFonts w:ascii="Arial" w:cs="Arial" w:eastAsia="Arial" w:hAnsi="Arial"/>
          <w:i/>
          <w:iCs/>
          <w:sz w:val="20"/>
          <w:szCs w:val="20"/>
        </w:rPr>
        <w:t xml:space="preserve">"FormalAlign: Automated Alignment Evaluation for Autoformalization." </w:t>
      </w:r>
      <w:r>
        <w:rPr>
          <w:rFonts w:ascii="Arial" w:cs="Arial" w:eastAsia="Arial" w:hAnsi="Arial"/>
          <w:sz w:val="20"/>
          <w:szCs w:val="20"/>
        </w:rPr>
        <w:t xml:space="preserve">ICLR, 2025.</w:t>
      </w:r>
    </w:p>
    <w:p>
      <w:pPr>
        <w:pStyle w:val="ListParagraph"/>
        <w:numPr>
          <w:ilvl w:val="0"/>
          <w:numId w:val="4"/>
        </w:numPr>
        <w:spacing w:after="80"/>
      </w:pPr>
      <w:r>
        <w:rPr>
          <w:rFonts w:ascii="Arial" w:cs="Arial" w:eastAsia="Arial" w:hAnsi="Arial"/>
          <w:sz w:val="20"/>
          <w:szCs w:val="20"/>
        </w:rPr>
        <w:t xml:space="preserve">Gao, G. et al.. </w:t>
      </w:r>
      <w:r>
        <w:rPr>
          <w:rFonts w:ascii="Arial" w:cs="Arial" w:eastAsia="Arial" w:hAnsi="Arial"/>
          <w:i/>
          <w:iCs/>
          <w:sz w:val="20"/>
          <w:szCs w:val="20"/>
        </w:rPr>
        <w:t xml:space="preserve">"Herald: A Natural Language Annotated Lean 4 Dataset." </w:t>
      </w:r>
      <w:r>
        <w:rPr>
          <w:rFonts w:ascii="Arial" w:cs="Arial" w:eastAsia="Arial" w:hAnsi="Arial"/>
          <w:sz w:val="20"/>
          <w:szCs w:val="20"/>
        </w:rPr>
        <w:t xml:space="preserve">ICLR, 2025.</w:t>
      </w:r>
    </w:p>
    <w:p>
      <w:pPr>
        <w:pStyle w:val="ListParagraph"/>
        <w:numPr>
          <w:ilvl w:val="0"/>
          <w:numId w:val="4"/>
        </w:numPr>
        <w:spacing w:after="80"/>
      </w:pPr>
      <w:r>
        <w:rPr>
          <w:rFonts w:ascii="Arial" w:cs="Arial" w:eastAsia="Arial" w:hAnsi="Arial"/>
          <w:sz w:val="20"/>
          <w:szCs w:val="20"/>
        </w:rPr>
        <w:t xml:space="preserve">George, R.J. et al.. </w:t>
      </w:r>
      <w:r>
        <w:rPr>
          <w:rFonts w:ascii="Arial" w:cs="Arial" w:eastAsia="Arial" w:hAnsi="Arial"/>
          <w:i/>
          <w:iCs/>
          <w:sz w:val="20"/>
          <w:szCs w:val="20"/>
        </w:rPr>
        <w:t xml:space="preserve">"LeanProgress: Guiding Search for Neural Theorem Proving via Proof Progress Prediction." </w:t>
      </w:r>
      <w:r>
        <w:rPr>
          <w:rFonts w:ascii="Arial" w:cs="Arial" w:eastAsia="Arial" w:hAnsi="Arial"/>
          <w:sz w:val="20"/>
          <w:szCs w:val="20"/>
        </w:rPr>
        <w:t xml:space="preserve">TMLR, 2025.</w:t>
      </w:r>
    </w:p>
    <w:p>
      <w:pPr>
        <w:pStyle w:val="ListParagraph"/>
        <w:numPr>
          <w:ilvl w:val="0"/>
          <w:numId w:val="4"/>
        </w:numPr>
        <w:spacing w:after="80"/>
      </w:pPr>
      <w:r>
        <w:rPr>
          <w:rFonts w:ascii="Arial" w:cs="Arial" w:eastAsia="Arial" w:hAnsi="Arial"/>
          <w:sz w:val="20"/>
          <w:szCs w:val="20"/>
        </w:rPr>
        <w:t xml:space="preserve">Zheng, K. et al.. </w:t>
      </w:r>
      <w:r>
        <w:rPr>
          <w:rFonts w:ascii="Arial" w:cs="Arial" w:eastAsia="Arial" w:hAnsi="Arial"/>
          <w:i/>
          <w:iCs/>
          <w:sz w:val="20"/>
          <w:szCs w:val="20"/>
        </w:rPr>
        <w:t xml:space="preserve">"Process-Driven Autoformalization in Lean 4." </w:t>
      </w:r>
      <w:r>
        <w:rPr>
          <w:rFonts w:ascii="Arial" w:cs="Arial" w:eastAsia="Arial" w:hAnsi="Arial"/>
          <w:sz w:val="20"/>
          <w:szCs w:val="20"/>
        </w:rPr>
        <w:t xml:space="preserve">ICLR, 2024.</w:t>
      </w:r>
    </w:p>
    <w:p>
      <w:pPr>
        <w:pStyle w:val="ListParagraph"/>
        <w:numPr>
          <w:ilvl w:val="0"/>
          <w:numId w:val="4"/>
        </w:numPr>
        <w:spacing w:after="80"/>
      </w:pPr>
      <w:r>
        <w:rPr>
          <w:rFonts w:ascii="Arial" w:cs="Arial" w:eastAsia="Arial" w:hAnsi="Arial"/>
          <w:sz w:val="20"/>
          <w:szCs w:val="20"/>
        </w:rPr>
        <w:t xml:space="preserve">Jiang, S. et al.. </w:t>
      </w:r>
      <w:r>
        <w:rPr>
          <w:rFonts w:ascii="Arial" w:cs="Arial" w:eastAsia="Arial" w:hAnsi="Arial"/>
          <w:i/>
          <w:iCs/>
          <w:sz w:val="20"/>
          <w:szCs w:val="20"/>
        </w:rPr>
        <w:t xml:space="preserve">"Compliance-to-Code: Enhancing Financial Compliance Checking via Code Generation." </w:t>
      </w:r>
      <w:r>
        <w:rPr>
          <w:rFonts w:ascii="Arial" w:cs="Arial" w:eastAsia="Arial" w:hAnsi="Arial"/>
          <w:sz w:val="20"/>
          <w:szCs w:val="20"/>
        </w:rPr>
        <w:t xml:space="preserve">arXiv:2505.19804, 2025.</w:t>
      </w:r>
    </w:p>
    <w:p>
      <w:pPr>
        <w:pStyle w:val="ListParagraph"/>
        <w:numPr>
          <w:ilvl w:val="0"/>
          <w:numId w:val="4"/>
        </w:numPr>
        <w:spacing w:after="80"/>
      </w:pPr>
      <w:r>
        <w:rPr>
          <w:rFonts w:ascii="Arial" w:cs="Arial" w:eastAsia="Arial" w:hAnsi="Arial"/>
          <w:sz w:val="20"/>
          <w:szCs w:val="20"/>
        </w:rPr>
        <w:t xml:space="preserve">Sobkowski, M., Karapetyan, G.. </w:t>
      </w:r>
      <w:r>
        <w:rPr>
          <w:rFonts w:ascii="Arial" w:cs="Arial" w:eastAsia="Arial" w:hAnsi="Arial"/>
          <w:i/>
          <w:iCs/>
          <w:sz w:val="20"/>
          <w:szCs w:val="20"/>
        </w:rPr>
        <w:t xml:space="preserve">"The Dawn of a New Era of Compliance: Automated Compliance Verification and Enforcement." </w:t>
      </w:r>
      <w:r>
        <w:rPr>
          <w:rFonts w:ascii="Arial" w:cs="Arial" w:eastAsia="Arial" w:hAnsi="Arial"/>
          <w:sz w:val="20"/>
          <w:szCs w:val="20"/>
        </w:rPr>
        <w:t xml:space="preserve">MIT Computational Law Report, 2025.</w:t>
      </w:r>
    </w:p>
    <w:p>
      <w:pPr>
        <w:pStyle w:val="ListParagraph"/>
        <w:numPr>
          <w:ilvl w:val="0"/>
          <w:numId w:val="4"/>
        </w:numPr>
        <w:spacing w:after="80"/>
      </w:pPr>
      <w:r>
        <w:rPr>
          <w:rFonts w:ascii="Arial" w:cs="Arial" w:eastAsia="Arial" w:hAnsi="Arial"/>
          <w:sz w:val="20"/>
          <w:szCs w:val="20"/>
        </w:rPr>
        <w:t xml:space="preserve">Weirich, T. et al.. </w:t>
      </w:r>
      <w:r>
        <w:rPr>
          <w:rFonts w:ascii="Arial" w:cs="Arial" w:eastAsia="Arial" w:hAnsi="Arial"/>
          <w:i/>
          <w:iCs/>
          <w:sz w:val="20"/>
          <w:szCs w:val="20"/>
        </w:rPr>
        <w:t xml:space="preserve">"Towards Automated Regulatory Compliance Verification in Financial Auditing with LLMs." </w:t>
      </w:r>
      <w:r>
        <w:rPr>
          <w:rFonts w:ascii="Arial" w:cs="Arial" w:eastAsia="Arial" w:hAnsi="Arial"/>
          <w:sz w:val="20"/>
          <w:szCs w:val="20"/>
        </w:rPr>
        <w:t xml:space="preserve">arXiv:2507.16642, 2025.</w:t>
      </w:r>
    </w:p>
    <w:p>
      <w:pPr>
        <w:pStyle w:val="ListParagraph"/>
        <w:numPr>
          <w:ilvl w:val="0"/>
          <w:numId w:val="4"/>
        </w:numPr>
        <w:spacing w:after="80"/>
      </w:pPr>
      <w:r>
        <w:rPr>
          <w:rFonts w:ascii="Arial" w:cs="Arial" w:eastAsia="Arial" w:hAnsi="Arial"/>
          <w:sz w:val="20"/>
          <w:szCs w:val="20"/>
        </w:rPr>
        <w:t xml:space="preserve">Lin, X. et al.. </w:t>
      </w:r>
      <w:r>
        <w:rPr>
          <w:rFonts w:ascii="Arial" w:cs="Arial" w:eastAsia="Arial" w:hAnsi="Arial"/>
          <w:i/>
          <w:iCs/>
          <w:sz w:val="20"/>
          <w:szCs w:val="20"/>
        </w:rPr>
        <w:t xml:space="preserve">"FVEL: Interactive Formal Verification Environment with LLMs via Theorem Proving." </w:t>
      </w:r>
      <w:r>
        <w:rPr>
          <w:rFonts w:ascii="Arial" w:cs="Arial" w:eastAsia="Arial" w:hAnsi="Arial"/>
          <w:sz w:val="20"/>
          <w:szCs w:val="20"/>
        </w:rPr>
        <w:t xml:space="preserve">arXiv, 2024.</w:t>
      </w:r>
    </w:p>
    <w:p>
      <w:pPr>
        <w:pStyle w:val="ListParagraph"/>
        <w:numPr>
          <w:ilvl w:val="0"/>
          <w:numId w:val="4"/>
        </w:numPr>
        <w:spacing w:after="80"/>
      </w:pPr>
      <w:r>
        <w:rPr>
          <w:rFonts w:ascii="Arial" w:cs="Arial" w:eastAsia="Arial" w:hAnsi="Arial"/>
          <w:sz w:val="20"/>
          <w:szCs w:val="20"/>
        </w:rPr>
        <w:t xml:space="preserve">Cao, et al.. </w:t>
      </w:r>
      <w:r>
        <w:rPr>
          <w:rFonts w:ascii="Arial" w:cs="Arial" w:eastAsia="Arial" w:hAnsi="Arial"/>
          <w:i/>
          <w:iCs/>
          <w:sz w:val="20"/>
          <w:szCs w:val="20"/>
        </w:rPr>
        <w:t xml:space="preserve">"Reg-LLaMA: A Large Language Model for Financial Regulation." </w:t>
      </w:r>
      <w:r>
        <w:rPr>
          <w:rFonts w:ascii="Arial" w:cs="Arial" w:eastAsia="Arial" w:hAnsi="Arial"/>
          <w:sz w:val="20"/>
          <w:szCs w:val="20"/>
        </w:rPr>
        <w:t xml:space="preserve">ACL FinNLP Workshop, 2025.</w:t>
      </w:r>
    </w:p>
    <w:p>
      <w:pPr>
        <w:pStyle w:val="ListParagraph"/>
        <w:numPr>
          <w:ilvl w:val="0"/>
          <w:numId w:val="4"/>
        </w:numPr>
        <w:spacing w:after="80"/>
      </w:pPr>
      <w:r>
        <w:rPr>
          <w:rFonts w:ascii="Arial" w:cs="Arial" w:eastAsia="Arial" w:hAnsi="Arial"/>
          <w:sz w:val="20"/>
          <w:szCs w:val="20"/>
        </w:rPr>
        <w:t xml:space="preserve">Apple ML Research. </w:t>
      </w:r>
      <w:r>
        <w:rPr>
          <w:rFonts w:ascii="Arial" w:cs="Arial" w:eastAsia="Arial" w:hAnsi="Arial"/>
          <w:i/>
          <w:iCs/>
          <w:sz w:val="20"/>
          <w:szCs w:val="20"/>
        </w:rPr>
        <w:t xml:space="preserve">"Hilbert: Recursively Building Formal Proofs with Informal Reasoning." </w:t>
      </w:r>
      <w:r>
        <w:rPr>
          <w:rFonts w:ascii="Arial" w:cs="Arial" w:eastAsia="Arial" w:hAnsi="Arial"/>
          <w:sz w:val="20"/>
          <w:szCs w:val="20"/>
        </w:rPr>
        <w:t xml:space="preserve">MATH-AI Workshop, NeurIPS, 2025.</w:t>
      </w:r>
    </w:p>
    <w:p>
      <w:pPr>
        <w:pStyle w:val="ListParagraph"/>
        <w:numPr>
          <w:ilvl w:val="0"/>
          <w:numId w:val="4"/>
        </w:numPr>
        <w:spacing w:after="80"/>
      </w:pPr>
      <w:r>
        <w:rPr>
          <w:rFonts w:ascii="Arial" w:cs="Arial" w:eastAsia="Arial" w:hAnsi="Arial"/>
          <w:sz w:val="20"/>
          <w:szCs w:val="20"/>
        </w:rPr>
        <w:t xml:space="preserve">Yang, K. et al.. </w:t>
      </w:r>
      <w:r>
        <w:rPr>
          <w:rFonts w:ascii="Arial" w:cs="Arial" w:eastAsia="Arial" w:hAnsi="Arial"/>
          <w:i/>
          <w:iCs/>
          <w:sz w:val="20"/>
          <w:szCs w:val="20"/>
        </w:rPr>
        <w:t xml:space="preserve">"Formal Mathematical Reasoning: A New Frontier in AI." </w:t>
      </w:r>
      <w:r>
        <w:rPr>
          <w:rFonts w:ascii="Arial" w:cs="Arial" w:eastAsia="Arial" w:hAnsi="Arial"/>
          <w:sz w:val="20"/>
          <w:szCs w:val="20"/>
        </w:rPr>
        <w:t xml:space="preserve">arXiv:2412.16075, 2024.</w:t>
      </w:r>
    </w:p>
    <w:p>
      <w:pPr>
        <w:pStyle w:val="ListParagraph"/>
        <w:numPr>
          <w:ilvl w:val="0"/>
          <w:numId w:val="4"/>
        </w:numPr>
        <w:spacing w:after="80"/>
      </w:pPr>
      <w:r>
        <w:rPr>
          <w:rFonts w:ascii="Arial" w:cs="Arial" w:eastAsia="Arial" w:hAnsi="Arial"/>
          <w:sz w:val="20"/>
          <w:szCs w:val="20"/>
        </w:rPr>
        <w:t xml:space="preserve">Fang, et al.. </w:t>
      </w:r>
      <w:r>
        <w:rPr>
          <w:rFonts w:ascii="Arial" w:cs="Arial" w:eastAsia="Arial" w:hAnsi="Arial"/>
          <w:i/>
          <w:iCs/>
          <w:sz w:val="20"/>
          <w:szCs w:val="20"/>
        </w:rPr>
        <w:t xml:space="preserve">"Strat2Rocq: Lemma Extraction and Replay for CoqHammer." </w:t>
      </w:r>
      <w:r>
        <w:rPr>
          <w:rFonts w:ascii="Arial" w:cs="Arial" w:eastAsia="Arial" w:hAnsi="Arial"/>
          <w:sz w:val="20"/>
          <w:szCs w:val="20"/>
        </w:rPr>
        <w:t xml:space="preserve">arXiv, 2025.</w:t>
      </w:r>
    </w:p>
    <w:p>
      <w:pPr>
        <w:spacing w:after="120"/>
      </w:pPr>
      <w:r>
        <w:t xml:space="preserve"/>
      </w:r>
    </w:p>
    <w:p>
      <w:pPr>
        <w:pBdr>
          <w:bottom w:val="single" w:color="808080" w:sz="8" w:space="1"/>
        </w:pBdr>
        <w:spacing w:after="160"/>
      </w:pPr>
      <w:r>
        <w:t xml:space="preserve"/>
      </w:r>
    </w:p>
    <w:p>
      <w:pPr>
        <w:spacing w:before="160"/>
        <w:jc w:val="center"/>
      </w:pPr>
      <w:r>
        <w:rPr>
          <w:rFonts w:ascii="Arial" w:cs="Arial" w:eastAsia="Arial" w:hAnsi="Arial"/>
          <w:i/>
          <w:iCs/>
          <w:color w:val="808080"/>
          <w:sz w:val="18"/>
          <w:szCs w:val="18"/>
        </w:rPr>
        <w:t xml:space="preserve">Internal Document — Project Reference Only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80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2026-03-16T02:50:10.102Z</dcterms:created>
  <dcterms:modified xsi:type="dcterms:W3CDTF">2026-03-16T02:50:10.103Z</dcterms:modified>
</cp:coreProperties>
</file>

<file path=docProps/custom.xml><?xml version="1.0" encoding="utf-8"?>
<Properties xmlns="http://schemas.openxmlformats.org/officeDocument/2006/custom-properties" xmlns:vt="http://schemas.openxmlformats.org/officeDocument/2006/docPropsVTypes"/>
</file>