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annexure rev 2 (DBF-1.2) - DRAFT</w:t>
      </w:r>
    </w:p>
    <w:p>
      <w:r>
        <w:t>**Tender 2026_DRDO_788433_1 - RFP DTDF/06/13516/DSP/ABEP/X/L/M/01, "Air Breathing Space Based Propulsion (Electric) for</w:t>
      </w:r>
    </w:p>
    <w:p>
      <w:r>
        <w:t>VLEO" (DRDO / Directorate of Technology Development Fund). Bidder: Vyovrinda Aerospace.**</w:t>
      </w:r>
    </w:p>
    <w:p>
      <w:r>
        <w:rPr>
          <w:b/>
        </w:rPr>
        <w:t>Annexure status: DRAFT_FOR_OWNER_REVIEW.</w:t>
      </w:r>
      <w:r>
        <w:t xml:space="preserve"> The repository submits nothing. Generated by</w:t>
      </w:r>
    </w:p>
    <w:p>
      <w:r>
        <w:rPr>
          <w:rFonts w:ascii="Consolas" w:hAnsi="Consolas"/>
        </w:rPr>
        <w:t>python docs/proposal/technical_annexure_dbf1_2/build_annexure.py</w:t>
      </w:r>
      <w:r>
        <w:t xml:space="preserve">; edit </w:t>
      </w:r>
      <w:r>
        <w:rPr>
          <w:rFonts w:ascii="Consolas" w:hAnsi="Consolas"/>
        </w:rPr>
        <w:t>templates/</w:t>
      </w:r>
      <w:r>
        <w:t xml:space="preserve"> or </w:t>
      </w:r>
      <w:r>
        <w:rPr>
          <w:rFonts w:ascii="Consolas" w:hAnsi="Consolas"/>
        </w:rPr>
        <w:t>annexure_data.py</w:t>
      </w:r>
      <w:r>
        <w:t>, never the generated files</w:t>
      </w:r>
    </w:p>
    <w:p>
      <w:r>
        <w:t>(</w:t>
      </w:r>
      <w:r>
        <w:rPr>
          <w:rFonts w:ascii="Consolas" w:hAnsi="Consolas"/>
        </w:rPr>
        <w:t>--check</w:t>
      </w:r>
      <w:r>
        <w:t xml:space="preserve"> verifies them).</w:t>
      </w:r>
    </w:p>
    <w:p>
      <w:pPr>
        <w:pStyle w:val="Heading2"/>
      </w:pPr>
      <w:r>
        <w:t>Design source</w:t>
      </w:r>
    </w:p>
    <w:p>
      <w:pPr>
        <w:pStyle w:val="ListBullet"/>
      </w:pPr>
      <w:r>
        <w:rPr>
          <w:b/>
        </w:rPr>
        <w:t>DBF-1.2, freeze commit `45492a8ef12fba13d262695bbd19f3631e80f355`</w:t>
      </w:r>
      <w:r>
        <w:t xml:space="preserve">, lock </w:t>
      </w:r>
      <w:r>
        <w:rPr>
          <w:rFonts w:ascii="Consolas" w:hAnsi="Consolas"/>
        </w:rPr>
        <w:t>docs/baseline/DBF-1.2/dbf1_2_lock_v1.json</w:t>
      </w:r>
      <w:r>
        <w:t xml:space="preserve"> sha256 </w:t>
      </w:r>
      <w:r>
        <w:rPr>
          <w:rFonts w:ascii="Consolas" w:hAnsi="Consolas"/>
        </w:rPr>
        <w:t>103f4c9a5c0ab61d9d12e989c47e5f4fd713caa6bcbe7c45e9207e2e6ce19ee5</w:t>
      </w:r>
    </w:p>
    <w:p>
      <w:r>
        <w:t xml:space="preserve">  (pin: </w:t>
      </w:r>
      <w:r>
        <w:rPr>
          <w:rFonts w:ascii="Consolas" w:hAnsi="Consolas"/>
        </w:rPr>
        <w:t>annexure_pin_v1.json</w:t>
      </w:r>
      <w:r>
        <w:t>). Every fact is read at that commit, and the lock and every file it lists are</w:t>
      </w:r>
    </w:p>
    <w:p>
      <w:r>
        <w:t xml:space="preserve">  hash-verified before anything is rendered.</w:t>
      </w:r>
    </w:p>
    <w:p>
      <w:pPr>
        <w:pStyle w:val="ListBullet"/>
      </w:pPr>
      <w:r>
        <w:t xml:space="preserve">Baseline status: </w:t>
      </w:r>
      <w:r>
        <w:rPr>
          <w:b/>
        </w:rPr>
        <w:t>DBF-1.2 — RFP-CONFORMING PRELIMINARY DESIGN BASELINE / COMPLIANCE VERIFICATION ON EM/QM</w:t>
      </w:r>
      <w:r>
        <w:t>. Architecture and design parameters are frozen at preliminary-design level, and</w:t>
      </w:r>
    </w:p>
    <w:p>
      <w:r>
        <w:t xml:space="preserve">  measured compliance is verified on EM / QM hardware. DBF-1.2 is not fully RFP-qualified. It is not demonstrated</w:t>
      </w:r>
    </w:p>
    <w:p>
      <w:r>
        <w:t xml:space="preserve">  compliant, not flight-qualified, not performance validated and not a final flight design.</w:t>
      </w:r>
    </w:p>
    <w:p>
      <w:pPr>
        <w:pStyle w:val="ListBullet"/>
      </w:pPr>
      <w:r>
        <w:t xml:space="preserve">Lineage: DBF-1.1 (lock </w:t>
      </w:r>
      <w:r>
        <w:rPr>
          <w:rFonts w:ascii="Consolas" w:hAnsi="Consolas"/>
        </w:rPr>
        <w:t>257e141ca252c3015b5bbd2fc953a1de688bc1606be36ebdf9fff8889307cfb8</w:t>
      </w:r>
      <w:r>
        <w:t>) -&gt; DCR-DBF1-001 (approved A9.41) -&gt; DBF-1.2 (A9.42 / A9.43). A change is</w:t>
      </w:r>
    </w:p>
    <w:p>
      <w:r>
        <w:t xml:space="preserve">  made only through a new DCR.</w:t>
      </w:r>
    </w:p>
    <w:p>
      <w:pPr>
        <w:pStyle w:val="Heading2"/>
      </w:pPr>
      <w:r>
        <w:t>Relation to the 2026-10-05 bid package</w:t>
      </w:r>
    </w:p>
    <w:p>
      <w:r>
        <w:t xml:space="preserve">The bid package </w:t>
      </w:r>
      <w:r>
        <w:rPr>
          <w:rFonts w:ascii="Consolas" w:hAnsi="Consolas"/>
        </w:rPr>
        <w:t>docs/bid/package/</w:t>
      </w:r>
      <w:r>
        <w:t xml:space="preserve"> (technical source </w:t>
      </w:r>
      <w:r>
        <w:rPr>
          <w:rFonts w:ascii="Consolas" w:hAnsi="Consolas"/>
        </w:rPr>
        <w:t>5eee4b8</w:t>
      </w:r>
      <w:r>
        <w:t xml:space="preserve">, package commit </w:t>
      </w:r>
      <w:r>
        <w:rPr>
          <w:rFonts w:ascii="Consolas" w:hAnsi="Consolas"/>
        </w:rPr>
        <w:t>2de86ab</w:t>
      </w:r>
      <w:r>
        <w:t>) is immutable</w:t>
      </w:r>
    </w:p>
    <w:p>
      <w:r>
        <w:t>evidence of the earlier draft and is not modified. This annexure replaces its technical content (01-04) as the current</w:t>
      </w:r>
    </w:p>
    <w:p>
      <w:r>
        <w:t>technical description. A9.42 sec. 11 deferred this regeneration until DBF-1.2 was frozen, and the owner directed it on</w:t>
      </w:r>
    </w:p>
    <w:p>
      <w:r>
        <w:t>2026-10-10. The programmatic skeletons (</w:t>
      </w:r>
      <w:r>
        <w:rPr>
          <w:rFonts w:ascii="Consolas" w:hAnsi="Consolas"/>
        </w:rPr>
        <w:t>05_PROGRAMMATIC_SECTIONS.md</w:t>
      </w:r>
      <w:r>
        <w:t>) and the Part IV(A)-(H) submission checklist</w:t>
      </w:r>
    </w:p>
    <w:p>
      <w:r>
        <w:t>(</w:t>
      </w:r>
      <w:r>
        <w:rPr>
          <w:rFonts w:ascii="Consolas" w:hAnsi="Consolas"/>
        </w:rPr>
        <w:t>06_SUBMISSION_CHECKLIST.md</w:t>
      </w:r>
      <w:r>
        <w:t>) of that package do not depend on the design and are not regenerated here. When the</w:t>
      </w:r>
    </w:p>
    <w:p>
      <w:r>
        <w:t>owner assembles the upload set, the checklist's file references point to the A1-A4 files below.</w:t>
      </w:r>
    </w:p>
    <w:p>
      <w:pPr>
        <w:pStyle w:val="Heading2"/>
      </w:pPr>
      <w:r>
        <w:t>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RFP structure served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A1_COMPLIANCE_MATRIX.md</w:t>
            </w:r>
            <w:r>
              <w:t xml:space="preserve"> (+ </w:t>
            </w:r>
            <w:r>
              <w:rPr>
                <w:rFonts w:ascii="Consolas" w:hAnsi="Consolas"/>
              </w:rPr>
              <w:t>compliance_matrix_dbf1_2_v1.json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all 37 registered clauses: status, DBF-1.2 trace, response, evidence at </w:t>
            </w:r>
            <w:r>
              <w:rPr>
                <w:rFonts w:ascii="Consolas" w:hAnsi="Consolas"/>
              </w:rPr>
              <w:t>45492a8</w:t>
            </w:r>
            <w:r>
              <w:t>, previous bid-package status</w:t>
            </w:r>
          </w:p>
        </w:tc>
        <w:tc>
          <w:tcPr>
            <w:tcW w:type="dxa" w:w="2880"/>
          </w:tcPr>
          <w:p>
            <w:r>
              <w:t>Part III para 1-8, Part IV(B) 3 / 5, Part IV(C) 5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A2_TECHNICAL_DESCRIPTION.md</w:t>
            </w:r>
          </w:p>
        </w:tc>
        <w:tc>
          <w:tcPr>
            <w:tcW w:type="dxa" w:w="2880"/>
          </w:tcPr>
          <w:p>
            <w:r>
              <w:t>frozen architecture, block-diagram mapping, intake / compressor / feed, H-1, ICP, power, mass, thermal / materials / life, interfaces</w:t>
            </w:r>
          </w:p>
        </w:tc>
        <w:tc>
          <w:tcPr>
            <w:tcW w:type="dxa" w:w="2880"/>
          </w:tcPr>
          <w:p>
            <w:r>
              <w:t>Part III para 1-2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A3_VERIFICATION_PLAN.md</w:t>
            </w:r>
          </w:p>
        </w:tc>
        <w:tc>
          <w:tcPr>
            <w:tcW w:type="dxa" w:w="2880"/>
          </w:tcPr>
          <w:p>
            <w:r>
              <w:t>EM / QM verification of every DBF-1.2 open item, milestone mapping, RFP 4.1 tests</w:t>
            </w:r>
          </w:p>
        </w:tc>
        <w:tc>
          <w:tcPr>
            <w:tcW w:type="dxa" w:w="2880"/>
          </w:tcPr>
          <w:p>
            <w:r>
              <w:t>Part III para 4, 7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A4_RISK_REGISTER.md</w:t>
            </w:r>
          </w:p>
        </w:tc>
        <w:tc>
          <w:tcPr>
            <w:tcW w:type="dxa" w:w="2880"/>
          </w:tcPr>
          <w:p>
            <w:r>
              <w:t>DBF-1.2 risk register (17 items) and baseline deficiencies</w:t>
            </w:r>
          </w:p>
        </w:tc>
        <w:tc>
          <w:tcPr>
            <w:tcW w:type="dxa" w:w="2880"/>
          </w:tcPr>
          <w:p>
            <w:r>
              <w:t>Part III para 6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docx/*.docx</w:t>
            </w:r>
          </w:p>
        </w:tc>
        <w:tc>
          <w:tcPr>
            <w:tcW w:type="dxa" w:w="2880"/>
          </w:tcPr>
          <w:p>
            <w:r>
              <w:t>Word renderings (the Markdown is the source)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2"/>
      </w:pPr>
      <w:r>
        <w:t>Compliance-status counts (37 registered clauses)</w:t>
      </w:r>
    </w:p>
    <w:p>
      <w:pPr>
        <w:pStyle w:val="ListBullet"/>
      </w:pPr>
      <w:r>
        <w:t>COMPLY: 2</w:t>
      </w:r>
    </w:p>
    <w:p>
      <w:pPr>
        <w:pStyle w:val="ListBullet"/>
      </w:pPr>
      <w:r>
        <w:t>COMPLY_PLANNED_WITH_EVIDENCE_PATH: 23</w:t>
      </w:r>
    </w:p>
    <w:p>
      <w:pPr>
        <w:pStyle w:val="ListBullet"/>
      </w:pPr>
      <w:r>
        <w:t>PARTIAL: 2</w:t>
      </w:r>
    </w:p>
    <w:p>
      <w:pPr>
        <w:pStyle w:val="ListBullet"/>
      </w:pPr>
      <w:r>
        <w:t>NOT_YET_DEMONSTRATED: 3</w:t>
      </w:r>
    </w:p>
    <w:p>
      <w:pPr>
        <w:pStyle w:val="ListBullet"/>
      </w:pPr>
      <w:r>
        <w:t>OWNER_INPUT_REQUIRED: 7</w:t>
      </w:r>
    </w:p>
    <w:p>
      <w:pPr>
        <w:pStyle w:val="Heading2"/>
      </w:pPr>
      <w:r>
        <w:t>Status changes against the bid package</w:t>
      </w:r>
    </w:p>
    <w:p>
      <w:pPr>
        <w:pStyle w:val="ListBullet"/>
      </w:pPr>
      <w:r>
        <w:t>RFP-P17-03: NOT_YET_DEMONSTRATED -&gt; COMPLY_PLANNED_WITH_EVIDENCE_PATH</w:t>
      </w:r>
    </w:p>
    <w:p>
      <w:pPr>
        <w:pStyle w:val="ListBullet"/>
      </w:pPr>
      <w:r>
        <w:t>RFP-P17-04: NOT_YET_DEMONSTRATED -&gt; COMPLY_PLANNED_WITH_EVIDENCE_PATH</w:t>
      </w:r>
    </w:p>
    <w:p>
      <w:pPr>
        <w:pStyle w:val="ListBullet"/>
      </w:pPr>
      <w:r>
        <w:t>RFP-P17-05: NOT_YET_DEMONSTRATED -&gt; COMPLY_PLANNED_WITH_EVIDENCE_PATH</w:t>
      </w:r>
    </w:p>
    <w:p>
      <w:pPr>
        <w:pStyle w:val="ListBullet"/>
      </w:pPr>
      <w:r>
        <w:t>RFP-P18-02: OWNER_INPUT_REQUIRED -&gt; PARTIAL</w:t>
      </w:r>
    </w:p>
    <w:p>
      <w:pPr>
        <w:pStyle w:val="ListBullet"/>
      </w:pPr>
      <w:r>
        <w:t>RFP-P18-04: NOT_YET_DEMONSTRATED -&gt; COMPLY_PLANNED_WITH_EVIDENCE_PATH</w:t>
      </w:r>
    </w:p>
    <w:p>
      <w:pPr>
        <w:pStyle w:val="ListBullet"/>
      </w:pPr>
      <w:r>
        <w:t>RFP-P18-06: NOT_YET_DEMONSTRATED -&gt; COMPLY_PLANNED_WITH_EVIDENCE_PATH</w:t>
      </w:r>
    </w:p>
    <w:p>
      <w:pPr>
        <w:pStyle w:val="ListBullet"/>
      </w:pPr>
      <w:r>
        <w:t>RFP-P18-09: OWNER_INPUT_REQUIRED -&gt; COMPLY_PLANNED_WITH_EVIDENCE_PATH</w:t>
      </w:r>
    </w:p>
    <w:p>
      <w:pPr>
        <w:pStyle w:val="ListBullet"/>
      </w:pPr>
      <w:r>
        <w:t>RFP-P18-10: NOT_YET_DEMONSTRATED -&gt; COMPLY_PLANNED_WITH_EVIDENCE_PATH</w:t>
      </w:r>
    </w:p>
    <w:p>
      <w:pPr>
        <w:pStyle w:val="ListBullet"/>
      </w:pPr>
      <w:r>
        <w:t>RFP-P18-11: NOT_YET_DEMONSTRATED -&gt; COMPLY_PLANNED_WITH_EVIDENCE_PATH</w:t>
      </w:r>
    </w:p>
    <w:p>
      <w:r>
        <w:t>Rule: A clause moves from the A9.27 package status only where the DBF-1.2 requirement trace (approved baseline, A9.41 / A9.42 / A9.43) gives a CONFORMING_BY_DESIGN / ALLOCATION state with an EM / QM verification path; owner rulings A9.27 (RFP-P19-03 COMPLY composition only; RFP-P18-08 split) are kept; no clause is raised to COMPLY by this regeneration; VERIFY_EM_QM-only trace states (life, AO, thermal) do not change a status.</w:t>
      </w:r>
    </w:p>
    <w:p>
      <w:pPr>
        <w:pStyle w:val="Heading2"/>
      </w:pPr>
      <w:r>
        <w:t>Owner inputs still required</w:t>
      </w:r>
    </w:p>
    <w:p>
      <w:r>
        <w:t>The owner-input items of the bid package (OIR-IC-01..03, OIR-ORG-01..06, OIR-FAC-01..04, OIR-TEC-02) are unchanged. The</w:t>
      </w:r>
    </w:p>
    <w:p>
      <w:r>
        <w:t xml:space="preserve">repository holds none of them. Each is listed against its clause in </w:t>
      </w:r>
      <w:r>
        <w:rPr>
          <w:rFonts w:ascii="Consolas" w:hAnsi="Consolas"/>
        </w:rPr>
        <w:t>A1_COMPLIANCE_MATRIX.md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