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 technical submission package - DRAFT</w:t>
      </w:r>
    </w:p>
    <w:p>
      <w:r>
        <w:t>**Tender 2026_DRDO_788433_1 - RFP DTDF/06/13516/DSP/ABEP/X/L/M/01, "Air Breathing Space Based Propulsion (Electric) for</w:t>
      </w:r>
    </w:p>
    <w:p>
      <w:r>
        <w:t>VLEO" (DRDO / Directorate of Technology Development Fund). Bidder: Vyovrinda Aerospace. Operational submission deadline</w:t>
      </w:r>
    </w:p>
    <w:p>
      <w:r>
        <w:t>2026-10-05 17:00 (DefProc; owner decision A9.21 BID_CLOSE, unless a corrigendum changes it).**</w:t>
      </w:r>
    </w:p>
    <w:p>
      <w:r>
        <w:rPr>
          <w:b/>
        </w:rPr>
        <w:t>Package status: DRAFT_FOR_OWNER_REVIEW.</w:t>
      </w:r>
      <w:r>
        <w:t xml:space="preserve"> The repository submits nothing. This package is the technical draft that the</w:t>
      </w:r>
    </w:p>
    <w:p>
      <w:r>
        <w:t>owner reviews, completes (owner-input checklist below) and submits through DefProc. It is not a finished DPR, Part-IV</w:t>
      </w:r>
    </w:p>
    <w:p>
      <w:r>
        <w:t xml:space="preserve">response or technical proposal in the RFP's own formats. Generated by </w:t>
      </w:r>
      <w:r>
        <w:rPr>
          <w:rFonts w:ascii="Consolas" w:hAnsi="Consolas"/>
        </w:rPr>
        <w:t>python docs/bid/package/build_package.py</w:t>
      </w:r>
      <w:r>
        <w:t>; edit</w:t>
      </w:r>
    </w:p>
    <w:p>
      <w:r>
        <w:rPr>
          <w:rFonts w:ascii="Consolas" w:hAnsi="Consolas"/>
        </w:rPr>
        <w:t>docs/bid/package/templates/</w:t>
      </w:r>
      <w:r>
        <w:t xml:space="preserve"> or </w:t>
      </w:r>
      <w:r>
        <w:rPr>
          <w:rFonts w:ascii="Consolas" w:hAnsi="Consolas"/>
        </w:rPr>
        <w:t>docs/bid/package/compliance_data.py</w:t>
      </w:r>
      <w:r>
        <w:t>, never the generated files.</w:t>
      </w:r>
    </w:p>
    <w:p>
      <w:pPr>
        <w:pStyle w:val="Heading2"/>
      </w:pPr>
      <w:r>
        <w:t>Technical source</w:t>
      </w:r>
    </w:p>
    <w:p>
      <w:pPr>
        <w:pStyle w:val="ListBullet"/>
      </w:pPr>
      <w:r>
        <w:rPr>
          <w:b/>
        </w:rPr>
        <w:t>Technical source (bid source): `5eee4b8c82a9403b6bb82d5f8d324526f5d6399b`</w:t>
      </w:r>
      <w:r>
        <w:t xml:space="preserve"> (</w:t>
      </w:r>
      <w:r>
        <w:rPr>
          <w:rFonts w:ascii="Consolas" w:hAnsi="Consolas"/>
        </w:rPr>
        <w:t>5eee4b8</w:t>
      </w:r>
      <w:r>
        <w:t xml:space="preserve">, branch </w:t>
      </w:r>
      <w:r>
        <w:rPr>
          <w:rFonts w:ascii="Consolas" w:hAnsi="Consolas"/>
        </w:rPr>
        <w:t>claude/nifty-ramanujan-w68f9z</w:t>
      </w:r>
      <w:r>
        <w:t xml:space="preserve">). It is the single constant </w:t>
      </w:r>
      <w:r>
        <w:rPr>
          <w:rFonts w:ascii="Consolas" w:hAnsi="Consolas"/>
        </w:rPr>
        <w:t>bid_technical_source.commit</w:t>
      </w:r>
      <w:r>
        <w:t xml:space="preserve"> of the freeze record </w:t>
      </w:r>
      <w:r>
        <w:rPr>
          <w:rFonts w:ascii="Consolas" w:hAnsi="Consolas"/>
        </w:rPr>
        <w:t>docs/bid/bid_technical_baseline_v2.json</w:t>
      </w:r>
      <w:r>
        <w:t xml:space="preserve"> (owner decisions A9.24 item 9, A9.25 message 8 sections 12-14, A9.26 message 2 sections 5-8); the whole package is generated from it by </w:t>
      </w:r>
      <w:r>
        <w:rPr>
          <w:rFonts w:ascii="Consolas" w:hAnsi="Consolas"/>
        </w:rPr>
        <w:t>python docs/bid/package/build_package.py</w:t>
      </w:r>
      <w:r>
        <w:t>.</w:t>
      </w:r>
    </w:p>
    <w:p>
      <w:pPr>
        <w:pStyle w:val="ListBullet"/>
      </w:pPr>
      <w:r>
        <w:t>Verification record of the technical source: VERIFIED: technical source 5eee4b8c82a9403b6bb82d5f8d324526f5d6399b (A9.26 mass-policy successor). Local: pytest 4216 passed / 5 skipped / 1 xfailed, Rule-9 (ci_checks --pytest-junit) satisfied, ci_checks 11/11 green, golden OK, config --check OK, affected builders --check OK (mass v2-v5, RVM, F7/F8 full, F9, M16 v5, owner-question state v5, A9.16 matrix, H-1, RFQ3-GAS rev1). GitHub CI run 37263814635 on 5eee4b8: success on all jobs (repository integrity; tests + golden, pymsis present and absent, Rule-9). build_tables_nist107_o.py NOT_RERUN_NETWORK_UNAVAILABLE / UNAFFECTED_BY_FREEZE_CHANGES. No raw-physics change since the verified pre-freeze candidate 4c2b3b3 (owner-accepted); only governed owner-status / mass-accounting changes.</w:t>
      </w:r>
    </w:p>
    <w:p>
      <w:pPr>
        <w:pStyle w:val="ListBullet"/>
      </w:pPr>
      <w:r>
        <w:rPr>
          <w:b/>
        </w:rPr>
        <w:t>Two-SHA discipline (A9.25 message 8 section 13):</w:t>
      </w:r>
      <w:r>
        <w:t xml:space="preserve"> the freeze record and this regenerated package form the PACKAGE / FREEZE-RECORD commit. They pin the technical source; they are not a technical source. Every technical number, status and claim in this package cites a file at </w:t>
      </w:r>
      <w:r>
        <w:rPr>
          <w:rFonts w:ascii="Consolas" w:hAnsi="Consolas"/>
        </w:rPr>
        <w:t>5eee4b8</w:t>
      </w:r>
      <w:r>
        <w:t xml:space="preserve"> (read with </w:t>
      </w:r>
      <w:r>
        <w:rPr>
          <w:rFonts w:ascii="Consolas" w:hAnsi="Consolas"/>
        </w:rPr>
        <w:t>git show 5eee4b8:&lt;path&gt;</w:t>
      </w:r>
      <w:r>
        <w:t xml:space="preserve">); files under </w:t>
      </w:r>
      <w:r>
        <w:rPr>
          <w:rFonts w:ascii="Consolas" w:hAnsi="Consolas"/>
        </w:rPr>
        <w:t>docs/bid/</w:t>
      </w:r>
      <w:r>
        <w:t xml:space="preserve"> are the package itself.</w:t>
      </w:r>
    </w:p>
    <w:p>
      <w:pPr>
        <w:pStyle w:val="ListBullet"/>
      </w:pPr>
      <w:r>
        <w:t xml:space="preserve">Mass record at the technical source: </w:t>
      </w:r>
      <w:r>
        <w:rPr>
          <w:rFonts w:ascii="Consolas" w:hAnsi="Consolas"/>
        </w:rPr>
        <w:t>docs/budgets/mass_power_a9_v5/mass_power_a9_v5.json</w:t>
      </w:r>
      <w:r>
        <w:t xml:space="preserve"> (status A9_26_MASS_POLICY_APPLIED_PROVISIONAL_PLANNING_FLOOR_MASS_NOT_YET_CLOSED).</w:t>
      </w:r>
    </w:p>
    <w:p>
      <w:pPr>
        <w:pStyle w:val="ListBullet"/>
      </w:pPr>
      <w:r>
        <w:t xml:space="preserve">History: the v1 freeze record </w:t>
      </w:r>
      <w:r>
        <w:rPr>
          <w:rFonts w:ascii="Consolas" w:hAnsi="Consolas"/>
        </w:rPr>
        <w:t>docs/bid/bid_technical_baseline.json</w:t>
      </w:r>
      <w:r>
        <w:t xml:space="preserve"> (historical bbc480c freeze, owner P0 decision 2026-10-03) is kept unchanged. The owner replaced it as the bid basis (A9.24 item 9: choose B, do not submit against bbc480c); none of its mass values or its upstream caveat is carried here.</w:t>
      </w:r>
    </w:p>
    <w:p>
      <w:r>
        <w:t>Architecture at the technical source: one Hall accelerator (H-1) + one downstream 13.56 MHz RF-ICP electron source /</w:t>
      </w:r>
    </w:p>
    <w:p>
      <w:r>
        <w:t>neutralizer (</w:t>
      </w:r>
      <w:r>
        <w:rPr>
          <w:rFonts w:ascii="Consolas" w:hAnsi="Consolas"/>
        </w:rPr>
        <w:t>hall_icp_neutralizer</w:t>
      </w:r>
      <w:r>
        <w:t>, cathodeless: flight cathode NONE); supply modes AIR_PRIMARY + XE_CONTINGENCY</w:t>
      </w:r>
    </w:p>
    <w:p>
      <w:r>
        <w:t>(A9.19); C1 GROUND_REFERENCE_ONLY (A9.20; A9.25 message 8 section 3: never flight hardware, flight fallback, flight</w:t>
      </w:r>
    </w:p>
    <w:p>
      <w:r>
        <w:t>electron source, flight Xe hardware, flight mass, power, thermal load or architecture closure); architecture status</w:t>
      </w:r>
    </w:p>
    <w:p>
      <w:r>
        <w:t>INVESTIGATION_HYPOTHESIS (topology decided and frozen for development; physical design not frozen). Hall validation (gate 3) is</w:t>
      </w:r>
    </w:p>
    <w:p>
      <w:r>
        <w:t>FAIL, the credible transport set is empty, and every absolute Hall number of the superseded 0-D closure is withdrawn and</w:t>
      </w:r>
    </w:p>
    <w:p>
      <w:r>
        <w:t xml:space="preserve">not quoted. Mass: MASS INCOMPLETE_EVIDENCE / NOT_YET_CLOSED (section 9 of </w:t>
      </w:r>
      <w:r>
        <w:rPr>
          <w:rFonts w:ascii="Consolas" w:hAnsi="Consolas"/>
        </w:rPr>
        <w:t>02_TECHNICAL_APPROACH.md</w:t>
      </w:r>
      <w:r>
        <w:t>).</w:t>
      </w:r>
    </w:p>
    <w:p>
      <w:pPr>
        <w:pStyle w:val="Heading2"/>
      </w:pPr>
      <w:r>
        <w:t>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RFP structure served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README.md</w:t>
            </w:r>
          </w:p>
        </w:tc>
        <w:tc>
          <w:tcPr>
            <w:tcW w:type="dxa" w:w="2160"/>
          </w:tcPr>
          <w:p>
            <w:r>
              <w:t>this cover: document list, technical source, owner-input checklist, unscreened-pages note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DRAFT_FOR_OWNER_REVIEW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01_COMPLIANCE_MATRIX.md</w:t>
            </w:r>
            <w:r>
              <w:t xml:space="preserve"> (+ </w:t>
            </w:r>
            <w:r>
              <w:rPr>
                <w:rFonts w:ascii="Consolas" w:hAnsi="Consolas"/>
              </w:rPr>
              <w:t>compliance_matrix_v1.json</w:t>
            </w:r>
            <w:r>
              <w:t>)</w:t>
            </w:r>
          </w:p>
        </w:tc>
        <w:tc>
          <w:tcPr>
            <w:tcW w:type="dxa" w:w="2160"/>
          </w:tcPr>
          <w:p>
            <w:r>
              <w:t>clause-by-clause response to all 37 registered clauses with status and evidence path at the technical source; gate statuses carried verbatim</w:t>
            </w:r>
          </w:p>
        </w:tc>
        <w:tc>
          <w:tcPr>
            <w:tcW w:type="dxa" w:w="2160"/>
          </w:tcPr>
          <w:p>
            <w:r>
              <w:t>Part III para 1-8 (technical requirements table, logical block diagram RFP-P16-02, EM / QM deliverables RFP-P17-01, milestones RFP-P20-04..P21-02), Part IV(B) 3 / 5 (RFP-P27-01 / -02), Part IV(C) 5 (RFP-P30-01)</w:t>
            </w:r>
          </w:p>
        </w:tc>
        <w:tc>
          <w:tcPr>
            <w:tcW w:type="dxa" w:w="2160"/>
          </w:tcPr>
          <w:p>
            <w:r>
              <w:t>DRAFT_FOR_OWNER_REVIEW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02_TECHNICAL_APPROACH.md</w:t>
            </w:r>
          </w:p>
        </w:tc>
        <w:tc>
          <w:tcPr>
            <w:tcW w:type="dxa" w:w="2160"/>
          </w:tcPr>
          <w:p>
            <w:r>
              <w:t>architecture, block-diagram and subsystem mapping (RFP-P16-02, RFP-P19-03), thruster, ICP neutralizer, propellant handling, PPU from the bus, redundancy, MIL-1553B, mass, thermal / materials / life, validation status</w:t>
            </w:r>
          </w:p>
        </w:tc>
        <w:tc>
          <w:tcPr>
            <w:tcW w:type="dxa" w:w="2160"/>
          </w:tcPr>
          <w:p>
            <w:r>
              <w:t>Part III para 1-2</w:t>
            </w:r>
          </w:p>
        </w:tc>
        <w:tc>
          <w:tcPr>
            <w:tcW w:type="dxa" w:w="2160"/>
          </w:tcPr>
          <w:p>
            <w:r>
              <w:t>DRAFT_FOR_OWNER_REVIEW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03_DEVELOPMENT_AND_TEST_PLAN.md</w:t>
            </w:r>
          </w:p>
        </w:tc>
        <w:tc>
          <w:tcPr>
            <w:tcW w:type="dxa" w:w="2160"/>
          </w:tcPr>
          <w:p>
            <w:r>
              <w:t>A9.21 hardware order, gates (GNG-ICP-01 before LOCK-1), proposed mapping onto M1-M5 at the RFP T0 offsets, RFP-P19-06 tests</w:t>
            </w:r>
          </w:p>
        </w:tc>
        <w:tc>
          <w:tcPr>
            <w:tcW w:type="dxa" w:w="2160"/>
          </w:tcPr>
          <w:p>
            <w:r>
              <w:t>Part III para 4.1, 7</w:t>
            </w:r>
          </w:p>
        </w:tc>
        <w:tc>
          <w:tcPr>
            <w:tcW w:type="dxa" w:w="2160"/>
          </w:tcPr>
          <w:p>
            <w:r>
              <w:t>DRAFT_FOR_OWNER_REVIEW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04_RISK_REGISTER.md</w:t>
            </w:r>
          </w:p>
        </w:tc>
        <w:tc>
          <w:tcPr>
            <w:tcW w:type="dxa" w:w="2160"/>
          </w:tcPr>
          <w:p>
            <w:r>
              <w:t>top technical risks R-01..R-13 with repository mitigations</w:t>
            </w:r>
          </w:p>
        </w:tc>
        <w:tc>
          <w:tcPr>
            <w:tcW w:type="dxa" w:w="2160"/>
          </w:tcPr>
          <w:p>
            <w:r>
              <w:t>Part III para 6</w:t>
            </w:r>
          </w:p>
        </w:tc>
        <w:tc>
          <w:tcPr>
            <w:tcW w:type="dxa" w:w="2160"/>
          </w:tcPr>
          <w:p>
            <w:r>
              <w:t>DRAFT_FOR_OWNER_REVIEW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05_PROGRAMMATIC_SECTIONS.md</w:t>
            </w:r>
          </w:p>
        </w:tc>
        <w:tc>
          <w:tcPr>
            <w:tcW w:type="dxa" w:w="2160"/>
          </w:tcPr>
          <w:p>
            <w:r>
              <w:t>skeletons: indigenous-content plan, facilities, team / collaboration, certification, cost / commercial, company credentials</w:t>
            </w:r>
          </w:p>
        </w:tc>
        <w:tc>
          <w:tcPr>
            <w:tcW w:type="dxa" w:w="2160"/>
          </w:tcPr>
          <w:p>
            <w:r>
              <w:t>RFP-P18-03, RFP-P19-05, RFP-P20-01, RFP-P27-01 / -02, RFP-P30-01, Part IV(B) / (C)</w:t>
            </w:r>
          </w:p>
        </w:tc>
        <w:tc>
          <w:tcPr>
            <w:tcW w:type="dxa" w:w="2160"/>
          </w:tcPr>
          <w:p>
            <w:r>
              <w:t>DRAFT_FOR_OWNER_REVIEW - SKELETON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06_SUBMISSION_CHECKLIST.md</w:t>
            </w:r>
          </w:p>
        </w:tc>
        <w:tc>
          <w:tcPr>
            <w:tcW w:type="dxa" w:w="2160"/>
          </w:tcPr>
          <w:p>
            <w:r>
              <w:t>Part IV(A)-(H) form mapping, proposed annexure numbering, submission controls, final file-by-file check</w:t>
            </w:r>
          </w:p>
        </w:tc>
        <w:tc>
          <w:tcPr>
            <w:tcW w:type="dxa" w:w="2160"/>
          </w:tcPr>
          <w:p>
            <w:r>
              <w:t>OIR-DOC-01 (A9.27)</w:t>
            </w:r>
          </w:p>
        </w:tc>
        <w:tc>
          <w:tcPr>
            <w:tcW w:type="dxa" w:w="2160"/>
          </w:tcPr>
          <w:p>
            <w:r>
              <w:t>REVIEW_COMPLETE_SUBMISSION_FORM_COMPLETION_PENDING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docx/*.docx</w:t>
            </w:r>
          </w:p>
        </w:tc>
        <w:tc>
          <w:tcPr>
            <w:tcW w:type="dxa" w:w="2160"/>
          </w:tcPr>
          <w:p>
            <w:r>
              <w:t>Word renderings of the six Markdown files above (generated; the Markdown is the source)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DRAFT_FOR_OWNER_REVIEW (generated)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</w:rPr>
              <w:t>compliance_data.py</w:t>
            </w:r>
            <w:r>
              <w:t xml:space="preserve">, </w:t>
            </w:r>
            <w:r>
              <w:rPr>
                <w:rFonts w:ascii="Consolas" w:hAnsi="Consolas"/>
              </w:rPr>
              <w:t>source_facts.py</w:t>
            </w:r>
            <w:r>
              <w:t xml:space="preserve">, </w:t>
            </w:r>
            <w:r>
              <w:rPr>
                <w:rFonts w:ascii="Consolas" w:hAnsi="Consolas"/>
              </w:rPr>
              <w:t>build_package.py</w:t>
            </w:r>
            <w:r>
              <w:t xml:space="preserve">, </w:t>
            </w:r>
            <w:r>
              <w:rPr>
                <w:rFonts w:ascii="Consolas" w:hAnsi="Consolas"/>
              </w:rPr>
              <w:t>templates/</w:t>
            </w:r>
          </w:p>
        </w:tc>
        <w:tc>
          <w:tcPr>
            <w:tcW w:type="dxa" w:w="2160"/>
          </w:tcPr>
          <w:p>
            <w:r>
              <w:t>data, technical-source reader, generator and document templates (</w:t>
            </w:r>
            <w:r>
              <w:rPr>
                <w:rFonts w:ascii="Consolas" w:hAnsi="Consolas"/>
              </w:rPr>
              <w:t>--check</w:t>
            </w:r>
            <w:r>
              <w:t xml:space="preserve"> verifies every generated file)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tooling</w:t>
            </w:r>
          </w:p>
        </w:tc>
      </w:tr>
    </w:tbl>
    <w:p>
      <w:r>
        <w:t xml:space="preserve">Test: </w:t>
      </w:r>
      <w:r>
        <w:rPr>
          <w:rFonts w:ascii="Consolas" w:hAnsi="Consolas"/>
        </w:rPr>
        <w:t>tests/test_bid_package.py</w:t>
      </w:r>
      <w:r>
        <w:t xml:space="preserve"> (the technical source is the one constant of the freeze record; every registered</w:t>
      </w:r>
    </w:p>
    <w:p>
      <w:r>
        <w:t>clause in the matrix; every cited evidence path exists at the technical source and every JSON locator resolves there; the</w:t>
      </w:r>
    </w:p>
    <w:p>
      <w:r>
        <w:t>mass section equals the mass record at the technical source; no withdrawn Hall result phrase; no superseded v1 mass value; no</w:t>
      </w:r>
    </w:p>
    <w:p>
      <w:r>
        <w:t>PASS / GO for any gate that is not PASS / GO at the technical source; every owner-input id is in this checklist).</w:t>
      </w:r>
    </w:p>
    <w:p>
      <w:pPr>
        <w:pStyle w:val="Heading2"/>
      </w:pPr>
      <w:r>
        <w:t>Compliance-status counts (37 registered clauses)</w:t>
      </w:r>
    </w:p>
    <w:p>
      <w:pPr>
        <w:pStyle w:val="ListBullet"/>
      </w:pPr>
      <w:r>
        <w:t>COMPLY: 2</w:t>
      </w:r>
    </w:p>
    <w:p>
      <w:pPr>
        <w:pStyle w:val="ListBullet"/>
      </w:pPr>
      <w:r>
        <w:t>COMPLY_PLANNED_WITH_EVIDENCE_PATH: 15</w:t>
      </w:r>
    </w:p>
    <w:p>
      <w:pPr>
        <w:pStyle w:val="ListBullet"/>
      </w:pPr>
      <w:r>
        <w:t>PARTIAL: 1</w:t>
      </w:r>
    </w:p>
    <w:p>
      <w:pPr>
        <w:pStyle w:val="ListBullet"/>
      </w:pPr>
      <w:r>
        <w:t>NOT_YET_DEMONSTRATED: 10</w:t>
      </w:r>
    </w:p>
    <w:p>
      <w:pPr>
        <w:pStyle w:val="ListBullet"/>
      </w:pPr>
      <w:r>
        <w:t>OWNER_INPUT_REQUIRED: 9</w:t>
      </w:r>
    </w:p>
    <w:p>
      <w:r>
        <w:t>The single COMPLY (RFP-P18-07, "Hall effect preferable") states the offered thruster type only; no Hall performance is</w:t>
      </w:r>
    </w:p>
    <w:p>
      <w:r>
        <w:t>demonstrated.</w:t>
      </w:r>
    </w:p>
    <w:p>
      <w:pPr>
        <w:pStyle w:val="Heading2"/>
      </w:pPr>
      <w:r>
        <w:t>RFP pages 1-15 and 34-40 - owner review complete, form completion pending (A9.27)</w:t>
      </w:r>
    </w:p>
    <w:p>
      <w:r>
        <w:t>The repository's RFP registration (</w:t>
      </w:r>
      <w:r>
        <w:rPr>
          <w:rFonts w:ascii="Consolas" w:hAnsi="Consolas"/>
        </w:rPr>
        <w:t>docs/requirements/rfp_official/rfp_registration_v1.json</w:t>
      </w:r>
      <w:r>
        <w:t>, 40-page PDF registered by</w:t>
      </w:r>
    </w:p>
    <w:p>
      <w:r>
        <w:t>sha256) transcribes pages 16-33 only; at the technical source it records an owner page review OWNER_REVIEWED_NO_ADDITIONAL_TECHNICAL_PERFORMANCE_REQUIREMENT (A9.22 G3: technical-performance requirements only). The owner has since reviewed</w:t>
      </w:r>
    </w:p>
    <w:p>
      <w:r>
        <w:t>the remaining pages including the formats (owner ruling A9.27): OIR-DOC-01 = REVIEW_COMPLETE_SUBMISSION_FORM_COMPLETION_PENDING.</w:t>
      </w:r>
    </w:p>
    <w:p>
      <w:r>
        <w:t xml:space="preserve">The final submission must account for Part IV(A)-(H) and the submission controls; see </w:t>
      </w:r>
      <w:r>
        <w:rPr>
          <w:rFonts w:ascii="Consolas" w:hAnsi="Consolas"/>
        </w:rPr>
        <w:t>06_SUBMISSION_CHECKLIST.md</w:t>
      </w:r>
      <w:r>
        <w:t>.</w:t>
      </w:r>
    </w:p>
    <w:p>
      <w:r>
        <w:t>OIR-DOC-01 closes only when the final submission set has been checked against those forms and the annexure numbers are</w:t>
      </w:r>
    </w:p>
    <w:p>
      <w:r>
        <w:t>populated.</w:t>
      </w:r>
    </w:p>
    <w:p>
      <w:pPr>
        <w:pStyle w:val="Heading2"/>
      </w:pPr>
      <w:r>
        <w:t>Owner-input checklist (every OWNER_INPUT_REQUIRED item)</w:t>
      </w:r>
    </w:p>
    <w:p>
      <w:pPr>
        <w:pStyle w:val="ListBullet"/>
      </w:pPr>
      <w:r>
        <w:rPr>
          <w:b/>
        </w:rPr>
        <w:t>OIR-IC-01</w:t>
      </w:r>
      <w:r>
        <w:t xml:space="preserve"> - Indigenous-content plan figures: per-subsystem IC % (thruster, intake, compressor + storage, PSE) and project IC % with the computation basis (RFP-P19-05 / RFP-P18-03 a; Part IV(C) 2 scoring). Clauses: RFP-P18-03, RFP-P19-05.</w:t>
      </w:r>
    </w:p>
    <w:p>
      <w:pPr>
        <w:pStyle w:val="ListBullet"/>
      </w:pPr>
      <w:r>
        <w:rPr>
          <w:b/>
        </w:rPr>
        <w:t>OIR-IC-02</w:t>
      </w:r>
      <w:r>
        <w:t xml:space="preserve"> - Supplier / make-or-buy list with country of origin for every BoM line (RFQ v3 packages and the RFQ3-GAS rev1 successor are quotation-only; nothing selected). Clauses: RFP-P18-03, RFP-P19-05.</w:t>
      </w:r>
    </w:p>
    <w:p>
      <w:pPr>
        <w:pStyle w:val="ListBullet"/>
      </w:pPr>
      <w:r>
        <w:rPr>
          <w:b/>
        </w:rPr>
        <w:t>OIR-IC-03</w:t>
      </w:r>
      <w:r>
        <w:t xml:space="preserve"> - Indigenization roadmap for any imported item (e.g. Xe tank / regulator, RF components, 1553B core) with ITAR / export-control exposure statement. Clauses: RFP-P19-05.</w:t>
      </w:r>
    </w:p>
    <w:p>
      <w:pPr>
        <w:pStyle w:val="ListBullet"/>
      </w:pPr>
      <w:r>
        <w:rPr>
          <w:b/>
        </w:rPr>
        <w:t>OIR-ORG-01</w:t>
      </w:r>
      <w:r>
        <w:t xml:space="preserve"> - ISO certification: standard, scope, certificate number, validity (RFP-P20-01 4.3). Clauses: RFP-P20-01.</w:t>
      </w:r>
    </w:p>
    <w:p>
      <w:pPr>
        <w:pStyle w:val="ListBullet"/>
      </w:pPr>
      <w:r>
        <w:rPr>
          <w:b/>
        </w:rPr>
        <w:t>OIR-ORG-02</w:t>
      </w:r>
      <w:r>
        <w:t xml:space="preserve"> - Financial capability: CA-certified net-worth document (Part IV(B) 1). Clauses: RFP-P21-03.</w:t>
      </w:r>
    </w:p>
    <w:p>
      <w:pPr>
        <w:pStyle w:val="ListBullet"/>
      </w:pPr>
      <w:r>
        <w:rPr>
          <w:b/>
        </w:rPr>
        <w:t>OIR-ORG-03</w:t>
      </w:r>
      <w:r>
        <w:t xml:space="preserve"> - In-house expertise / heritage evidence: indigenous EP system realization, space-grade electronics, vacuum test systems (Part IV(B) 2; Part IV(C) 1, 3). Clauses: RFP-P21-03.</w:t>
      </w:r>
    </w:p>
    <w:p>
      <w:pPr>
        <w:pStyle w:val="ListBullet"/>
      </w:pPr>
      <w:r>
        <w:rPr>
          <w:b/>
        </w:rPr>
        <w:t>OIR-ORG-04</w:t>
      </w:r>
      <w:r>
        <w:t xml:space="preserve"> - Technical-evaluation presentation: presenters and date availability (RFP-P18-03 b). Clauses: RFP-P18-03.</w:t>
      </w:r>
    </w:p>
    <w:p>
      <w:pPr>
        <w:pStyle w:val="ListBullet"/>
      </w:pPr>
      <w:r>
        <w:rPr>
          <w:b/>
        </w:rPr>
        <w:t>OIR-ORG-05</w:t>
      </w:r>
      <w:r>
        <w:t xml:space="preserve"> - Consortium: whether proposed, members, roles, signed consortium agreement (RFP-P18-03 c). Clauses: RFP-P18-03.</w:t>
      </w:r>
    </w:p>
    <w:p>
      <w:pPr>
        <w:pStyle w:val="ListBullet"/>
      </w:pPr>
      <w:r>
        <w:rPr>
          <w:b/>
        </w:rPr>
        <w:t>OIR-ORG-06</w:t>
      </w:r>
      <w:r>
        <w:t xml:space="preserve"> - Manpower: named staff with &gt; 3 years in high-energy physics and electric propulsion; MTech / PhD profiles (Part IV(B) 4; Part IV(C) 6). Clauses: RFP-P21-03.</w:t>
      </w:r>
    </w:p>
    <w:p>
      <w:pPr>
        <w:pStyle w:val="ListBullet"/>
      </w:pPr>
      <w:r>
        <w:rPr>
          <w:b/>
        </w:rPr>
        <w:t>OIR-FAC-01</w:t>
      </w:r>
      <w:r>
        <w:t xml:space="preserve"> - UHV propulsion test facility: owner / location / pumping speed / base pressure / in-house, consortium or sub-contract status, with documentary proof (RFP-P27-01 i; Part IV(C) 5). Clauses: RFP-P21-03, RFP-P27-01.</w:t>
      </w:r>
    </w:p>
    <w:p>
      <w:pPr>
        <w:pStyle w:val="ListBullet"/>
      </w:pPr>
      <w:r>
        <w:rPr>
          <w:b/>
        </w:rPr>
        <w:t>OIR-FAC-02</w:t>
      </w:r>
      <w:r>
        <w:t xml:space="preserve"> - Thrust measurement system: type, range, resolution (micro-newton capability), calibration record, in-house / consortium / sub-contract (RFP-P27-01 ii, RFP-P30-01). Clauses: RFP-P21-03, RFP-P27-01, RFP-P30-01.</w:t>
      </w:r>
    </w:p>
    <w:p>
      <w:pPr>
        <w:pStyle w:val="ListBullet"/>
      </w:pPr>
      <w:r>
        <w:rPr>
          <w:b/>
        </w:rPr>
        <w:t>OIR-FAC-03</w:t>
      </w:r>
      <w:r>
        <w:t xml:space="preserve"> - Facility to simulate the VLEO air mixture and a rarefied-gas source with prescribed mg/s and velocity for intake-erosion tests (RFP-P17-02 4, RFP-P19-06 b). Clauses: RFP-P17-02, RFP-P19-06.</w:t>
      </w:r>
    </w:p>
    <w:p>
      <w:pPr>
        <w:pStyle w:val="ListBullet"/>
      </w:pPr>
      <w:r>
        <w:rPr>
          <w:b/>
        </w:rPr>
        <w:t>OIR-FAC-04</w:t>
      </w:r>
      <w:r>
        <w:t xml:space="preserve"> - Ground atomic-oxygen exposure facility and target fluence (AOL-OQ-05; RFP-P19-06 a). Clauses: RFP-P19-06.</w:t>
      </w:r>
    </w:p>
    <w:p>
      <w:pPr>
        <w:pStyle w:val="ListBullet"/>
      </w:pPr>
      <w:r>
        <w:rPr>
          <w:b/>
        </w:rPr>
        <w:t>OIR-COL-01</w:t>
      </w:r>
      <w:r>
        <w:t xml:space="preserve"> - Academic / research partner for AO material compatibility, its work share and the LoI / MoU (RFP-P27-02). Clauses: RFP-P21-03, RFP-P27-02.</w:t>
      </w:r>
    </w:p>
    <w:p>
      <w:pPr>
        <w:pStyle w:val="ListBullet"/>
      </w:pPr>
      <w:r>
        <w:rPr>
          <w:b/>
        </w:rPr>
        <w:t>OIR-TEC-02</w:t>
      </w:r>
      <w:r>
        <w:t xml:space="preserve"> - Electronics / sensor redundancy concept for single-point-failure tolerance and its mass / power allocation (RFP-P18-02, RFP-P18-09). Clauses: RFP-P18-02, RFP-P18-09.</w:t>
      </w:r>
    </w:p>
    <w:p>
      <w:pPr>
        <w:pStyle w:val="ListBullet"/>
      </w:pPr>
      <w:r>
        <w:rPr>
          <w:b/>
        </w:rPr>
        <w:t>OIR-TEC-03</w:t>
      </w:r>
      <w:r>
        <w:t xml:space="preserve"> - Mission inputs not in the RFP: inclination / LTAN, AOCS pointing envelope, host-spacecraft drag ICD (A9.21 EXTERNAL_INPUTS) - or a statement in the bid that these are requested from DRDO at PDR. Clauses: RFP-P18-04.</w:t>
      </w:r>
    </w:p>
    <w:p>
      <w:pPr>
        <w:pStyle w:val="ListBullet"/>
      </w:pPr>
      <w:r>
        <w:rPr>
          <w:b/>
        </w:rPr>
        <w:t>OIR-TEC-04</w:t>
      </w:r>
      <w:r>
        <w:t xml:space="preserve"> - Spacecraft bus input voltage / power-quality assumptions for the PPU front end (A902-12 TBD). Clauses: RFP-P18-01.</w:t>
      </w:r>
    </w:p>
    <w:p>
      <w:pPr>
        <w:pStyle w:val="ListBullet"/>
      </w:pPr>
      <w:r>
        <w:rPr>
          <w:b/>
        </w:rPr>
        <w:t>OIR-TEC-06</w:t>
      </w:r>
      <w:r>
        <w:t xml:space="preserve"> - MIL-1553B implementation choice (RT core / transceiver source, bus A/B redundancy) for the offer. Clauses: RFP-P18-12.</w:t>
      </w:r>
    </w:p>
    <w:p>
      <w:pPr>
        <w:pStyle w:val="ListBullet"/>
      </w:pPr>
      <w:r>
        <w:rPr>
          <w:b/>
        </w:rPr>
        <w:t>OIR-TEC-07</w:t>
      </w:r>
      <w:r>
        <w:t xml:space="preserve"> - Reading of the Milestone-2 deliverable 'approved GNC design document and codes' for a propulsion PSE (seek DRDO clarification or state the reading). Clauses: RFP-P20-05.</w:t>
      </w:r>
    </w:p>
    <w:p>
      <w:pPr>
        <w:pStyle w:val="ListBullet"/>
      </w:pPr>
      <w:r>
        <w:rPr>
          <w:b/>
        </w:rPr>
        <w:t>OIR-TEC-08</w:t>
      </w:r>
      <w:r>
        <w:t xml:space="preserve"> - GNG-ICP-01 GO / NO-GO criteria (owner approved existence and placement only; criteria PENDING_OWNER_ACCEPTANCE). Clauses: -.</w:t>
      </w:r>
    </w:p>
    <w:p>
      <w:pPr>
        <w:pStyle w:val="ListBullet"/>
      </w:pPr>
      <w:r>
        <w:rPr>
          <w:b/>
        </w:rPr>
        <w:t>OIR-SCH-01</w:t>
      </w:r>
      <w:r>
        <w:t xml:space="preserve"> - T0 assumption and confirmation that the A9.21 hardware order can be resourced inside the RFP milestone offsets (no dates beyond T0 offsets are stated by this package). Clauses: -.</w:t>
      </w:r>
    </w:p>
    <w:p>
      <w:pPr>
        <w:pStyle w:val="ListBullet"/>
      </w:pPr>
      <w:r>
        <w:rPr>
          <w:b/>
        </w:rPr>
        <w:t>OIR-RSK-01</w:t>
      </w:r>
      <w:r>
        <w:t xml:space="preserve"> - Likelihood / impact rating and risk owner for each technical risk R-01..R-13 (04_RISK_REGISTER.md); the repository holds no risk scoring. Clauses: -.</w:t>
      </w:r>
    </w:p>
    <w:p>
      <w:pPr>
        <w:pStyle w:val="ListBullet"/>
      </w:pPr>
      <w:r>
        <w:rPr>
          <w:b/>
        </w:rPr>
        <w:t>OIR-COM-01</w:t>
      </w:r>
      <w:r>
        <w:t xml:space="preserve"> - Cost / price breakdown, payment-milestone acceptance and all commercial formats (commercial bid; not in this technical package). Clauses: -.</w:t>
      </w:r>
    </w:p>
    <w:p>
      <w:pPr>
        <w:pStyle w:val="ListBullet"/>
      </w:pPr>
      <w:r>
        <w:rPr>
          <w:b/>
        </w:rPr>
        <w:t>OIR-DOC-01</w:t>
      </w:r>
      <w:r>
        <w:t xml:space="preserve"> - REVIEW_COMPLETE_SUBMISSION_FORM_COMPLETION_PENDING (owner ruling A9.27): the owner has reviewed the previously unscreened RFP pages. The final submission must account for Part IV(A) Detailed Project Report (DPR); IV(B) Firm Essential Qualification Criteria; IV(C) Technical Capability Evaluation; IV(D) Industry Profile (firm letterhead where required, with supporting annexures); IV(E) Non-Disclosure Undertaking (letterhead); IV(F) Acceptance Letter (letterhead); IV(G) Eligibility Certificate (letterhead); IV(H) Undertaking-cum-Checklist (Submitted Yes/No and Annexure numbers). Controls: technical and financial bids separate; financial bid only in the provided format with the prescribed format / filename unmodified; no project cost / price information in the technical bid; uploads per the RFP submission requirements; the final IV(H) checklist reconciles the annexures actually submitted. Closes only when the final submission set is checked against these forms and the annexure numbers are populated (06_SUBMISSION_CHECKLIST.md). Submission-readiness item, not a physics / architecture gate. Clauses: -.</w:t>
      </w:r>
    </w:p>
    <w:p>
      <w:r>
        <w:t>Owner inputs of the earlier draft that the owner has decided since:</w:t>
      </w:r>
    </w:p>
    <w:p>
      <w:pPr>
        <w:pStyle w:val="ListBullet"/>
      </w:pPr>
      <w:r>
        <w:t>OIR-TEC-01 - Upstream-closure citation basis: RESOLVED by owner decision A9.24 item 9 ('Choose B': do not submit against bbc480c; re-freeze with the frozen 196-state design-state set and the empty robust upstream-set finding). The earlier F7/F8 design-state caveat no longer applies; the package cites the upstream results at the technical source only.</w:t>
      </w:r>
    </w:p>
    <w:p>
      <w:pPr>
        <w:pStyle w:val="ListBullet"/>
      </w:pPr>
      <w:r>
        <w:t>OIR-TEC-05 - Mass-closure position for the bid: RESOLVED by owner decisions A9.25 message 8 sections 6-8 and A9.26 message 2 sections 4-7 (requirement complete flight wet mass &lt; 40 kg, not relaxed; proposal design target; current provisional planning / evidence roll-up; MASS INCOMPLETE_EVIDENCE / NOT_YET_CLOSED; listed mass-closure actions). DISC-02 (wet / dry) stays recorded for DRDO clarification.</w:t>
      </w:r>
    </w:p>
    <w:p>
      <w:r>
        <w:t>Open readings recorded in the evidence base that affect the bid text: the DRDO clarifications DISC-02 (mass wet / dry),</w:t>
      </w:r>
    </w:p>
    <w:p>
      <w:r>
        <w:t>DISC-03 (indigenous content), DISC-05 ("Ignition Time"), DISC-07 (thrust split), DISC-09 (ENTEST levels)</w:t>
      </w:r>
    </w:p>
    <w:p>
      <w:r>
        <w:t>(</w:t>
      </w:r>
      <w:r>
        <w:rPr>
          <w:rFonts w:ascii="Consolas" w:hAnsi="Consolas"/>
        </w:rPr>
        <w:t>docs/requirements/rfp_official/rfp_registration_v1.json</w:t>
      </w:r>
      <w:r>
        <w:t xml:space="preserve"> </w:t>
      </w:r>
      <w:r>
        <w:rPr>
          <w:rFonts w:ascii="Consolas" w:hAnsi="Consolas"/>
        </w:rPr>
        <w:t>#/rvm_mapping</w:t>
      </w:r>
      <w:r>
        <w:t>). AG-15 (owner closure of the RVM re-base) is</w:t>
      </w:r>
    </w:p>
    <w:p>
      <w:r>
        <w:t>closed at the technical source (DETERMINING_EVIDENCE_PRESENT_NO_REMAINING_CONDITION); this freezes the requirement basis only, never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