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06 - Submission checklist: RFP Part IV(A)-(H) forms and submission controls</w:t>
      </w:r>
    </w:p>
    <w:p>
      <w:r>
        <w:t>Owner ruling A9.27 (</w:t>
      </w:r>
      <w:r>
        <w:rPr>
          <w:rFonts w:ascii="Consolas" w:hAnsi="Consolas"/>
        </w:rPr>
        <w:t>docs/decisions/OD_2026_10_05_A9_27_FINAL_BID_OWNER_RULINGS.md</w:t>
      </w:r>
      <w:r>
        <w:t>): OIR-DOC-01 =</w:t>
      </w:r>
    </w:p>
    <w:p>
      <w:r>
        <w:rPr>
          <w:b/>
        </w:rPr>
        <w:t>REVIEW_COMPLETE_SUBMISSION_FORM_COMPLETION_PENDING</w:t>
      </w:r>
      <w:r>
        <w:t>. The owner has reviewed the RFP pages that the repository does not</w:t>
      </w:r>
    </w:p>
    <w:p>
      <w:r>
        <w:t>transcribe. This sheet maps every Part IV form to its source and to the files of this technical package. It is a</w:t>
      </w:r>
    </w:p>
    <w:p>
      <w:r>
        <w:t>submission-readiness aid, not a physics or architecture gate. Technical source of every number in this package:</w:t>
      </w:r>
    </w:p>
    <w:p>
      <w:r>
        <w:rPr>
          <w:rFonts w:ascii="Consolas" w:hAnsi="Consolas"/>
        </w:rPr>
        <w:t>5eee4b8c82a9403b6bb82d5f8d324526f5d6399b</w:t>
      </w:r>
      <w:r>
        <w:t xml:space="preserve"> (package / freeze record </w:t>
      </w:r>
      <w:r>
        <w:rPr>
          <w:rFonts w:ascii="Consolas" w:hAnsi="Consolas"/>
        </w:rPr>
        <w:t>docs/bid/bid_technical_baseline_v2.json</w:t>
      </w:r>
      <w:r>
        <w:t>).</w:t>
      </w:r>
    </w:p>
    <w:p>
      <w:r>
        <w:rPr>
          <w:b/>
        </w:rPr>
        <w:t>What this sheet cannot do.</w:t>
      </w:r>
      <w:r>
        <w:t xml:space="preserve"> The repository holds no firm letterhead, signature, certificate, financial statement,</w:t>
      </w:r>
    </w:p>
    <w:p>
      <w:r>
        <w:t xml:space="preserve">staff list, facility record or uploaded-file list. "Submitted (Yes/No)" therefore stays </w:t>
      </w:r>
      <w:r>
        <w:rPr>
          <w:rFonts w:ascii="Consolas" w:hAnsi="Consolas"/>
        </w:rPr>
        <w:t>OWNER TO FILL</w:t>
      </w:r>
      <w:r>
        <w:t xml:space="preserve"> until the owner</w:t>
      </w:r>
    </w:p>
    <w:p>
      <w:r>
        <w:t>assembles the upload set, and the annexure numbers below are a PROPOSED numbering that the owner confirms or replaces when</w:t>
      </w:r>
    </w:p>
    <w:p>
      <w:r>
        <w:t>filling the Part IV(H) Undertaking-cum-Checklist. OIR-DOC-01 closes only when the final submission set has been checked</w:t>
      </w:r>
    </w:p>
    <w:p>
      <w:r>
        <w:t>against these forms and the IV(H) annexure numbers are populated.</w:t>
      </w:r>
    </w:p>
    <w:p>
      <w:pPr>
        <w:pStyle w:val="Heading2"/>
      </w:pPr>
      <w:r>
        <w:t>1. Part IV 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Part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Form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Format requirement (RFP)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Package files that support it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Proposed annexure no. (owner confirms)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Submitted (Yes/No)</w:t>
            </w:r>
          </w:p>
        </w:tc>
      </w:tr>
      <w:tr>
        <w:tc>
          <w:tcPr>
            <w:tcW w:type="dxa" w:w="1234"/>
          </w:tcPr>
          <w:p>
            <w:r>
              <w:t>IV(A)</w:t>
            </w:r>
          </w:p>
        </w:tc>
        <w:tc>
          <w:tcPr>
            <w:tcW w:type="dxa" w:w="1234"/>
          </w:tcPr>
          <w:p>
            <w:r>
              <w:t>Detailed Project Report (DPR)</w:t>
            </w:r>
          </w:p>
        </w:tc>
        <w:tc>
          <w:tcPr>
            <w:tcW w:type="dxa" w:w="1234"/>
          </w:tcPr>
          <w:p>
            <w:r>
              <w:t>RFP DPR format</w:t>
            </w:r>
          </w:p>
        </w:tc>
        <w:tc>
          <w:tcPr>
            <w:tcW w:type="dxa" w:w="1234"/>
          </w:tcPr>
          <w:p>
            <w:r>
              <w:t>owner assembles the DPR in the RFP format from this package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02_TECHNICAL_APPROACH.md</w:t>
            </w:r>
            <w:r>
              <w:t xml:space="preserve">, </w:t>
            </w:r>
            <w:r>
              <w:rPr>
                <w:rFonts w:ascii="Consolas" w:hAnsi="Consolas"/>
              </w:rPr>
              <w:t>03_DEVELOPMENT_AND_TEST_PLAN.md</w:t>
            </w:r>
            <w:r>
              <w:t xml:space="preserve">, </w:t>
            </w:r>
            <w:r>
              <w:rPr>
                <w:rFonts w:ascii="Consolas" w:hAnsi="Consolas"/>
              </w:rPr>
              <w:t>04_RISK_REGISTER.md</w:t>
            </w:r>
            <w:r>
              <w:t xml:space="preserve">, </w:t>
            </w:r>
            <w:r>
              <w:rPr>
                <w:rFonts w:ascii="Consolas" w:hAnsi="Consolas"/>
              </w:rPr>
              <w:t>01_COMPLIANCE_MATRIX.md</w:t>
            </w:r>
            <w:r>
              <w:t xml:space="preserve"> (and </w:t>
            </w:r>
            <w:r>
              <w:rPr>
                <w:rFonts w:ascii="Consolas" w:hAnsi="Consolas"/>
              </w:rPr>
              <w:t>docx/</w:t>
            </w:r>
            <w:r>
              <w:t>)</w:t>
            </w:r>
          </w:p>
        </w:tc>
        <w:tc>
          <w:tcPr>
            <w:tcW w:type="dxa" w:w="1234"/>
          </w:tcPr>
          <w:p>
            <w:r>
              <w:t>A-1 (DPR); A-1.1 compliance matrix; A-1.2 technical approach; A-1.3 development and test plan; A-1.4 risk register</w:t>
            </w:r>
          </w:p>
        </w:tc>
        <w:tc>
          <w:tcPr>
            <w:tcW w:type="dxa" w:w="1234"/>
          </w:tcPr>
          <w:p>
            <w:r>
              <w:t>OWNER TO FILL</w:t>
            </w:r>
          </w:p>
        </w:tc>
      </w:tr>
      <w:tr>
        <w:tc>
          <w:tcPr>
            <w:tcW w:type="dxa" w:w="1234"/>
          </w:tcPr>
          <w:p>
            <w:r>
              <w:t>IV(B)</w:t>
            </w:r>
          </w:p>
        </w:tc>
        <w:tc>
          <w:tcPr>
            <w:tcW w:type="dxa" w:w="1234"/>
          </w:tcPr>
          <w:p>
            <w:r>
              <w:t>Firm Essential Qualification Criteria</w:t>
            </w:r>
          </w:p>
        </w:tc>
        <w:tc>
          <w:tcPr>
            <w:tcW w:type="dxa" w:w="1234"/>
          </w:tcPr>
          <w:p>
            <w:r>
              <w:t>RFP format; supporting documents (e.g. CA-certified financial capability)</w:t>
            </w:r>
          </w:p>
        </w:tc>
        <w:tc>
          <w:tcPr>
            <w:tcW w:type="dxa" w:w="1234"/>
          </w:tcPr>
          <w:p>
            <w:r>
              <w:t>owner (OIR-ORG-02, OIR-ORG-03)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05_PROGRAMMATIC_SECTIONS.md</w:t>
            </w:r>
            <w:r>
              <w:t xml:space="preserve"> section 6 (lists what is required; holds no firm data)</w:t>
            </w:r>
          </w:p>
        </w:tc>
        <w:tc>
          <w:tcPr>
            <w:tcW w:type="dxa" w:w="1234"/>
          </w:tcPr>
          <w:p>
            <w:r>
              <w:t>B-1 .. B-n (one per criterion document)</w:t>
            </w:r>
          </w:p>
        </w:tc>
        <w:tc>
          <w:tcPr>
            <w:tcW w:type="dxa" w:w="1234"/>
          </w:tcPr>
          <w:p>
            <w:r>
              <w:t>OWNER TO FILL</w:t>
            </w:r>
          </w:p>
        </w:tc>
      </w:tr>
      <w:tr>
        <w:tc>
          <w:tcPr>
            <w:tcW w:type="dxa" w:w="1234"/>
          </w:tcPr>
          <w:p>
            <w:r>
              <w:t>IV(C)</w:t>
            </w:r>
          </w:p>
        </w:tc>
        <w:tc>
          <w:tcPr>
            <w:tcW w:type="dxa" w:w="1234"/>
          </w:tcPr>
          <w:p>
            <w:r>
              <w:t>Technical Capability Evaluation</w:t>
            </w:r>
          </w:p>
        </w:tc>
        <w:tc>
          <w:tcPr>
            <w:tcW w:type="dxa" w:w="1234"/>
          </w:tcPr>
          <w:p>
            <w:r>
              <w:t>RFP format</w:t>
            </w:r>
          </w:p>
        </w:tc>
        <w:tc>
          <w:tcPr>
            <w:tcW w:type="dxa" w:w="1234"/>
          </w:tcPr>
          <w:p>
            <w:r>
              <w:t>owner (completed projects, present TRL, bench-top demonstration; OIR-ORG-03)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05_PROGRAMMATIC_SECTIONS.md</w:t>
            </w:r>
            <w:r>
              <w:t xml:space="preserve"> section 6; </w:t>
            </w:r>
            <w:r>
              <w:rPr>
                <w:rFonts w:ascii="Consolas" w:hAnsi="Consolas"/>
              </w:rPr>
              <w:t>03_DEVELOPMENT_AND_TEST_PLAN.md</w:t>
            </w:r>
            <w:r>
              <w:t xml:space="preserve"> (planned evidence only - no Vyovrinda hardware test result exists in the repository)</w:t>
            </w:r>
          </w:p>
        </w:tc>
        <w:tc>
          <w:tcPr>
            <w:tcW w:type="dxa" w:w="1234"/>
          </w:tcPr>
          <w:p>
            <w:r>
              <w:t>C-1 .. C-n</w:t>
            </w:r>
          </w:p>
        </w:tc>
        <w:tc>
          <w:tcPr>
            <w:tcW w:type="dxa" w:w="1234"/>
          </w:tcPr>
          <w:p>
            <w:r>
              <w:t>OWNER TO FILL</w:t>
            </w:r>
          </w:p>
        </w:tc>
      </w:tr>
      <w:tr>
        <w:tc>
          <w:tcPr>
            <w:tcW w:type="dxa" w:w="1234"/>
          </w:tcPr>
          <w:p>
            <w:r>
              <w:t>IV(D)</w:t>
            </w:r>
          </w:p>
        </w:tc>
        <w:tc>
          <w:tcPr>
            <w:tcW w:type="dxa" w:w="1234"/>
          </w:tcPr>
          <w:p>
            <w:r>
              <w:t>Industry Profile</w:t>
            </w:r>
          </w:p>
        </w:tc>
        <w:tc>
          <w:tcPr>
            <w:tcW w:type="dxa" w:w="1234"/>
          </w:tcPr>
          <w:p>
            <w:r>
              <w:t>on firm letterhead where required, with the required supporting annexures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none (firm data)</w:t>
            </w:r>
          </w:p>
        </w:tc>
        <w:tc>
          <w:tcPr>
            <w:tcW w:type="dxa" w:w="1234"/>
          </w:tcPr>
          <w:p>
            <w:r>
              <w:t>D-1 (profile); D-1.x supporting annexures</w:t>
            </w:r>
          </w:p>
        </w:tc>
        <w:tc>
          <w:tcPr>
            <w:tcW w:type="dxa" w:w="1234"/>
          </w:tcPr>
          <w:p>
            <w:r>
              <w:t>OWNER TO FILL</w:t>
            </w:r>
          </w:p>
        </w:tc>
      </w:tr>
      <w:tr>
        <w:tc>
          <w:tcPr>
            <w:tcW w:type="dxa" w:w="1234"/>
          </w:tcPr>
          <w:p>
            <w:r>
              <w:t>IV(E)</w:t>
            </w:r>
          </w:p>
        </w:tc>
        <w:tc>
          <w:tcPr>
            <w:tcW w:type="dxa" w:w="1234"/>
          </w:tcPr>
          <w:p>
            <w:r>
              <w:t>Non-Disclosure Undertaking</w:t>
            </w:r>
          </w:p>
        </w:tc>
        <w:tc>
          <w:tcPr>
            <w:tcW w:type="dxa" w:w="1234"/>
          </w:tcPr>
          <w:p>
            <w:r>
              <w:t>on firm letterhead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E-1</w:t>
            </w:r>
          </w:p>
        </w:tc>
        <w:tc>
          <w:tcPr>
            <w:tcW w:type="dxa" w:w="1234"/>
          </w:tcPr>
          <w:p>
            <w:r>
              <w:t>OWNER TO FILL</w:t>
            </w:r>
          </w:p>
        </w:tc>
      </w:tr>
      <w:tr>
        <w:tc>
          <w:tcPr>
            <w:tcW w:type="dxa" w:w="1234"/>
          </w:tcPr>
          <w:p>
            <w:r>
              <w:t>IV(F)</w:t>
            </w:r>
          </w:p>
        </w:tc>
        <w:tc>
          <w:tcPr>
            <w:tcW w:type="dxa" w:w="1234"/>
          </w:tcPr>
          <w:p>
            <w:r>
              <w:t>Acceptance Letter</w:t>
            </w:r>
          </w:p>
        </w:tc>
        <w:tc>
          <w:tcPr>
            <w:tcW w:type="dxa" w:w="1234"/>
          </w:tcPr>
          <w:p>
            <w:r>
              <w:t>on firm letterhead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F-1</w:t>
            </w:r>
          </w:p>
        </w:tc>
        <w:tc>
          <w:tcPr>
            <w:tcW w:type="dxa" w:w="1234"/>
          </w:tcPr>
          <w:p>
            <w:r>
              <w:t>OWNER TO FILL</w:t>
            </w:r>
          </w:p>
        </w:tc>
      </w:tr>
      <w:tr>
        <w:tc>
          <w:tcPr>
            <w:tcW w:type="dxa" w:w="1234"/>
          </w:tcPr>
          <w:p>
            <w:r>
              <w:t>IV(G)</w:t>
            </w:r>
          </w:p>
        </w:tc>
        <w:tc>
          <w:tcPr>
            <w:tcW w:type="dxa" w:w="1234"/>
          </w:tcPr>
          <w:p>
            <w:r>
              <w:t>Eligibility Certificate</w:t>
            </w:r>
          </w:p>
        </w:tc>
        <w:tc>
          <w:tcPr>
            <w:tcW w:type="dxa" w:w="1234"/>
          </w:tcPr>
          <w:p>
            <w:r>
              <w:t>on firm letterhead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G-1</w:t>
            </w:r>
          </w:p>
        </w:tc>
        <w:tc>
          <w:tcPr>
            <w:tcW w:type="dxa" w:w="1234"/>
          </w:tcPr>
          <w:p>
            <w:r>
              <w:t>OWNER TO FILL</w:t>
            </w:r>
          </w:p>
        </w:tc>
      </w:tr>
      <w:tr>
        <w:tc>
          <w:tcPr>
            <w:tcW w:type="dxa" w:w="1234"/>
          </w:tcPr>
          <w:p>
            <w:r>
              <w:t>IV(H)</w:t>
            </w:r>
          </w:p>
        </w:tc>
        <w:tc>
          <w:tcPr>
            <w:tcW w:type="dxa" w:w="1234"/>
          </w:tcPr>
          <w:p>
            <w:r>
              <w:t>Undertaking-cum-Checklist</w:t>
            </w:r>
          </w:p>
        </w:tc>
        <w:tc>
          <w:tcPr>
            <w:tcW w:type="dxa" w:w="1234"/>
          </w:tcPr>
          <w:p>
            <w:r>
              <w:t>RFP format, including Submitted Yes/No and Annexure numbers</w:t>
            </w:r>
          </w:p>
        </w:tc>
        <w:tc>
          <w:tcPr>
            <w:tcW w:type="dxa" w:w="1234"/>
          </w:tcPr>
          <w:p>
            <w:r>
              <w:t>owner fills it last, from the actual upload set</w:t>
            </w:r>
          </w:p>
        </w:tc>
        <w:tc>
          <w:tcPr>
            <w:tcW w:type="dxa" w:w="1234"/>
          </w:tcPr>
          <w:p>
            <w:r>
              <w:t>this sheet (mapping only)</w:t>
            </w:r>
          </w:p>
        </w:tc>
        <w:tc>
          <w:tcPr>
            <w:tcW w:type="dxa" w:w="1234"/>
          </w:tcPr>
          <w:p>
            <w:r>
              <w:t>H-1</w:t>
            </w:r>
          </w:p>
        </w:tc>
        <w:tc>
          <w:tcPr>
            <w:tcW w:type="dxa" w:w="1234"/>
          </w:tcPr>
          <w:p>
            <w:r>
              <w:t>OWNER TO FILL</w:t>
            </w:r>
          </w:p>
        </w:tc>
      </w:tr>
    </w:tbl>
    <w:p>
      <w:pPr>
        <w:pStyle w:val="Heading2"/>
      </w:pPr>
      <w:r>
        <w:t>2. Submission controls (RFP; owner ruling A9.27)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this package meets it / what the owner must do</w:t>
            </w:r>
          </w:p>
        </w:tc>
      </w:tr>
      <w:tr>
        <w:tc>
          <w:tcPr>
            <w:tcW w:type="dxa" w:w="4320"/>
          </w:tcPr>
          <w:p>
            <w:r>
              <w:t>Technical and financial bids are separate</w:t>
            </w:r>
          </w:p>
        </w:tc>
        <w:tc>
          <w:tcPr>
            <w:tcW w:type="dxa" w:w="4320"/>
          </w:tcPr>
          <w:p>
            <w:r>
              <w:t xml:space="preserve">This package is the technical bid only; </w:t>
            </w:r>
            <w:r>
              <w:rPr>
                <w:rFonts w:ascii="Consolas" w:hAnsi="Consolas"/>
              </w:rPr>
              <w:t>05_PROGRAMMATIC_SECTIONS.md</w:t>
            </w:r>
            <w:r>
              <w:t xml:space="preserve"> section 5 defers all commercial content to the financial bid (OIR-COM-01).</w:t>
            </w:r>
          </w:p>
        </w:tc>
      </w:tr>
      <w:tr>
        <w:tc>
          <w:tcPr>
            <w:tcW w:type="dxa" w:w="4320"/>
          </w:tcPr>
          <w:p>
            <w:r>
              <w:t>Financial bid uses the provided format</w:t>
            </w:r>
          </w:p>
        </w:tc>
        <w:tc>
          <w:tcPr>
            <w:tcW w:type="dxa" w:w="4320"/>
          </w:tcPr>
          <w:p>
            <w:r>
              <w:t>Owner: use the RFP-provided financial format only.</w:t>
            </w:r>
          </w:p>
        </w:tc>
      </w:tr>
      <w:tr>
        <w:tc>
          <w:tcPr>
            <w:tcW w:type="dxa" w:w="4320"/>
          </w:tcPr>
          <w:p>
            <w:r>
              <w:t>Prescribed financial-bid format / filename not modified</w:t>
            </w:r>
          </w:p>
        </w:tc>
        <w:tc>
          <w:tcPr>
            <w:tcW w:type="dxa" w:w="4320"/>
          </w:tcPr>
          <w:p>
            <w:r>
              <w:t>Owner: keep the prescribed format and filename unchanged.</w:t>
            </w:r>
          </w:p>
        </w:tc>
      </w:tr>
      <w:tr>
        <w:tc>
          <w:tcPr>
            <w:tcW w:type="dxa" w:w="4320"/>
          </w:tcPr>
          <w:p>
            <w:r>
              <w:t>No project cost / price information in the technical bid</w:t>
            </w:r>
          </w:p>
        </w:tc>
        <w:tc>
          <w:tcPr>
            <w:tcW w:type="dxa" w:w="4320"/>
          </w:tcPr>
          <w:p>
            <w:r>
              <w:t xml:space="preserve">This package contains no price, cost estimate or currency amount (checked by </w:t>
            </w:r>
            <w:r>
              <w:rPr>
                <w:rFonts w:ascii="Consolas" w:hAnsi="Consolas"/>
              </w:rPr>
              <w:t>tests/test_bid_package.py</w:t>
            </w:r>
            <w:r>
              <w:t>); the RFP payment-milestone percentages are mentioned only as a commercial item deferred to the financial bid. The owner must keep firm documents attached to the technical bid free of price / cost information.</w:t>
            </w:r>
          </w:p>
        </w:tc>
      </w:tr>
      <w:tr>
        <w:tc>
          <w:tcPr>
            <w:tcW w:type="dxa" w:w="4320"/>
          </w:tcPr>
          <w:p>
            <w:r>
              <w:t>Uploads follow the RFP submission requirements</w:t>
            </w:r>
          </w:p>
        </w:tc>
        <w:tc>
          <w:tcPr>
            <w:tcW w:type="dxa" w:w="4320"/>
          </w:tcPr>
          <w:p>
            <w:r>
              <w:t>Owner: upload format, naming and size per the RFP instructions.</w:t>
            </w:r>
          </w:p>
        </w:tc>
      </w:tr>
      <w:tr>
        <w:tc>
          <w:tcPr>
            <w:tcW w:type="dxa" w:w="4320"/>
          </w:tcPr>
          <w:p>
            <w:r>
              <w:t>The final Part IV(H) checklist reconciles the annexures actually submitted</w:t>
            </w:r>
          </w:p>
        </w:tc>
        <w:tc>
          <w:tcPr>
            <w:tcW w:type="dxa" w:w="4320"/>
          </w:tcPr>
          <w:p>
            <w:r>
              <w:t>Owner: fill IV(H) from the final upload list; every annexure number in IV(H) must exist in the upload set and vice versa.</w:t>
            </w:r>
          </w:p>
        </w:tc>
      </w:tr>
    </w:tbl>
    <w:p>
      <w:pPr>
        <w:pStyle w:val="Heading2"/>
      </w:pPr>
      <w:r>
        <w:t>3. Final file-by-file completeness check (owner, before upload)</w:t>
      </w:r>
    </w:p>
    <w:p>
      <w:pPr>
        <w:pStyle w:val="ListBullet"/>
      </w:pPr>
      <w:r>
        <w:t xml:space="preserve">IV(A) DPR assembled in the RFP format; technical content consistent with </w:t>
      </w:r>
      <w:r>
        <w:rPr>
          <w:rFonts w:ascii="Consolas" w:hAnsi="Consolas"/>
        </w:rPr>
        <w:t>01</w:t>
      </w:r>
      <w:r>
        <w:t>-</w:t>
      </w:r>
      <w:r>
        <w:rPr>
          <w:rFonts w:ascii="Consolas" w:hAnsi="Consolas"/>
        </w:rPr>
        <w:t>04</w:t>
      </w:r>
      <w:r>
        <w:t xml:space="preserve"> at </w:t>
      </w:r>
      <w:r>
        <w:rPr>
          <w:rFonts w:ascii="Consolas" w:hAnsi="Consolas"/>
        </w:rPr>
        <w:t>5eee4b8</w:t>
      </w:r>
      <w:r>
        <w:t xml:space="preserve"> (no edits to numbers).</w:t>
      </w:r>
    </w:p>
    <w:p>
      <w:pPr>
        <w:pStyle w:val="ListBullet"/>
      </w:pPr>
      <w:r>
        <w:t>IV(B), IV(C) supporting documents attached and numbered.</w:t>
      </w:r>
    </w:p>
    <w:p>
      <w:pPr>
        <w:pStyle w:val="ListBullet"/>
      </w:pPr>
      <w:r>
        <w:t>IV(D) industry profile on letterhead with its annexures.</w:t>
      </w:r>
    </w:p>
    <w:p>
      <w:pPr>
        <w:pStyle w:val="ListBullet"/>
      </w:pPr>
      <w:r>
        <w:t>IV(E), IV(F), IV(G) on letterhead, signed.</w:t>
      </w:r>
    </w:p>
    <w:p>
      <w:pPr>
        <w:pStyle w:val="ListBullet"/>
      </w:pPr>
      <w:r>
        <w:t>IV(H) Undertaking-cum-Checklist filled: Submitted Yes/No and annexure numbers match the upload set.</w:t>
      </w:r>
    </w:p>
    <w:p>
      <w:pPr>
        <w:pStyle w:val="ListBullet"/>
      </w:pPr>
      <w:r>
        <w:t>No price / cost in any technical-bid file; financial bid only in the prescribed format and filename.</w:t>
      </w:r>
    </w:p>
    <w:p>
      <w:pPr>
        <w:pStyle w:val="ListBullet"/>
      </w:pPr>
      <w:r>
        <w:t xml:space="preserve">Internal working files are NOT uploaded (e.g. </w:t>
      </w:r>
      <w:r>
        <w:rPr>
          <w:rFonts w:ascii="Consolas" w:hAnsi="Consolas"/>
        </w:rPr>
        <w:t>docs/bid/OWNER_DECISION_BRIEF_P0_P1.md</w:t>
      </w:r>
      <w:r>
        <w:t>, decision records, this repository's audit and history files).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