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A4 - Risk register (DBF-1.2)</w:t>
      </w:r>
    </w:p>
    <w:p>
      <w:r>
        <w:rPr>
          <w:b/>
        </w:rPr>
        <w:t>Status: DRAFT_FOR_OWNER_REVIEW.</w:t>
      </w:r>
      <w:r>
        <w:t xml:space="preserve"> Design source: DBF-1.2, freeze commit </w:t>
      </w:r>
      <w:r>
        <w:rPr>
          <w:rFonts w:ascii="Consolas" w:hAnsi="Consolas"/>
        </w:rPr>
        <w:t>45492a8</w:t>
      </w:r>
      <w:r>
        <w:t xml:space="preserve"> (</w:t>
      </w:r>
      <w:r>
        <w:rPr>
          <w:rFonts w:ascii="Consolas" w:hAnsi="Consolas"/>
        </w:rPr>
        <w:t>45492a8ef12fba13d262695bbd19f3631e80f355</w:t>
      </w:r>
      <w:r>
        <w:t>),</w:t>
      </w:r>
    </w:p>
    <w:p>
      <w:r>
        <w:rPr>
          <w:rFonts w:ascii="Consolas" w:hAnsi="Consolas"/>
        </w:rPr>
        <w:t>docs/baseline/DBF-1.2/dbf1_2_risk_register_v1.json</w:t>
      </w:r>
      <w:r>
        <w:t>. Rule: an open verification item does not unfreeze the preliminary</w:t>
      </w:r>
    </w:p>
    <w:p>
      <w:r>
        <w:t xml:space="preserve">baseline; it is verified during the funded EM / QM programme (mitigation and closure point in </w:t>
      </w:r>
      <w:r>
        <w:rPr>
          <w:rFonts w:ascii="Consolas" w:hAnsi="Consolas"/>
        </w:rPr>
        <w:t>A3_VERIFICATION_PLAN.md</w:t>
      </w:r>
      <w:r>
        <w:t>).</w:t>
      </w:r>
    </w:p>
    <w:p>
      <w:pPr>
        <w:pStyle w:val="Heading2"/>
      </w:pPr>
      <w:r>
        <w:t>1. Open risks and verification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verification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MR-DCR001-01</w:t>
            </w:r>
          </w:p>
        </w:tc>
        <w:tc>
          <w:tcPr>
            <w:tcW w:type="dxa" w:w="1728"/>
          </w:tcPr>
          <w:p>
            <w:r>
              <w:t>mass closure: preliminary roll-up 39.948 kg wet; ~0.052 kg numerical headroom is NOT design margin</w:t>
            </w:r>
          </w:p>
        </w:tc>
        <w:tc>
          <w:tcPr>
            <w:tcW w:type="dxa" w:w="1728"/>
          </w:tcPr>
          <w:p>
            <w:r>
              <w:t>A9.41 mass risk</w:t>
            </w:r>
          </w:p>
        </w:tc>
        <w:tc>
          <w:tcPr>
            <w:tcW w:type="dxa" w:w="1728"/>
          </w:tcPr>
          <w:p>
            <w:r>
              <w:t>CBE / quotation / EM mass measurement; any mass growth needs a DCR before acceptance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VR-PPU-01</w:t>
            </w:r>
          </w:p>
        </w:tc>
        <w:tc>
          <w:tcPr>
            <w:tcW w:type="dxa" w:w="1728"/>
          </w:tcPr>
          <w:p>
            <w:r>
              <w:t>AL-07 PPU preliminary CBE 4.55 kg (5.46 kg MEV) confirmation</w:t>
            </w:r>
          </w:p>
        </w:tc>
        <w:tc>
          <w:tcPr>
            <w:tcW w:type="dxa" w:w="1728"/>
          </w:tcPr>
          <w:p>
            <w:r>
              <w:t>v6 component estimate, mostly assumed</w:t>
            </w:r>
          </w:p>
        </w:tc>
        <w:tc>
          <w:tcPr>
            <w:tcW w:type="dxa" w:w="1728"/>
          </w:tcPr>
          <w:p>
            <w:r>
              <w:t>early PPU design / quotation (RFQ3-HALLEL); revert to 6.0 kg floor gives ~40.57 kg wet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VR-XE-01</w:t>
            </w:r>
          </w:p>
        </w:tc>
        <w:tc>
          <w:tcPr>
            <w:tcW w:type="dxa" w:w="1728"/>
          </w:tcPr>
          <w:p>
            <w:r>
              <w:t>Xe tank MEOP / burst factor / quotation</w:t>
            </w:r>
          </w:p>
        </w:tc>
        <w:tc>
          <w:tcPr>
            <w:tcW w:type="dxa" w:w="1728"/>
          </w:tcPr>
          <w:p>
            <w:r>
              <w:t>XA9-28 / XA9-29 TBD; 1.25 L Ti sphere sized at 150 bar, burst factor 2</w:t>
            </w:r>
          </w:p>
        </w:tc>
        <w:tc>
          <w:tcPr>
            <w:tcW w:type="dxa" w:w="1728"/>
          </w:tcPr>
          <w:p>
            <w:r>
              <w:t>tank quotation with MEOP at 323 K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VR-CMP-01</w:t>
            </w:r>
          </w:p>
        </w:tc>
        <w:tc>
          <w:tcPr>
            <w:tcW w:type="dxa" w:w="1728"/>
          </w:tcPr>
          <w:p>
            <w:r>
              <w:t>compressor actual mass (7.767 kg MEV governing)</w:t>
            </w:r>
          </w:p>
        </w:tc>
        <w:tc>
          <w:tcPr>
            <w:tcW w:type="dxa" w:w="1728"/>
          </w:tcPr>
          <w:p>
            <w:r>
              <w:t>component estimates partly assumed</w:t>
            </w:r>
          </w:p>
        </w:tc>
        <w:tc>
          <w:tcPr>
            <w:tcW w:type="dxa" w:w="1728"/>
          </w:tcPr>
          <w:p>
            <w:r>
              <w:t>EM mass measurement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VR-CMP-02</w:t>
            </w:r>
          </w:p>
        </w:tc>
        <w:tc>
          <w:tcPr>
            <w:tcW w:type="dxa" w:w="1728"/>
          </w:tcPr>
          <w:p>
            <w:r>
              <w:t>compressor F6 / B7 transitional performance</w:t>
            </w:r>
          </w:p>
        </w:tc>
        <w:tc>
          <w:tcPr>
            <w:tcW w:type="dxa" w:w="1728"/>
          </w:tcPr>
          <w:p>
            <w:r>
              <w:t>F6 crosses 0.1 Pa, B7 transitional; not admitted</w:t>
            </w:r>
          </w:p>
        </w:tc>
        <w:tc>
          <w:tcPr>
            <w:tcW w:type="dxa" w:w="1728"/>
          </w:tcPr>
          <w:p>
            <w:r>
              <w:t>EM compressor characterisation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VR-CMP-03</w:t>
            </w:r>
          </w:p>
        </w:tc>
        <w:tc>
          <w:tcPr>
            <w:tcW w:type="dxa" w:w="1728"/>
          </w:tcPr>
          <w:p>
            <w:r>
              <w:t>Holweck coefficients</w:t>
            </w:r>
          </w:p>
        </w:tc>
        <w:tc>
          <w:tcPr>
            <w:tcW w:type="dxa" w:w="1728"/>
          </w:tcPr>
          <w:p>
            <w:r>
              <w:t>drag-channel form, coefficients uncited</w:t>
            </w:r>
          </w:p>
        </w:tc>
        <w:tc>
          <w:tcPr>
            <w:tcW w:type="dxa" w:w="1728"/>
          </w:tcPr>
          <w:p>
            <w:r>
              <w:t>EM test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VR-CMP-04</w:t>
            </w:r>
          </w:p>
        </w:tc>
        <w:tc>
          <w:tcPr>
            <w:tcW w:type="dxa" w:w="1728"/>
          </w:tcPr>
          <w:p>
            <w:r>
              <w:t>rotor growth / running clearance</w:t>
            </w:r>
          </w:p>
        </w:tc>
        <w:tc>
          <w:tcPr>
            <w:tcW w:type="dxa" w:w="1728"/>
          </w:tcPr>
          <w:p>
            <w:r>
              <w:t>drum growth 0.34-0.36 mm vs 0.3 mm running clearance</w:t>
            </w:r>
          </w:p>
        </w:tc>
        <w:tc>
          <w:tcPr>
            <w:tcW w:type="dxa" w:w="1728"/>
          </w:tcPr>
          <w:p>
            <w:r>
              <w:t>EM spin test, clearance design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VR-FEED-01</w:t>
            </w:r>
          </w:p>
        </w:tc>
        <w:tc>
          <w:tcPr>
            <w:tcW w:type="dxa" w:w="1728"/>
          </w:tcPr>
          <w:p>
            <w:r>
              <w:t>H1 distributor flow uniformity (+/-5 %)</w:t>
            </w:r>
          </w:p>
        </w:tc>
        <w:tc>
          <w:tcPr>
            <w:tcW w:type="dxa" w:w="1728"/>
          </w:tcPr>
          <w:p>
            <w:r>
              <w:t>preliminary interface requirement</w:t>
            </w:r>
          </w:p>
        </w:tc>
        <w:tc>
          <w:tcPr>
            <w:tcW w:type="dxa" w:w="1728"/>
          </w:tcPr>
          <w:p>
            <w:r>
              <w:t>EM flow-uniformity test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VR-HALL-01</w:t>
            </w:r>
          </w:p>
        </w:tc>
        <w:tc>
          <w:tcPr>
            <w:tcW w:type="dxa" w:w="1728"/>
          </w:tcPr>
          <w:p>
            <w:r>
              <w:t>air-Hall 26.8 km/s design-performance basis</w:t>
            </w:r>
          </w:p>
        </w:tc>
        <w:tc>
          <w:tcPr>
            <w:tcW w:type="dxa" w:w="1728"/>
          </w:tcPr>
          <w:p>
            <w:r>
              <w:t>PARAMETRIC / NOT_VALIDATED; Hall credible set empty</w:t>
            </w:r>
          </w:p>
        </w:tc>
        <w:tc>
          <w:tcPr>
            <w:tcW w:type="dxa" w:w="1728"/>
          </w:tcPr>
          <w:p>
            <w:r>
              <w:t>EM thrust measurement on N2 / air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VR-HALL-02</w:t>
            </w:r>
          </w:p>
        </w:tc>
        <w:tc>
          <w:tcPr>
            <w:tcW w:type="dxa" w:w="1728"/>
          </w:tcPr>
          <w:p>
            <w:r>
              <w:t>22 km/s sensitivity (0.545 mg/s, ~6.1 Pa setpoint)</w:t>
            </w:r>
          </w:p>
        </w:tc>
        <w:tc>
          <w:tcPr>
            <w:tcW w:type="dxa" w:w="1728"/>
          </w:tcPr>
          <w:p>
            <w:r>
              <w:t>sensitivity case</w:t>
            </w:r>
          </w:p>
        </w:tc>
        <w:tc>
          <w:tcPr>
            <w:tcW w:type="dxa" w:w="1728"/>
          </w:tcPr>
          <w:p>
            <w:r>
              <w:t>EM verification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VR-XE-02</w:t>
            </w:r>
          </w:p>
        </w:tc>
        <w:tc>
          <w:tcPr>
            <w:tcW w:type="dxa" w:w="1728"/>
          </w:tcPr>
          <w:p>
            <w:r>
              <w:t>Xe 25 mN power / performance</w:t>
            </w:r>
          </w:p>
        </w:tc>
        <w:tc>
          <w:tcPr>
            <w:tcW w:type="dxa" w:w="1728"/>
          </w:tcPr>
          <w:p>
            <w:r>
              <w:t>allocation &lt;= 876.1 W (nominal ICP) / &lt;= 747.5 W (+100 W RF) at 1,450 W; ~658 W RP-1 Xe result PARAMETRIC / NOT_VALIDATED</w:t>
            </w:r>
          </w:p>
        </w:tc>
        <w:tc>
          <w:tcPr>
            <w:tcW w:type="dxa" w:w="1728"/>
          </w:tcPr>
          <w:p>
            <w:r>
              <w:t>EM / QM thrust and power measurement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VR-PWR-01</w:t>
            </w:r>
          </w:p>
        </w:tc>
        <w:tc>
          <w:tcPr>
            <w:tcW w:type="dxa" w:w="1728"/>
          </w:tcPr>
          <w:p>
            <w:r>
              <w:t>AIR 12 mN bus under the P6 conservative non-discharge corner</w:t>
            </w:r>
          </w:p>
        </w:tc>
        <w:tc>
          <w:tcPr>
            <w:tcW w:type="dxa" w:w="1728"/>
          </w:tcPr>
          <w:p>
            <w:r>
              <w:t>P-12 conservative corner + 77 W compressor allowance = 1469.9 W (below the 1,500 W RFP limit; reference / conservative design values 1222.3 / 1263.1 W)</w:t>
            </w:r>
          </w:p>
        </w:tc>
        <w:tc>
          <w:tcPr>
            <w:tcW w:type="dxa" w:w="1728"/>
          </w:tcPr>
          <w:p>
            <w:r>
              <w:t>measured non-discharge loads (RF generator efficiency, ICP, magnets, housekeeping) on EM; corner exceedance managed by RF / altitude schedule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VR-HAR-01</w:t>
            </w:r>
          </w:p>
        </w:tc>
        <w:tc>
          <w:tcPr>
            <w:tcW w:type="dxa" w:w="1728"/>
          </w:tcPr>
          <w:p>
            <w:r>
              <w:t>routed harness mass</w:t>
            </w:r>
          </w:p>
        </w:tc>
        <w:tc>
          <w:tcPr>
            <w:tcW w:type="dxa" w:w="1728"/>
          </w:tcPr>
          <w:p>
            <w:r>
              <w:t>5/95 rule until routed</w:t>
            </w:r>
          </w:p>
        </w:tc>
        <w:tc>
          <w:tcPr>
            <w:tcW w:type="dxa" w:w="1728"/>
          </w:tcPr>
          <w:p>
            <w:r>
              <w:t>routed harness design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VR-AL09-01</w:t>
            </w:r>
          </w:p>
        </w:tc>
        <w:tc>
          <w:tcPr>
            <w:tcW w:type="dxa" w:w="1728"/>
          </w:tcPr>
          <w:p>
            <w:r>
              <w:t>AL-09 control-electronics CBE</w:t>
            </w:r>
          </w:p>
        </w:tc>
        <w:tc>
          <w:tcPr>
            <w:tcW w:type="dxa" w:w="1728"/>
          </w:tcPr>
          <w:p>
            <w:r>
              <w:t>1.0 kg owner allocation</w:t>
            </w:r>
          </w:p>
        </w:tc>
        <w:tc>
          <w:tcPr>
            <w:tcW w:type="dxa" w:w="1728"/>
          </w:tcPr>
          <w:p>
            <w:r>
              <w:t>controller design CBE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VR-AL10-01</w:t>
            </w:r>
          </w:p>
        </w:tc>
        <w:tc>
          <w:tcPr>
            <w:tcW w:type="dxa" w:w="1728"/>
          </w:tcPr>
          <w:p>
            <w:r>
              <w:t>AL-10 structural / thermal CBE</w:t>
            </w:r>
          </w:p>
        </w:tc>
        <w:tc>
          <w:tcPr>
            <w:tcW w:type="dxa" w:w="1728"/>
          </w:tcPr>
          <w:p>
            <w:r>
              <w:t>2.5 kg owner allocation</w:t>
            </w:r>
          </w:p>
        </w:tc>
        <w:tc>
          <w:tcPr>
            <w:tcW w:type="dxa" w:w="1728"/>
          </w:tcPr>
          <w:p>
            <w:r>
              <w:t>structural / thermal design CBE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VR-HOST-01</w:t>
            </w:r>
          </w:p>
        </w:tc>
        <w:tc>
          <w:tcPr>
            <w:tcW w:type="dxa" w:w="1728"/>
          </w:tcPr>
          <w:p>
            <w:r>
              <w:t>actual host C_D*A</w:t>
            </w:r>
          </w:p>
        </w:tc>
        <w:tc>
          <w:tcPr>
            <w:tcW w:type="dxa" w:w="1728"/>
          </w:tcPr>
          <w:p>
            <w:r>
              <w:t>IR-HOST-DRAG-01 reference 0.50 m2</w:t>
            </w:r>
          </w:p>
        </w:tc>
        <w:tc>
          <w:tcPr>
            <w:tcW w:type="dxa" w:w="1728"/>
          </w:tcPr>
          <w:p>
            <w:r>
              <w:t>host ICD at PDR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VR-EMQM-01</w:t>
            </w:r>
          </w:p>
        </w:tc>
        <w:tc>
          <w:tcPr>
            <w:tcW w:type="dxa" w:w="1728"/>
          </w:tcPr>
          <w:p>
            <w:r>
              <w:t>EM / QM AO, thermal, life and qualification tests</w:t>
            </w:r>
          </w:p>
        </w:tc>
        <w:tc>
          <w:tcPr>
            <w:tcW w:type="dxa" w:w="1728"/>
          </w:tcPr>
          <w:p>
            <w:r>
              <w:t>RFP-P19-04 / P19-06</w:t>
            </w:r>
          </w:p>
        </w:tc>
        <w:tc>
          <w:tcPr>
            <w:tcW w:type="dxa" w:w="1728"/>
          </w:tcPr>
          <w:p>
            <w:r>
              <w:t>EM / QM programme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</w:tbl>
    <w:p>
      <w:pPr>
        <w:pStyle w:val="Heading2"/>
      </w:pPr>
      <w:r>
        <w:t>2. Mass risk MR-DCR001-01</w:t>
      </w:r>
    </w:p>
    <w:p>
      <w:r>
        <w:rPr>
          <w:b/>
        </w:rPr>
        <w:t>Preliminary roll-up ≈39.95 kg wet (&lt;40 kg); approximately 0.05 kg numerical headroom is carried as open mass risk MR-DCR001-01 and shall not be consumed as design margin.</w:t>
      </w:r>
    </w:p>
    <w:p>
      <w:r>
        <w:t>Drivers:</w:t>
      </w:r>
    </w:p>
    <w:p>
      <w:pPr>
        <w:pStyle w:val="ListBullet"/>
      </w:pPr>
      <w:r>
        <w:t>AL-07 PPU preliminary CBE 4.55 kg (5.46 kg MEV) largely assumed; reverting to the 6.0 kg floor gives 40.57 kg wet</w:t>
      </w:r>
    </w:p>
    <w:p>
      <w:pPr>
        <w:pStyle w:val="ListBullet"/>
      </w:pPr>
      <w:r>
        <w:t>AL-08 tank / plumbing / thermal estimates (assumed / model-derived) and Xe MEOP / burst factor TBD (XA9-28 / XA9-29)</w:t>
      </w:r>
    </w:p>
    <w:p>
      <w:pPr>
        <w:pStyle w:val="ListBullet"/>
      </w:pPr>
      <w:r>
        <w:t>AL-01 / AL-02 integration itemization assumed; compressor component estimates (bearings, motors, drive, lock) assumed</w:t>
      </w:r>
    </w:p>
    <w:p>
      <w:pPr>
        <w:pStyle w:val="ListBullet"/>
      </w:pPr>
      <w:r>
        <w:t>AL-09 1.0 kg and AL-10 2.5 kg owner allocations not yet CBEs; harness by the 5/95 rule until routed</w:t>
      </w:r>
    </w:p>
    <w:p>
      <w:pPr>
        <w:pStyle w:val="ListBullet"/>
      </w:pPr>
      <w:r>
        <w:t>the 39.4 kg preferred target is missed by 0.548 kg</w:t>
      </w:r>
    </w:p>
    <w:p>
      <w:r>
        <w:t>Mitigation:</w:t>
      </w:r>
    </w:p>
    <w:p>
      <w:pPr>
        <w:pStyle w:val="ListBullet"/>
      </w:pPr>
      <w:r>
        <w:t>early AL-07 PPU design / quotation (RFQ3-HALLEL) replacing the preliminary CBE</w:t>
      </w:r>
    </w:p>
    <w:p>
      <w:pPr>
        <w:pStyle w:val="ListBullet"/>
      </w:pPr>
      <w:r>
        <w:t>AL-08 tank quotation with MEOP at 323 K and burst factor fixed</w:t>
      </w:r>
    </w:p>
    <w:p>
      <w:pPr>
        <w:pStyle w:val="ListBullet"/>
      </w:pPr>
      <w:r>
        <w:t>compressor EM mass measurement (rotor rows, drums, Holweck band, bearings, motors, drive)</w:t>
      </w:r>
    </w:p>
    <w:p>
      <w:pPr>
        <w:pStyle w:val="ListBullet"/>
      </w:pPr>
      <w:r>
        <w:t>routed harness replacing the 5/95 rule</w:t>
      </w:r>
    </w:p>
    <w:p>
      <w:pPr>
        <w:pStyle w:val="ListBullet"/>
      </w:pPr>
      <w:r>
        <w:t>any mass growth triggers a DCR before acceptance; the ranked closure levers stay PPU, Xe hardware, intake structure, structure / thermal</w:t>
      </w:r>
    </w:p>
    <w:p>
      <w:pPr>
        <w:pStyle w:val="Heading2"/>
      </w:pPr>
      <w:r>
        <w:t>3. Programme-level risks carried with the baseline</w:t>
      </w:r>
    </w:p>
    <w:p>
      <w:r>
        <w:t>These items are not DBF-1.2 records. They are stated with their governing record.</w:t>
      </w:r>
    </w:p>
    <w:p>
      <w:pPr>
        <w:pStyle w:val="ListBullet"/>
      </w:pPr>
      <w:r>
        <w:rPr>
          <w:b/>
        </w:rPr>
        <w:t>Hall-transport validation (gate 3) FAIL, credible transport set empty.</w:t>
      </w:r>
      <w:r>
        <w:t xml:space="preserve"> Air and Xe Hall performance rests on</w:t>
      </w:r>
    </w:p>
    <w:p>
      <w:r>
        <w:t xml:space="preserve">  design allocations and PARAMETRIC / NOT_VALIDATED model values until the EM measurements (VR-HALL-01, VR-XE-02).</w:t>
      </w:r>
    </w:p>
    <w:p>
      <w:pPr>
        <w:pStyle w:val="ListBullet"/>
      </w:pPr>
      <w:r>
        <w:rPr>
          <w:b/>
        </w:rPr>
        <w:t>ICP neutralizer closure: BLOCKED BY SPECIFIC MISSING EVIDENCE</w:t>
      </w:r>
      <w:r>
        <w:t xml:space="preserve"> (</w:t>
      </w:r>
      <w:r>
        <w:rPr>
          <w:rFonts w:ascii="Consolas" w:hAnsi="Consolas"/>
        </w:rPr>
        <w:t>docs/closure/icp/icp_closure_v1.json</w:t>
      </w:r>
      <w:r>
        <w:t xml:space="preserve"> </w:t>
      </w:r>
      <w:r>
        <w:rPr>
          <w:rFonts w:ascii="Consolas" w:hAnsi="Consolas"/>
        </w:rPr>
        <w:t>#/closure</w:t>
      </w:r>
      <w:r>
        <w:t>). I_e,cap: INCOMPLETE_EVIDENCE in every mode (model withheld; see model_evaluation_M_A);</w:t>
      </w:r>
    </w:p>
    <w:p>
      <w:r>
        <w:t xml:space="preserve">  GNG-ICP-01: NOT_EVALUATED (criteria PENDING_OWNER_ACCEPTANCE).</w:t>
      </w:r>
    </w:p>
    <w:p>
      <w:pPr>
        <w:pStyle w:val="ListBullet"/>
      </w:pPr>
      <w:r>
        <w:rPr>
          <w:b/>
        </w:rPr>
        <w:t>Thermal closure: DCR REQUIRED</w:t>
      </w:r>
      <w:r>
        <w:t xml:space="preserve"> (</w:t>
      </w:r>
      <w:r>
        <w:rPr>
          <w:rFonts w:ascii="Consolas" w:hAnsi="Consolas"/>
        </w:rPr>
        <w:t>docs/closure/thermal/thermal_closure_v2.json</w:t>
      </w:r>
      <w:r>
        <w:t xml:space="preserve"> </w:t>
      </w:r>
      <w:r>
        <w:rPr>
          <w:rFonts w:ascii="Consolas" w:hAnsi="Consolas"/>
        </w:rPr>
        <w:t>#/closure</w:t>
      </w:r>
      <w:r>
        <w:t>). DCR nodes: N_MATCH;</w:t>
      </w:r>
    </w:p>
    <w:p>
      <w:r>
        <w:t xml:space="preserve">  requirement nodes: H1_ANODE, N_ANTENNA, N_COLLECTOR, N_HOUSING, N_MOUNT, R_HALL.</w:t>
      </w:r>
    </w:p>
    <w:p>
      <w:pPr>
        <w:pStyle w:val="ListBullet"/>
      </w:pPr>
      <w:r>
        <w:rPr>
          <w:b/>
        </w:rPr>
        <w:t>DCR-DBF1-003 (open, not applied to DBF-1.2): REQUESTED_EVALUATION_TO_BE_PREREGISTERED.</w:t>
      </w:r>
      <w:r>
        <w:t xml:space="preserve"> Items: DBF1-RF-03 (co-located adjustable match); DBF1-TH-01 (N_MATCH node, follows DBF1-RF-03). Reason: co-located match N_MATCH 147-184 degC in every preregistered hot case vs 60 degC ceiling (margin -124 K), fails at P_fwd = 0 W and at every radiator grid point: conduction from the ICP bracket (docs/closure/thermal/thermal_closure_v2.json sha 06b26333...).</w:t>
      </w:r>
    </w:p>
    <w:p>
      <w:r>
        <w:t xml:space="preserve">  Routes: R-1 no-DCR: thermal isolation + dedicated radiator for the match (if it closes, DCR-DBF1-003 is withdrawn); R-2 DCR: relocate the match to the generator side. Both routes are evaluated under one preregistration; if route R-2 is chosen, DBF1-RF-03</w:t>
      </w:r>
    </w:p>
    <w:p>
      <w:r>
        <w:t xml:space="preserve">  changes through a new baseline version.</w:t>
      </w:r>
    </w:p>
    <w:p>
      <w:pPr>
        <w:pStyle w:val="ListBullet"/>
      </w:pPr>
      <w:r>
        <w:rPr>
          <w:b/>
        </w:rPr>
        <w:t>Milestone-4 exit criterion</w:t>
      </w:r>
      <w:r>
        <w:t xml:space="preserve"> (qualified thruster with O and N2, RFP-P20-03) depends on the items above and on</w:t>
      </w:r>
    </w:p>
    <w:p>
      <w:r>
        <w:t xml:space="preserve">  atomic-O evidence.</w:t>
      </w:r>
    </w:p>
    <w:p>
      <w:pPr>
        <w:pStyle w:val="Heading2"/>
      </w:pPr>
      <w:r>
        <w:t>4. Baseline deficiencies (DBF-1.2 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DBF-1.2 status</w:t>
            </w:r>
          </w:p>
        </w:tc>
      </w:tr>
      <w:tr>
        <w:tc>
          <w:tcPr>
            <w:tcW w:type="dxa" w:w="2880"/>
          </w:tcPr>
          <w:p>
            <w:r>
              <w:t>DBF1-BD-01</w:t>
            </w:r>
          </w:p>
        </w:tc>
        <w:tc>
          <w:tcPr>
            <w:tcW w:type="dxa" w:w="2880"/>
          </w:tcPr>
          <w:p>
            <w:r>
              <w:t>DESIGN_VARIABLE_LIMIT (A9.35: A4-REG-01 open, no registered envelope bound)</w:t>
            </w:r>
          </w:p>
        </w:tc>
        <w:tc>
          <w:tcPr>
            <w:tcW w:type="dxa" w:w="2880"/>
          </w:tcPr>
          <w:p>
            <w:r>
              <w:t>SUPERSEDED_BY_DCR-DBF1-001</w:t>
            </w:r>
          </w:p>
        </w:tc>
      </w:tr>
      <w:tr>
        <w:tc>
          <w:tcPr>
            <w:tcW w:type="dxa" w:w="2880"/>
          </w:tcPr>
          <w:p>
            <w:r>
              <w:t>DBF1-BD-02</w:t>
            </w:r>
          </w:p>
        </w:tc>
        <w:tc>
          <w:tcPr>
            <w:tcW w:type="dxa" w:w="2880"/>
          </w:tcPr>
          <w:p>
            <w:r>
              <w:t>DESIGN_VARIABLE_LIMIT</w:t>
            </w:r>
          </w:p>
        </w:tc>
        <w:tc>
          <w:tcPr>
            <w:tcW w:type="dxa" w:w="2880"/>
          </w:tcPr>
          <w:p>
            <w:r>
              <w:t>SUPERSEDED_BY_DCR-DBF1-001</w:t>
            </w:r>
          </w:p>
        </w:tc>
      </w:tr>
      <w:tr>
        <w:tc>
          <w:tcPr>
            <w:tcW w:type="dxa" w:w="2880"/>
          </w:tcPr>
          <w:p>
            <w:r>
              <w:t>DBF1-BD-03</w:t>
            </w:r>
          </w:p>
        </w:tc>
        <w:tc>
          <w:tcPr>
            <w:tcW w:type="dxa" w:w="2880"/>
          </w:tcPr>
          <w:p>
            <w:r>
              <w:t>DESIGN_VARIABLE_LIMIT</w:t>
            </w:r>
          </w:p>
        </w:tc>
        <w:tc>
          <w:tcPr>
            <w:tcW w:type="dxa" w:w="2880"/>
          </w:tcPr>
          <w:p>
            <w:r>
              <w:t>SUPERSEDED_BY_DCR-DBF1-001</w:t>
            </w:r>
          </w:p>
        </w:tc>
      </w:tr>
      <w:tr>
        <w:tc>
          <w:tcPr>
            <w:tcW w:type="dxa" w:w="2880"/>
          </w:tcPr>
          <w:p>
            <w:r>
              <w:t>DBF1-BD-04</w:t>
            </w:r>
          </w:p>
        </w:tc>
        <w:tc>
          <w:tcPr>
            <w:tcW w:type="dxa" w:w="2880"/>
          </w:tcPr>
          <w:p>
            <w:r>
              <w:t>MISSING_EVIDENCE (no CBE) / DESIGN_VARIABLE_LIMIT (mass-closure actions MCA)</w:t>
            </w:r>
          </w:p>
        </w:tc>
        <w:tc>
          <w:tcPr>
            <w:tcW w:type="dxa" w:w="2880"/>
          </w:tcPr>
          <w:p>
            <w:r>
              <w:t>OPEN_AS_MASS_RISK_MR-DCR001-01</w:t>
            </w:r>
          </w:p>
        </w:tc>
      </w:tr>
      <w:tr>
        <w:tc>
          <w:tcPr>
            <w:tcW w:type="dxa" w:w="2880"/>
          </w:tcPr>
          <w:p>
            <w:r>
              <w:t>DBF1-BD-05</w:t>
            </w:r>
          </w:p>
        </w:tc>
        <w:tc>
          <w:tcPr>
            <w:tcW w:type="dxa" w:w="2880"/>
          </w:tcPr>
          <w:p>
            <w:r>
              <w:t>MISSING_EVIDENCE</w:t>
            </w:r>
          </w:p>
        </w:tc>
        <w:tc>
          <w:tcPr>
            <w:tcW w:type="dxa" w:w="2880"/>
          </w:tcPr>
          <w:p>
            <w:r>
              <w:t>CLOSED_BY_DCR-DBF1-002</w:t>
            </w:r>
          </w:p>
        </w:tc>
      </w:tr>
      <w:tr>
        <w:tc>
          <w:tcPr>
            <w:tcW w:type="dxa" w:w="2880"/>
          </w:tcPr>
          <w:p>
            <w:r>
              <w:t>DBF1-BD-06</w:t>
            </w:r>
          </w:p>
        </w:tc>
        <w:tc>
          <w:tcPr>
            <w:tcW w:type="dxa" w:w="2880"/>
          </w:tcPr>
          <w:p>
            <w:r>
              <w:t>MISSING_EVIDENCE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