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A5F"/>
          <w:sz w:val="52"/>
        </w:rPr>
        <w:br/>
        <w:br/>
        <w:t>UNIFIED HEALTHCARE &amp;</w:t>
        <w:br/>
        <w:t>LIFE-SCIENCES SaaS PLATFORM</w:t>
      </w:r>
    </w:p>
    <w:p>
      <w:pPr>
        <w:jc w:val="center"/>
      </w:pPr>
      <w:r>
        <w:rPr>
          <w:sz w:val="28"/>
        </w:rPr>
        <w:t>Detailed Project Report (DPR) &amp; Product Requirements Baseline</w:t>
      </w:r>
    </w:p>
    <w:p>
      <w:pPr>
        <w:jc w:val="center"/>
      </w:pPr>
      <w:r>
        <w:rPr>
          <w:sz w:val="24"/>
        </w:rPr>
        <w:br/>
        <w:t>Hospital • Specialty EMR • SCADA/BMS • Pharmacy • Pharma Supply Chain • Diagnostics • Insurance/NHCX • HR &amp; Payroll • Patient Super-App</w:t>
      </w:r>
    </w:p>
    <w:p>
      <w:pPr>
        <w:jc w:val="center"/>
      </w:pPr>
      <w:r>
        <w:rPr>
          <w:sz w:val="21"/>
        </w:rPr>
        <w:br/>
        <w:t>Technology Baseline: Go + Clean Architecture + Protobuf/ConnectRPC + sqlc/PostgreSQL | Rust AI/ML | Svelte/SvelteKit Web | Flutter Mobile</w:t>
      </w:r>
    </w:p>
    <w:p>
      <w:pPr>
        <w:jc w:val="center"/>
      </w:pPr>
      <w:r>
        <w:rPr>
          <w:i/>
        </w:rPr>
        <w:br/>
        <w:t>Version 2.0 — September 2026</w:t>
        <w:br/>
        <w:t>Prepared as a product, engineering, implementation and commercial planning baseline.</w:t>
      </w:r>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D9EAF7"/>
            <w:vAlign w:val="center"/>
            <w:tcMar>
              <w:top w:w="60" w:type="dxa"/>
              <w:start w:w="60" w:type="dxa"/>
              <w:bottom w:w="60" w:type="dxa"/>
              <w:end w:w="60" w:type="dxa"/>
            </w:tcMar>
          </w:tcPr>
          <w:p>
            <w:r>
              <w:rPr>
                <w:b/>
                <w:sz w:val="16"/>
              </w:rPr>
              <w:t>Field</w:t>
            </w:r>
          </w:p>
        </w:tc>
        <w:tc>
          <w:tcPr>
            <w:tcW w:type="dxa" w:w="8352"/>
            <w:shd w:fill="D9EAF7"/>
            <w:vAlign w:val="center"/>
            <w:tcMar>
              <w:top w:w="60" w:type="dxa"/>
              <w:start w:w="60" w:type="dxa"/>
              <w:bottom w:w="60" w:type="dxa"/>
              <w:end w:w="60" w:type="dxa"/>
            </w:tcMar>
          </w:tcPr>
          <w:p>
            <w:r>
              <w:rPr>
                <w:b/>
                <w:sz w:val="16"/>
              </w:rPr>
              <w:t>Value</w:t>
            </w:r>
          </w:p>
        </w:tc>
      </w:tr>
      <w:tr>
        <w:tc>
          <w:tcPr>
            <w:tcW w:type="dxa" w:w="2448"/>
            <w:vAlign w:val="top"/>
            <w:tcMar>
              <w:top w:w="60" w:type="dxa"/>
              <w:start w:w="60" w:type="dxa"/>
              <w:bottom w:w="60" w:type="dxa"/>
              <w:end w:w="60" w:type="dxa"/>
            </w:tcMar>
          </w:tcPr>
          <w:p>
            <w:pPr>
              <w:spacing w:after="20"/>
            </w:pPr>
            <w:r>
              <w:rPr>
                <w:sz w:val="16"/>
              </w:rPr>
              <w:t>Document</w:t>
            </w:r>
          </w:p>
        </w:tc>
        <w:tc>
          <w:tcPr>
            <w:tcW w:type="dxa" w:w="8352"/>
            <w:vAlign w:val="top"/>
            <w:tcMar>
              <w:top w:w="60" w:type="dxa"/>
              <w:start w:w="60" w:type="dxa"/>
              <w:bottom w:w="60" w:type="dxa"/>
              <w:end w:w="60" w:type="dxa"/>
            </w:tcMar>
          </w:tcPr>
          <w:p>
            <w:pPr>
              <w:spacing w:after="20"/>
            </w:pPr>
            <w:r>
              <w:rPr>
                <w:sz w:val="16"/>
              </w:rPr>
              <w:t>Unified Healthcare &amp; Life-Sciences SaaS Platform — Detailed Project Report</w:t>
            </w:r>
          </w:p>
        </w:tc>
      </w:tr>
      <w:tr>
        <w:tc>
          <w:tcPr>
            <w:tcW w:type="dxa" w:w="2448"/>
            <w:vAlign w:val="top"/>
            <w:tcMar>
              <w:top w:w="60" w:type="dxa"/>
              <w:start w:w="60" w:type="dxa"/>
              <w:bottom w:w="60" w:type="dxa"/>
              <w:end w:w="60" w:type="dxa"/>
            </w:tcMar>
          </w:tcPr>
          <w:p>
            <w:pPr>
              <w:spacing w:after="20"/>
            </w:pPr>
            <w:r>
              <w:rPr>
                <w:sz w:val="16"/>
              </w:rPr>
              <w:t>Version</w:t>
            </w:r>
          </w:p>
        </w:tc>
        <w:tc>
          <w:tcPr>
            <w:tcW w:type="dxa" w:w="8352"/>
            <w:vAlign w:val="top"/>
            <w:tcMar>
              <w:top w:w="60" w:type="dxa"/>
              <w:start w:w="60" w:type="dxa"/>
              <w:bottom w:w="60" w:type="dxa"/>
              <w:end w:w="60" w:type="dxa"/>
            </w:tcMar>
          </w:tcPr>
          <w:p>
            <w:r>
              <w:t>2.0</w:t>
            </w:r>
          </w:p>
        </w:tc>
      </w:tr>
      <w:tr>
        <w:tc>
          <w:tcPr>
            <w:tcW w:type="dxa" w:w="2448"/>
            <w:vAlign w:val="top"/>
            <w:tcMar>
              <w:top w:w="60" w:type="dxa"/>
              <w:start w:w="60" w:type="dxa"/>
              <w:bottom w:w="60" w:type="dxa"/>
              <w:end w:w="60" w:type="dxa"/>
            </w:tcMar>
          </w:tcPr>
          <w:p>
            <w:pPr>
              <w:spacing w:after="20"/>
            </w:pPr>
            <w:r>
              <w:rPr>
                <w:sz w:val="16"/>
              </w:rPr>
              <w:t>Date</w:t>
            </w:r>
          </w:p>
        </w:tc>
        <w:tc>
          <w:tcPr>
            <w:tcW w:type="dxa" w:w="8352"/>
            <w:vAlign w:val="top"/>
            <w:tcMar>
              <w:top w:w="60" w:type="dxa"/>
              <w:start w:w="60" w:type="dxa"/>
              <w:bottom w:w="60" w:type="dxa"/>
              <w:end w:w="60" w:type="dxa"/>
            </w:tcMar>
          </w:tcPr>
          <w:p>
            <w:pPr>
              <w:spacing w:after="20"/>
            </w:pPr>
            <w:r>
              <w:rPr>
                <w:sz w:val="16"/>
              </w:rPr>
              <w:t>September 2026</w:t>
            </w:r>
          </w:p>
        </w:tc>
      </w:tr>
      <w:tr>
        <w:tc>
          <w:tcPr>
            <w:tcW w:type="dxa" w:w="2448"/>
            <w:vAlign w:val="top"/>
            <w:tcMar>
              <w:top w:w="60" w:type="dxa"/>
              <w:start w:w="60" w:type="dxa"/>
              <w:bottom w:w="60" w:type="dxa"/>
              <w:end w:w="60" w:type="dxa"/>
            </w:tcMar>
          </w:tcPr>
          <w:p>
            <w:pPr>
              <w:spacing w:after="20"/>
            </w:pPr>
            <w:r>
              <w:rPr>
                <w:sz w:val="16"/>
              </w:rPr>
              <w:t>Purpose</w:t>
            </w:r>
          </w:p>
        </w:tc>
        <w:tc>
          <w:tcPr>
            <w:tcW w:type="dxa" w:w="8352"/>
            <w:vAlign w:val="top"/>
            <w:tcMar>
              <w:top w:w="60" w:type="dxa"/>
              <w:start w:w="60" w:type="dxa"/>
              <w:bottom w:w="60" w:type="dxa"/>
              <w:end w:w="60" w:type="dxa"/>
            </w:tcMar>
          </w:tcPr>
          <w:p>
            <w:pPr>
              <w:spacing w:after="20"/>
            </w:pPr>
            <w:r>
              <w:rPr>
                <w:sz w:val="16"/>
              </w:rPr>
              <w:t>Product strategy, requirements baseline, architecture, implementation roadmap, staffing, costing, deployment and acceptance planning.</w:t>
            </w:r>
          </w:p>
        </w:tc>
      </w:tr>
      <w:tr>
        <w:tc>
          <w:tcPr>
            <w:tcW w:type="dxa" w:w="2448"/>
            <w:vAlign w:val="top"/>
            <w:tcMar>
              <w:top w:w="60" w:type="dxa"/>
              <w:start w:w="60" w:type="dxa"/>
              <w:bottom w:w="60" w:type="dxa"/>
              <w:end w:w="60" w:type="dxa"/>
            </w:tcMar>
          </w:tcPr>
          <w:p>
            <w:pPr>
              <w:spacing w:after="20"/>
            </w:pPr>
            <w:r>
              <w:rPr>
                <w:sz w:val="16"/>
              </w:rPr>
              <w:t>Primary delivery model</w:t>
            </w:r>
          </w:p>
        </w:tc>
        <w:tc>
          <w:tcPr>
            <w:tcW w:type="dxa" w:w="8352"/>
            <w:vAlign w:val="top"/>
            <w:tcMar>
              <w:top w:w="60" w:type="dxa"/>
              <w:start w:w="60" w:type="dxa"/>
              <w:bottom w:w="60" w:type="dxa"/>
              <w:end w:w="60" w:type="dxa"/>
            </w:tcMar>
          </w:tcPr>
          <w:p>
            <w:pPr>
              <w:spacing w:after="20"/>
            </w:pPr>
            <w:r>
              <w:rPr>
                <w:sz w:val="16"/>
              </w:rPr>
              <w:t>Multi-tenant SaaS with enterprise dedicated-tenant and private/on-prem/hybrid deployment options.</w:t>
            </w:r>
          </w:p>
        </w:tc>
      </w:tr>
      <w:tr>
        <w:tc>
          <w:tcPr>
            <w:tcW w:type="dxa" w:w="2448"/>
            <w:vAlign w:val="top"/>
            <w:tcMar>
              <w:top w:w="60" w:type="dxa"/>
              <w:start w:w="60" w:type="dxa"/>
              <w:bottom w:w="60" w:type="dxa"/>
              <w:end w:w="60" w:type="dxa"/>
            </w:tcMar>
          </w:tcPr>
          <w:p>
            <w:pPr>
              <w:spacing w:after="20"/>
            </w:pPr>
            <w:r>
              <w:rPr>
                <w:sz w:val="16"/>
              </w:rPr>
              <w:t>Web technology</w:t>
            </w:r>
          </w:p>
        </w:tc>
        <w:tc>
          <w:tcPr>
            <w:tcW w:type="dxa" w:w="8352"/>
            <w:vAlign w:val="top"/>
            <w:tcMar>
              <w:top w:w="60" w:type="dxa"/>
              <w:start w:w="60" w:type="dxa"/>
              <w:bottom w:w="60" w:type="dxa"/>
              <w:end w:w="60" w:type="dxa"/>
            </w:tcMar>
          </w:tcPr>
          <w:p>
            <w:pPr>
              <w:spacing w:after="20"/>
            </w:pPr>
            <w:r>
              <w:rPr>
                <w:sz w:val="16"/>
              </w:rPr>
              <w:t>Svelte / SvelteKit for all browser-based portals and operational applications.</w:t>
            </w:r>
          </w:p>
        </w:tc>
      </w:tr>
      <w:tr>
        <w:tc>
          <w:tcPr>
            <w:tcW w:type="dxa" w:w="2448"/>
            <w:vAlign w:val="top"/>
            <w:tcMar>
              <w:top w:w="60" w:type="dxa"/>
              <w:start w:w="60" w:type="dxa"/>
              <w:bottom w:w="60" w:type="dxa"/>
              <w:end w:w="60" w:type="dxa"/>
            </w:tcMar>
          </w:tcPr>
          <w:p>
            <w:pPr>
              <w:spacing w:after="20"/>
            </w:pPr>
            <w:r>
              <w:rPr>
                <w:sz w:val="16"/>
              </w:rPr>
              <w:t>Mobile technology</w:t>
            </w:r>
          </w:p>
        </w:tc>
        <w:tc>
          <w:tcPr>
            <w:tcW w:type="dxa" w:w="8352"/>
            <w:vAlign w:val="top"/>
            <w:tcMar>
              <w:top w:w="60" w:type="dxa"/>
              <w:start w:w="60" w:type="dxa"/>
              <w:bottom w:w="60" w:type="dxa"/>
              <w:end w:w="60" w:type="dxa"/>
            </w:tcMar>
          </w:tcPr>
          <w:p>
            <w:pPr>
              <w:spacing w:after="20"/>
            </w:pPr>
            <w:r>
              <w:rPr>
                <w:sz w:val="16"/>
              </w:rPr>
              <w:t>Flutter for native patient, clinician, field workforce, delivery and partner mobile applications.</w:t>
            </w:r>
          </w:p>
        </w:tc>
      </w:tr>
      <w:tr>
        <w:tc>
          <w:tcPr>
            <w:tcW w:type="dxa" w:w="2448"/>
            <w:vAlign w:val="top"/>
            <w:tcMar>
              <w:top w:w="60" w:type="dxa"/>
              <w:start w:w="60" w:type="dxa"/>
              <w:bottom w:w="60" w:type="dxa"/>
              <w:end w:w="60" w:type="dxa"/>
            </w:tcMar>
          </w:tcPr>
          <w:p>
            <w:pPr>
              <w:spacing w:after="20"/>
            </w:pPr>
            <w:r>
              <w:rPr>
                <w:sz w:val="16"/>
              </w:rPr>
              <w:t>Backend technology</w:t>
            </w:r>
          </w:p>
        </w:tc>
        <w:tc>
          <w:tcPr>
            <w:tcW w:type="dxa" w:w="8352"/>
            <w:vAlign w:val="top"/>
            <w:tcMar>
              <w:top w:w="60" w:type="dxa"/>
              <w:start w:w="60" w:type="dxa"/>
              <w:bottom w:w="60" w:type="dxa"/>
              <w:end w:w="60" w:type="dxa"/>
            </w:tcMar>
          </w:tcPr>
          <w:p>
            <w:pPr>
              <w:spacing w:after="20"/>
            </w:pPr>
            <w:r>
              <w:rPr>
                <w:sz w:val="16"/>
              </w:rPr>
              <w:t>Go; Protobuf contracts; ConnectRPC handlers; application/service layer; domain layer; repository interfaces; sqlc; PostgreSQL.</w:t>
            </w:r>
          </w:p>
        </w:tc>
      </w:tr>
      <w:tr>
        <w:tc>
          <w:tcPr>
            <w:tcW w:type="dxa" w:w="2448"/>
            <w:vAlign w:val="top"/>
            <w:tcMar>
              <w:top w:w="60" w:type="dxa"/>
              <w:start w:w="60" w:type="dxa"/>
              <w:bottom w:w="60" w:type="dxa"/>
              <w:end w:w="60" w:type="dxa"/>
            </w:tcMar>
          </w:tcPr>
          <w:p>
            <w:pPr>
              <w:spacing w:after="20"/>
            </w:pPr>
            <w:r>
              <w:rPr>
                <w:sz w:val="16"/>
              </w:rPr>
              <w:t>AI/ML technology</w:t>
            </w:r>
          </w:p>
        </w:tc>
        <w:tc>
          <w:tcPr>
            <w:tcW w:type="dxa" w:w="8352"/>
            <w:vAlign w:val="top"/>
            <w:tcMar>
              <w:top w:w="60" w:type="dxa"/>
              <w:start w:w="60" w:type="dxa"/>
              <w:bottom w:w="60" w:type="dxa"/>
              <w:end w:w="60" w:type="dxa"/>
            </w:tcMar>
          </w:tcPr>
          <w:p>
            <w:pPr>
              <w:spacing w:after="20"/>
            </w:pPr>
            <w:r>
              <w:rPr>
                <w:sz w:val="16"/>
              </w:rPr>
              <w:t>Rust services/workers for production inference, optimization, NLP/OCR post-processing, forecasting and anomaly detection.</w:t>
            </w:r>
          </w:p>
        </w:tc>
      </w:tr>
      <w:tr>
        <w:tc>
          <w:tcPr>
            <w:tcW w:type="dxa" w:w="2448"/>
            <w:vAlign w:val="top"/>
            <w:tcMar>
              <w:top w:w="60" w:type="dxa"/>
              <w:start w:w="60" w:type="dxa"/>
              <w:bottom w:w="60" w:type="dxa"/>
              <w:end w:w="60" w:type="dxa"/>
            </w:tcMar>
          </w:tcPr>
          <w:p>
            <w:pPr>
              <w:spacing w:after="20"/>
            </w:pPr>
            <w:r>
              <w:rPr>
                <w:sz w:val="16"/>
              </w:rPr>
              <w:t>Status</w:t>
            </w:r>
          </w:p>
        </w:tc>
        <w:tc>
          <w:tcPr>
            <w:tcW w:type="dxa" w:w="8352"/>
            <w:vAlign w:val="top"/>
            <w:tcMar>
              <w:top w:w="60" w:type="dxa"/>
              <w:start w:w="60" w:type="dxa"/>
              <w:bottom w:w="60" w:type="dxa"/>
              <w:end w:w="60" w:type="dxa"/>
            </w:tcMar>
          </w:tcPr>
          <w:p>
            <w:pPr>
              <w:spacing w:after="20"/>
            </w:pPr>
            <w:r>
              <w:rPr>
                <w:sz w:val="16"/>
              </w:rPr>
              <w:t>Detailed baseline; regulatory, clinical and site-specific validation required before go-live.</w:t>
            </w:r>
          </w:p>
        </w:tc>
      </w:tr>
    </w:tbl>
    <w:p>
      <w:pPr>
        <w:spacing w:after="20"/>
      </w:pPr>
    </w:p>
    <w:p>
      <w:pPr>
        <w:pStyle w:val="Heading1"/>
      </w:pPr>
      <w:r>
        <w:t>Table of Contents</w:t>
      </w:r>
    </w:p>
    <w:p>
      <w:pPr>
        <w:spacing w:after="0" w:line="211" w:lineRule="auto"/>
      </w:pPr>
      <w:r>
        <w:rPr>
          <w:b/>
          <w:sz w:val="14"/>
        </w:rPr>
        <w:t>Document Control</w:t>
        <w:br/>
      </w:r>
      <w:r>
        <w:rPr>
          <w:b/>
          <w:sz w:val="14"/>
        </w:rPr>
        <w:t>1. Executive Summary</w:t>
        <w:br/>
      </w:r>
      <w:r>
        <w:rPr>
          <w:sz w:val="14"/>
        </w:rPr>
        <w:t xml:space="preserve">   1.1 Outcomes</w:t>
        <w:br/>
      </w:r>
      <w:r>
        <w:rPr>
          <w:b/>
          <w:sz w:val="14"/>
        </w:rPr>
        <w:t>2. Product Scope and Stakeholder Ecosystem</w:t>
        <w:br/>
      </w:r>
      <w:r>
        <w:rPr>
          <w:b/>
          <w:sz w:val="14"/>
        </w:rPr>
        <w:t>3. Architecture Principles</w:t>
        <w:br/>
      </w:r>
      <w:r>
        <w:rPr>
          <w:sz w:val="14"/>
        </w:rPr>
        <w:t xml:space="preserve">   3.1 Target Technology Stack</w:t>
        <w:br/>
      </w:r>
      <w:r>
        <w:rPr>
          <w:b/>
          <w:sz w:val="14"/>
        </w:rPr>
        <w:t>4. SaaS Tenancy, Organization and Master Data</w:t>
        <w:br/>
      </w:r>
      <w:r>
        <w:rPr>
          <w:b/>
          <w:sz w:val="14"/>
        </w:rPr>
        <w:t>5. Specialty-Aware Clinical Platform</w:t>
        <w:br/>
      </w:r>
      <w:r>
        <w:rPr>
          <w:sz w:val="14"/>
        </w:rPr>
        <w:t xml:space="preserve">   5.1 Shared Clinical Core</w:t>
        <w:br/>
      </w:r>
      <w:r>
        <w:rPr>
          <w:sz w:val="14"/>
        </w:rPr>
        <w:t xml:space="preserve">   5.2 Specialty and Sub-Specialty Coverage Matrix</w:t>
        <w:br/>
      </w:r>
      <w:r>
        <w:rPr>
          <w:sz w:val="14"/>
        </w:rPr>
        <w:t xml:space="preserve">   5.3 Specialty Configuration Framework</w:t>
        <w:br/>
      </w:r>
      <w:r>
        <w:rPr>
          <w:b/>
          <w:sz w:val="14"/>
        </w:rPr>
        <w:t>6. Patient Administration, Scheduling and Revenue Cycle</w:t>
        <w:br/>
      </w:r>
      <w:r>
        <w:rPr>
          <w:b/>
          <w:sz w:val="14"/>
        </w:rPr>
        <w:t>7. OPD, IPD, Nursing, Emergency, ICU and OT</w:t>
        <w:br/>
      </w:r>
      <w:r>
        <w:rPr>
          <w:b/>
          <w:sz w:val="14"/>
        </w:rPr>
        <w:t>8. Pharmaceutical Network and Order-to-Cash Automation</w:t>
        <w:br/>
      </w:r>
      <w:r>
        <w:rPr>
          <w:sz w:val="14"/>
        </w:rPr>
        <w:t xml:space="preserve">   8.1 Retail &amp; Hospital Pharmacy</w:t>
        <w:br/>
      </w:r>
      <w:r>
        <w:rPr>
          <w:b/>
          <w:sz w:val="14"/>
        </w:rPr>
        <w:t>9. Diagnostics Platform: LIS, RIS, PACS and Diagnostic Commerce</w:t>
        <w:br/>
      </w:r>
      <w:r>
        <w:rPr>
          <w:b/>
          <w:sz w:val="14"/>
        </w:rPr>
        <w:t>10. Insurance, TPA and Claims Management</w:t>
        <w:br/>
      </w:r>
      <w:r>
        <w:rPr>
          <w:b/>
          <w:sz w:val="14"/>
        </w:rPr>
        <w:t>11. HR, Workforce, Payroll and Credentialing</w:t>
        <w:br/>
      </w:r>
      <w:r>
        <w:rPr>
          <w:b/>
          <w:sz w:val="14"/>
        </w:rPr>
        <w:t>12. Materials, Procurement, Inventory, Assets and Biomedical Engineering</w:t>
        <w:br/>
      </w:r>
      <w:r>
        <w:rPr>
          <w:b/>
          <w:sz w:val="14"/>
        </w:rPr>
        <w:t>13. SCADA, BMS, IoT and Hospital Command Center</w:t>
        <w:br/>
      </w:r>
      <w:r>
        <w:rPr>
          <w:b/>
          <w:sz w:val="14"/>
        </w:rPr>
        <w:t>14. Patient Super-App</w:t>
        <w:br/>
      </w:r>
      <w:r>
        <w:rPr>
          <w:b/>
          <w:sz w:val="14"/>
        </w:rPr>
        <w:t>15. Svelte/SvelteKit Web Application Architecture</w:t>
        <w:br/>
      </w:r>
      <w:r>
        <w:rPr>
          <w:b/>
          <w:sz w:val="14"/>
        </w:rPr>
        <w:t>16. Backend Clean Architecture and Service Boundaries</w:t>
        <w:br/>
      </w:r>
      <w:r>
        <w:rPr>
          <w:sz w:val="14"/>
        </w:rPr>
        <w:t xml:space="preserve">   16.1 Canonical Package Layout</w:t>
        <w:br/>
      </w:r>
      <w:r>
        <w:rPr>
          <w:sz w:val="14"/>
        </w:rPr>
        <w:t xml:space="preserve">   16.2 Transaction and Event Rules</w:t>
        <w:br/>
      </w:r>
      <w:r>
        <w:rPr>
          <w:b/>
          <w:sz w:val="14"/>
        </w:rPr>
        <w:t>17. Data Architecture</w:t>
        <w:br/>
      </w:r>
      <w:r>
        <w:rPr>
          <w:b/>
          <w:sz w:val="14"/>
        </w:rPr>
        <w:t>18. Interoperability and External Integrations</w:t>
        <w:br/>
      </w:r>
      <w:r>
        <w:rPr>
          <w:b/>
          <w:sz w:val="14"/>
        </w:rPr>
        <w:t>19. Security, Privacy, Safety and Compliance Baseline</w:t>
        <w:br/>
      </w:r>
      <w:r>
        <w:rPr>
          <w:sz w:val="14"/>
        </w:rPr>
        <w:t xml:space="preserve">   19.1 Regulatory Design Position</w:t>
        <w:br/>
      </w:r>
      <w:r>
        <w:rPr>
          <w:b/>
          <w:sz w:val="14"/>
        </w:rPr>
        <w:t>20. AI/ML and Rust Intelligence Layer</w:t>
        <w:br/>
      </w:r>
      <w:r>
        <w:rPr>
          <w:b/>
          <w:sz w:val="14"/>
        </w:rPr>
        <w:t>21. Analytics, Command Centers and KPI Framework</w:t>
        <w:br/>
      </w:r>
      <w:r>
        <w:rPr>
          <w:b/>
          <w:sz w:val="14"/>
        </w:rPr>
        <w:t>22. Non-Functional Requirements</w:t>
        <w:br/>
      </w:r>
      <w:r>
        <w:rPr>
          <w:b/>
          <w:sz w:val="14"/>
        </w:rPr>
        <w:t>23. Initial Protobuf Service Catalogue</w:t>
        <w:br/>
      </w:r>
      <w:r>
        <w:rPr>
          <w:b/>
          <w:sz w:val="14"/>
        </w:rPr>
        <w:t>24. Domain Event Catalogue</w:t>
        <w:br/>
      </w:r>
      <w:r>
        <w:rPr>
          <w:b/>
          <w:sz w:val="14"/>
        </w:rPr>
        <w:t>25. Reference End-to-End Patient Journey</w:t>
        <w:br/>
      </w:r>
      <w:r>
        <w:rPr>
          <w:b/>
          <w:sz w:val="14"/>
        </w:rPr>
        <w:t>26. Implementation Roadmap and Work Breakdown</w:t>
        <w:br/>
      </w:r>
      <w:r>
        <w:rPr>
          <w:sz w:val="14"/>
        </w:rPr>
        <w:t xml:space="preserve">   26.1 Release Strategy</w:t>
        <w:br/>
      </w:r>
      <w:r>
        <w:rPr>
          <w:b/>
          <w:sz w:val="14"/>
        </w:rPr>
        <w:t>27. Delivery Organization and Staffing</w:t>
        <w:br/>
      </w:r>
      <w:r>
        <w:rPr>
          <w:sz w:val="14"/>
        </w:rPr>
        <w:t xml:space="preserve">   27.1 Governance</w:t>
        <w:br/>
      </w:r>
      <w:r>
        <w:rPr>
          <w:b/>
          <w:sz w:val="14"/>
        </w:rPr>
        <w:t>28. Infrastructure and Deployment Topology</w:t>
        <w:br/>
      </w:r>
      <w:r>
        <w:rPr>
          <w:sz w:val="14"/>
        </w:rPr>
        <w:t xml:space="preserve">   28.1 Indicative Production Environments</w:t>
        <w:br/>
      </w:r>
      <w:r>
        <w:rPr>
          <w:b/>
          <w:sz w:val="14"/>
        </w:rPr>
        <w:t>29. Data Migration and Hospital Onboarding</w:t>
        <w:br/>
      </w:r>
      <w:r>
        <w:rPr>
          <w:b/>
          <w:sz w:val="14"/>
        </w:rPr>
        <w:t>30. Testing and Acceptance Strategy</w:t>
        <w:br/>
      </w:r>
      <w:r>
        <w:rPr>
          <w:b/>
          <w:sz w:val="14"/>
        </w:rPr>
        <w:t>31. Commercial Model and Indicative Budget</w:t>
        <w:br/>
      </w:r>
      <w:r>
        <w:rPr>
          <w:sz w:val="14"/>
        </w:rPr>
        <w:t xml:space="preserve">   31.1 SaaS Monetization</w:t>
        <w:br/>
      </w:r>
      <w:r>
        <w:rPr>
          <w:b/>
          <w:sz w:val="14"/>
        </w:rPr>
        <w:t>32. Risk Register</w:t>
        <w:br/>
      </w:r>
      <w:r>
        <w:rPr>
          <w:b/>
          <w:sz w:val="14"/>
        </w:rPr>
        <w:t>33. Acceptance Gates</w:t>
        <w:br/>
      </w:r>
      <w:r>
        <w:rPr>
          <w:b/>
          <w:sz w:val="14"/>
        </w:rPr>
        <w:t>34. Pilot Strategy</w:t>
        <w:br/>
      </w:r>
      <w:r>
        <w:rPr>
          <w:b/>
          <w:sz w:val="14"/>
        </w:rPr>
        <w:t>35. Product Roadmap Beyond v1</w:t>
        <w:br/>
      </w:r>
      <w:r>
        <w:rPr>
          <w:b/>
          <w:sz w:val="14"/>
        </w:rPr>
        <w:t>36. RACI / Ownership Baseline</w:t>
        <w:br/>
      </w:r>
      <w:r>
        <w:rPr>
          <w:b/>
          <w:sz w:val="14"/>
        </w:rPr>
        <w:t>37. Assumptions and Exclusions</w:t>
        <w:br/>
      </w:r>
      <w:r>
        <w:rPr>
          <w:b/>
          <w:sz w:val="14"/>
        </w:rPr>
        <w:t>38. Standards and Reference Baseline</w:t>
        <w:br/>
      </w:r>
      <w:r>
        <w:rPr>
          <w:b/>
          <w:sz w:val="14"/>
        </w:rPr>
        <w:t>39. Summary</w:t>
        <w:br/>
      </w:r>
      <w:r>
        <w:rPr>
          <w:b/>
          <w:sz w:val="14"/>
        </w:rPr>
        <w:t>Appendix A. Role Catalogue</w:t>
        <w:br/>
      </w:r>
      <w:r>
        <w:rPr>
          <w:b/>
          <w:sz w:val="14"/>
        </w:rPr>
        <w:t>Appendix B. Reporting Catalogue</w:t>
        <w:br/>
      </w:r>
      <w:r>
        <w:rPr>
          <w:b/>
          <w:sz w:val="14"/>
        </w:rPr>
        <w:t>Appendix C. Suggested Initial Repository / Mono-repo Structure</w:t>
        <w:br/>
      </w:r>
      <w:r>
        <w:rPr>
          <w:b/>
          <w:sz w:val="14"/>
        </w:rPr>
        <w:t>Appendix D. Definition of Done</w:t>
        <w:br/>
      </w:r>
      <w:r>
        <w:rPr>
          <w:b/>
          <w:sz w:val="14"/>
        </w:rPr>
        <w:t>40. Expanded Hospital Operational Departments</w:t>
        <w:br/>
      </w:r>
      <w:r>
        <w:rPr>
          <w:b/>
          <w:sz w:val="14"/>
        </w:rPr>
        <w:t>41. Quality, Accreditation and Clinical Governance</w:t>
        <w:br/>
      </w:r>
      <w:r>
        <w:rPr>
          <w:b/>
          <w:sz w:val="14"/>
        </w:rPr>
        <w:t>42. Nursing Information System - Expanded</w:t>
        <w:br/>
      </w:r>
      <w:r>
        <w:rPr>
          <w:b/>
          <w:sz w:val="14"/>
        </w:rPr>
        <w:t>43. Critical Care Information System</w:t>
        <w:br/>
      </w:r>
      <w:r>
        <w:rPr>
          <w:b/>
          <w:sz w:val="14"/>
        </w:rPr>
        <w:t>44. Operating Theatre, Anesthesia and Perioperative Platform</w:t>
        <w:br/>
      </w:r>
      <w:r>
        <w:rPr>
          <w:b/>
          <w:sz w:val="14"/>
        </w:rPr>
        <w:t>45. Blood Centre and Transfusion Medicine</w:t>
        <w:br/>
      </w:r>
      <w:r>
        <w:rPr>
          <w:b/>
          <w:sz w:val="14"/>
        </w:rPr>
        <w:t>46. Home Healthcare, Remote Monitoring and Virtual Care</w:t>
        <w:br/>
      </w:r>
      <w:r>
        <w:rPr>
          <w:b/>
          <w:sz w:val="14"/>
        </w:rPr>
        <w:t>47. Patient Personal Health Record and Lifetime Health Timeline</w:t>
        <w:br/>
      </w:r>
      <w:r>
        <w:rPr>
          <w:b/>
          <w:sz w:val="14"/>
        </w:rPr>
        <w:t>48. Advanced Pharmaceutical Commerce and Distribution Management</w:t>
        <w:br/>
      </w:r>
      <w:r>
        <w:rPr>
          <w:sz w:val="14"/>
        </w:rPr>
        <w:t xml:space="preserve">   48.1 Flagship Automated Pharma Order Processing Pipeline</w:t>
        <w:br/>
      </w:r>
      <w:r>
        <w:rPr>
          <w:b/>
          <w:sz w:val="14"/>
        </w:rPr>
        <w:t>49. Diagnostic Network Marketplace and Advanced Diagnostics</w:t>
        <w:br/>
      </w:r>
      <w:r>
        <w:rPr>
          <w:b/>
          <w:sz w:val="14"/>
        </w:rPr>
        <w:t>50. Insurance Rules, Revenue Integrity and Claims Intelligence</w:t>
        <w:br/>
      </w:r>
      <w:r>
        <w:rPr>
          <w:b/>
          <w:sz w:val="14"/>
        </w:rPr>
        <w:t>51. Enterprise Rules, Workflow and Low-Code Configuration Platform</w:t>
        <w:br/>
      </w:r>
      <w:r>
        <w:rPr>
          <w:b/>
          <w:sz w:val="14"/>
        </w:rPr>
        <w:t>52. Enterprise Master Patient Index and Terminology Services</w:t>
        <w:br/>
      </w:r>
      <w:r>
        <w:rPr>
          <w:b/>
          <w:sz w:val="14"/>
        </w:rPr>
        <w:t>53. API Ecosystem and Developer Platform</w:t>
        <w:br/>
      </w:r>
      <w:r>
        <w:rPr>
          <w:b/>
          <w:sz w:val="14"/>
        </w:rPr>
        <w:t>54. Detailed Data Platform and Canonical Healthcare Model</w:t>
        <w:br/>
      </w:r>
      <w:r>
        <w:rPr>
          <w:sz w:val="14"/>
        </w:rPr>
        <w:t xml:space="preserve">   54.1 Persistence and Analytics Architecture</w:t>
        <w:br/>
      </w:r>
      <w:r>
        <w:rPr>
          <w:b/>
          <w:sz w:val="14"/>
        </w:rPr>
        <w:t>55. Healthcare AI Platform and Role-Specific Copilots</w:t>
        <w:br/>
      </w:r>
      <w:r>
        <w:rPr>
          <w:b/>
          <w:sz w:val="14"/>
        </w:rPr>
        <w:t>56. Cybersecurity, Privacy and Healthcare Resilience Architecture</w:t>
        <w:br/>
      </w:r>
      <w:r>
        <w:rPr>
          <w:sz w:val="14"/>
        </w:rPr>
        <w:t xml:space="preserve">   56.1 Service Criticality and Recovery Tiers</w:t>
        <w:br/>
      </w:r>
      <w:r>
        <w:rPr>
          <w:b/>
          <w:sz w:val="14"/>
        </w:rPr>
        <w:t>57. SRE, Observability and Operational Management</w:t>
        <w:br/>
      </w:r>
      <w:r>
        <w:rPr>
          <w:b/>
          <w:sz w:val="14"/>
        </w:rPr>
        <w:t>58. Role-Based UX Workspaces and Navigation Architecture</w:t>
        <w:br/>
      </w:r>
      <w:r>
        <w:rPr>
          <w:b/>
          <w:sz w:val="14"/>
        </w:rPr>
        <w:t>59. Multi-Hospital Group and Healthcare Network Architecture</w:t>
        <w:br/>
      </w:r>
      <w:r>
        <w:rPr>
          <w:b/>
          <w:sz w:val="14"/>
        </w:rPr>
        <w:t>60. Product Packaging, Commercial Architecture and Go-to-Market</w:t>
        <w:br/>
      </w:r>
      <w:r>
        <w:rPr>
          <w:sz w:val="14"/>
        </w:rPr>
        <w:t xml:space="preserve">   60.1 Target Customer Segments</w:t>
        <w:br/>
      </w:r>
      <w:r>
        <w:rPr>
          <w:b/>
          <w:sz w:val="14"/>
        </w:rPr>
        <w:t>61. Competitive Positioning Framework</w:t>
        <w:br/>
      </w:r>
      <w:r>
        <w:rPr>
          <w:b/>
          <w:sz w:val="14"/>
        </w:rPr>
        <w:t>62. Detailed Cost Model and Funding Stages</w:t>
        <w:br/>
      </w:r>
      <w:r>
        <w:rPr>
          <w:sz w:val="14"/>
        </w:rPr>
        <w:t xml:space="preserve">   62.1 Funding Gates</w:t>
        <w:br/>
      </w:r>
      <w:r>
        <w:rPr>
          <w:b/>
          <w:sz w:val="14"/>
        </w:rPr>
        <w:t>63. Detailed 24-Month Product Delivery Map</w:t>
        <w:br/>
      </w:r>
      <w:r>
        <w:rPr>
          <w:b/>
          <w:sz w:val="14"/>
        </w:rPr>
        <w:t>64. Expanded KPI and Value Realization Model</w:t>
        <w:br/>
      </w:r>
      <w:r>
        <w:rPr>
          <w:b/>
          <w:sz w:val="14"/>
        </w:rPr>
        <w:t>65. DPR-to-SRS Traceability Framework</w:t>
        <w:br/>
      </w:r>
      <w:r>
        <w:rPr>
          <w:b/>
          <w:sz w:val="14"/>
        </w:rPr>
        <w:t>66. Updated Master Product Positioning</w:t>
        <w:br/>
      </w:r>
      <w:r>
        <w:rPr>
          <w:b/>
          <w:sz w:val="14"/>
        </w:rPr>
        <w:t>67. Updated Standards and Compliance Notes - September 2026</w:t>
      </w:r>
    </w:p>
    <w:p>
      <w:r>
        <w:br w:type="page"/>
      </w:r>
    </w:p>
    <w:p>
      <w:pPr>
        <w:pStyle w:val="Heading1"/>
      </w:pPr>
      <w:r>
        <w:t>1. Executive Summary</w:t>
      </w:r>
    </w:p>
    <w:p>
      <w:r>
        <w:t>This DPR defines a unified healthcare operating platform that combines hospital management, specialty-aware clinical information systems, facility SCADA/BMS, pharmaceutical commerce and supply-chain automation, pharmacy retail, diagnostics, insurance claims, HR/payroll, patient engagement and home fulfilment within one SaaS product family.</w:t>
      </w:r>
    </w:p>
    <w:p>
      <w:r>
        <w:t>The strategic objective is to remove the fragmentation that currently exists between the hospital encounter, clinician order, diagnostic result, prescription, insurance authorization, pharmacy fulfilment, payment, discharge and post-discharge journey. A single patient identity and longitudinal clinical record should follow the patient across these workflows while organizations retain legally and operationally appropriate tenancy boundaries.</w:t>
      </w:r>
    </w:p>
    <w:p>
      <w:r>
        <w:t>The second objective is to create a B2B healthcare transaction network. Pharmaceutical manufacturers, C&amp;F agents, super-stockists, distributors, stockists, hospital pharmacies and retail pharmacies use a common order, pricing, batch, inventory, receivable and fulfilment fabric. Diagnostics similarly supports hospitals, independent labs, collection centers, referral labs, radiology centers, corporate clients and home collection.</w:t>
      </w:r>
    </w:p>
    <w:p>
      <w:pPr>
        <w:pStyle w:val="ListBullet"/>
        <w:spacing w:after="30"/>
      </w:pPr>
      <w:r>
        <w:t>Patient-facing experience: one patient application for appointments, queue/arrival, admission journey, prescriptions, medicine ordering, diagnostics, insurance status, bills, reports, discharge documents, home care, follow-up and personal health records.</w:t>
      </w:r>
    </w:p>
    <w:p>
      <w:pPr>
        <w:pStyle w:val="ListBullet"/>
        <w:spacing w:after="30"/>
      </w:pPr>
      <w:r>
        <w:t>Hospital-facing experience: Svelte/SvelteKit web application spanning clinical, operational, administrative and financial workflows.</w:t>
      </w:r>
    </w:p>
    <w:p>
      <w:pPr>
        <w:pStyle w:val="ListBullet"/>
        <w:spacing w:after="30"/>
      </w:pPr>
      <w:r>
        <w:t>Network-facing experience: Svelte/SvelteKit portals for pharma manufacturers, C&amp;F, distributors/stockists, pharmacies, laboratories, insurers/TPAs, suppliers and enterprise buyers.</w:t>
      </w:r>
    </w:p>
    <w:p>
      <w:pPr>
        <w:pStyle w:val="ListBullet"/>
        <w:spacing w:after="30"/>
      </w:pPr>
      <w:r>
        <w:t>Clinical architecture: common longitudinal clinical core plus configurable specialty packs for departments and sub-specialties.</w:t>
      </w:r>
    </w:p>
    <w:p>
      <w:pPr>
        <w:pStyle w:val="ListBullet"/>
        <w:spacing w:after="30"/>
      </w:pPr>
      <w:r>
        <w:t>Automation architecture: deterministic transaction and safety rules in Go; Rust AI/ML augments classification, extraction, prediction, optimization and anomaly detection but does not silently override accountable human clinical decisions.</w:t>
      </w:r>
    </w:p>
    <w:p>
      <w:pPr>
        <w:pStyle w:val="Heading2"/>
      </w:pPr>
      <w:r>
        <w:t>1.1 Outcomes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EAF7"/>
            <w:vAlign w:val="center"/>
            <w:tcMar>
              <w:top w:w="60" w:type="dxa"/>
              <w:start w:w="60" w:type="dxa"/>
              <w:bottom w:w="60" w:type="dxa"/>
              <w:end w:w="60" w:type="dxa"/>
            </w:tcMar>
          </w:tcPr>
          <w:p>
            <w:r>
              <w:rPr>
                <w:b/>
                <w:sz w:val="15"/>
              </w:rPr>
              <w:t>Outcome</w:t>
            </w:r>
          </w:p>
        </w:tc>
        <w:tc>
          <w:tcPr>
            <w:tcW w:type="dxa" w:w="8208"/>
            <w:shd w:fill="D9EAF7"/>
            <w:vAlign w:val="center"/>
            <w:tcMar>
              <w:top w:w="60" w:type="dxa"/>
              <w:start w:w="60" w:type="dxa"/>
              <w:bottom w:w="60" w:type="dxa"/>
              <w:end w:w="60" w:type="dxa"/>
            </w:tcMar>
          </w:tcPr>
          <w:p>
            <w:r>
              <w:rPr>
                <w:b/>
                <w:sz w:val="15"/>
              </w:rPr>
              <w:t>Target capability</w:t>
            </w:r>
          </w:p>
        </w:tc>
      </w:tr>
      <w:tr>
        <w:tc>
          <w:tcPr>
            <w:tcW w:type="dxa" w:w="2592"/>
            <w:vAlign w:val="top"/>
            <w:tcMar>
              <w:top w:w="60" w:type="dxa"/>
              <w:start w:w="60" w:type="dxa"/>
              <w:bottom w:w="60" w:type="dxa"/>
              <w:end w:w="60" w:type="dxa"/>
            </w:tcMar>
          </w:tcPr>
          <w:p>
            <w:pPr>
              <w:spacing w:after="20"/>
            </w:pPr>
            <w:r>
              <w:rPr>
                <w:sz w:val="15"/>
              </w:rPr>
              <w:t>One patient journey</w:t>
            </w:r>
          </w:p>
        </w:tc>
        <w:tc>
          <w:tcPr>
            <w:tcW w:type="dxa" w:w="8208"/>
            <w:vAlign w:val="top"/>
            <w:tcMar>
              <w:top w:w="60" w:type="dxa"/>
              <w:start w:w="60" w:type="dxa"/>
              <w:bottom w:w="60" w:type="dxa"/>
              <w:end w:w="60" w:type="dxa"/>
            </w:tcMar>
          </w:tcPr>
          <w:p>
            <w:pPr>
              <w:spacing w:after="20"/>
            </w:pPr>
            <w:r>
              <w:rPr>
                <w:sz w:val="15"/>
              </w:rPr>
              <w:t>Track registration/arrival → consultation → orders → diagnostics/pharmacy → admission/procedure → claim → discharge → delivery/home care.</w:t>
            </w:r>
          </w:p>
        </w:tc>
      </w:tr>
      <w:tr>
        <w:tc>
          <w:tcPr>
            <w:tcW w:type="dxa" w:w="2592"/>
            <w:vAlign w:val="top"/>
            <w:tcMar>
              <w:top w:w="60" w:type="dxa"/>
              <w:start w:w="60" w:type="dxa"/>
              <w:bottom w:w="60" w:type="dxa"/>
              <w:end w:w="60" w:type="dxa"/>
            </w:tcMar>
          </w:tcPr>
          <w:p>
            <w:pPr>
              <w:spacing w:after="20"/>
            </w:pPr>
            <w:r>
              <w:rPr>
                <w:sz w:val="15"/>
              </w:rPr>
              <w:t>One operational fabric</w:t>
            </w:r>
          </w:p>
        </w:tc>
        <w:tc>
          <w:tcPr>
            <w:tcW w:type="dxa" w:w="8208"/>
            <w:vAlign w:val="top"/>
            <w:tcMar>
              <w:top w:w="60" w:type="dxa"/>
              <w:start w:w="60" w:type="dxa"/>
              <w:bottom w:w="60" w:type="dxa"/>
              <w:end w:w="60" w:type="dxa"/>
            </w:tcMar>
          </w:tcPr>
          <w:p>
            <w:pPr>
              <w:spacing w:after="20"/>
            </w:pPr>
            <w:r>
              <w:rPr>
                <w:sz w:val="15"/>
              </w:rPr>
              <w:t>Shared identity, master data, order management, workflow engine, notifications, payments, document generation, audit and analytics.</w:t>
            </w:r>
          </w:p>
        </w:tc>
      </w:tr>
      <w:tr>
        <w:tc>
          <w:tcPr>
            <w:tcW w:type="dxa" w:w="2592"/>
            <w:vAlign w:val="top"/>
            <w:tcMar>
              <w:top w:w="60" w:type="dxa"/>
              <w:start w:w="60" w:type="dxa"/>
              <w:bottom w:w="60" w:type="dxa"/>
              <w:end w:w="60" w:type="dxa"/>
            </w:tcMar>
          </w:tcPr>
          <w:p>
            <w:pPr>
              <w:spacing w:after="20"/>
            </w:pPr>
            <w:r>
              <w:rPr>
                <w:sz w:val="15"/>
              </w:rPr>
              <w:t>Specialty depth</w:t>
            </w:r>
          </w:p>
        </w:tc>
        <w:tc>
          <w:tcPr>
            <w:tcW w:type="dxa" w:w="8208"/>
            <w:vAlign w:val="top"/>
            <w:tcMar>
              <w:top w:w="60" w:type="dxa"/>
              <w:start w:w="60" w:type="dxa"/>
              <w:bottom w:w="60" w:type="dxa"/>
              <w:end w:w="60" w:type="dxa"/>
            </w:tcMar>
          </w:tcPr>
          <w:p>
            <w:pPr>
              <w:spacing w:after="20"/>
            </w:pPr>
            <w:r>
              <w:rPr>
                <w:sz w:val="15"/>
              </w:rPr>
              <w:t>Department-specific notes, forms, calculators, registries, pathways, procedure/device integrations and longitudinal disease views.</w:t>
            </w:r>
          </w:p>
        </w:tc>
      </w:tr>
      <w:tr>
        <w:tc>
          <w:tcPr>
            <w:tcW w:type="dxa" w:w="2592"/>
            <w:vAlign w:val="top"/>
            <w:tcMar>
              <w:top w:w="60" w:type="dxa"/>
              <w:start w:w="60" w:type="dxa"/>
              <w:bottom w:w="60" w:type="dxa"/>
              <w:end w:w="60" w:type="dxa"/>
            </w:tcMar>
          </w:tcPr>
          <w:p>
            <w:pPr>
              <w:spacing w:after="20"/>
            </w:pPr>
            <w:r>
              <w:rPr>
                <w:sz w:val="15"/>
              </w:rPr>
              <w:t>Network commerce</w:t>
            </w:r>
          </w:p>
        </w:tc>
        <w:tc>
          <w:tcPr>
            <w:tcW w:type="dxa" w:w="8208"/>
            <w:vAlign w:val="top"/>
            <w:tcMar>
              <w:top w:w="60" w:type="dxa"/>
              <w:start w:w="60" w:type="dxa"/>
              <w:bottom w:w="60" w:type="dxa"/>
              <w:end w:w="60" w:type="dxa"/>
            </w:tcMar>
          </w:tcPr>
          <w:p>
            <w:pPr>
              <w:spacing w:after="20"/>
            </w:pPr>
            <w:r>
              <w:rPr>
                <w:sz w:val="15"/>
              </w:rPr>
              <w:t>Digitized order-to-cash/procure-to-pay for pharma and diagnostics with inventory, credit, batch/lot, expiry, returns and settlement.</w:t>
            </w:r>
          </w:p>
        </w:tc>
      </w:tr>
      <w:tr>
        <w:tc>
          <w:tcPr>
            <w:tcW w:type="dxa" w:w="2592"/>
            <w:vAlign w:val="top"/>
            <w:tcMar>
              <w:top w:w="60" w:type="dxa"/>
              <w:start w:w="60" w:type="dxa"/>
              <w:bottom w:w="60" w:type="dxa"/>
              <w:end w:w="60" w:type="dxa"/>
            </w:tcMar>
          </w:tcPr>
          <w:p>
            <w:pPr>
              <w:spacing w:after="20"/>
            </w:pPr>
            <w:r>
              <w:rPr>
                <w:sz w:val="15"/>
              </w:rPr>
              <w:t>Interoperability</w:t>
            </w:r>
          </w:p>
        </w:tc>
        <w:tc>
          <w:tcPr>
            <w:tcW w:type="dxa" w:w="8208"/>
            <w:vAlign w:val="top"/>
            <w:tcMar>
              <w:top w:w="60" w:type="dxa"/>
              <w:start w:w="60" w:type="dxa"/>
              <w:bottom w:w="60" w:type="dxa"/>
              <w:end w:w="60" w:type="dxa"/>
            </w:tcMar>
          </w:tcPr>
          <w:p>
            <w:pPr>
              <w:spacing w:after="20"/>
            </w:pPr>
            <w:r>
              <w:rPr>
                <w:sz w:val="15"/>
              </w:rPr>
              <w:t>FHIR-first health exchange with ABDM compatibility; DICOM for imaging; analyzer/device adapters; standardized claims exchange.</w:t>
            </w:r>
          </w:p>
        </w:tc>
      </w:tr>
      <w:tr>
        <w:tc>
          <w:tcPr>
            <w:tcW w:type="dxa" w:w="2592"/>
            <w:vAlign w:val="top"/>
            <w:tcMar>
              <w:top w:w="60" w:type="dxa"/>
              <w:start w:w="60" w:type="dxa"/>
              <w:bottom w:w="60" w:type="dxa"/>
              <w:end w:w="60" w:type="dxa"/>
            </w:tcMar>
          </w:tcPr>
          <w:p>
            <w:pPr>
              <w:spacing w:after="20"/>
            </w:pPr>
            <w:r>
              <w:rPr>
                <w:sz w:val="15"/>
              </w:rPr>
              <w:t>Enterprise deployability</w:t>
            </w:r>
          </w:p>
        </w:tc>
        <w:tc>
          <w:tcPr>
            <w:tcW w:type="dxa" w:w="8208"/>
            <w:vAlign w:val="top"/>
            <w:tcMar>
              <w:top w:w="60" w:type="dxa"/>
              <w:start w:w="60" w:type="dxa"/>
              <w:bottom w:w="60" w:type="dxa"/>
              <w:end w:w="60" w:type="dxa"/>
            </w:tcMar>
          </w:tcPr>
          <w:p>
            <w:pPr>
              <w:spacing w:after="20"/>
            </w:pPr>
            <w:r>
              <w:rPr>
                <w:sz w:val="15"/>
              </w:rPr>
              <w:t>SaaS, dedicated tenant, private cloud, on-prem and hybrid edge patterns with observability and disaster recovery.</w:t>
            </w:r>
          </w:p>
        </w:tc>
      </w:tr>
    </w:tbl>
    <w:p>
      <w:pPr>
        <w:spacing w:after="20"/>
      </w:pPr>
    </w:p>
    <w:p>
      <w:pPr>
        <w:pStyle w:val="Heading1"/>
      </w:pPr>
      <w:r>
        <w:t>2. Product Scope and Stakeholder Ecosystem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736"/>
            <w:shd w:fill="D9EAF7"/>
            <w:vAlign w:val="center"/>
            <w:tcMar>
              <w:top w:w="60" w:type="dxa"/>
              <w:start w:w="60" w:type="dxa"/>
              <w:bottom w:w="60" w:type="dxa"/>
              <w:end w:w="60" w:type="dxa"/>
            </w:tcMar>
          </w:tcPr>
          <w:p>
            <w:r>
              <w:rPr>
                <w:b/>
                <w:sz w:val="15"/>
              </w:rPr>
              <w:t>Stakeholder</w:t>
            </w:r>
          </w:p>
        </w:tc>
        <w:tc>
          <w:tcPr>
            <w:tcW w:type="dxa" w:w="8064"/>
            <w:shd w:fill="D9EAF7"/>
            <w:vAlign w:val="center"/>
            <w:tcMar>
              <w:top w:w="60" w:type="dxa"/>
              <w:start w:w="60" w:type="dxa"/>
              <w:bottom w:w="60" w:type="dxa"/>
              <w:end w:w="60" w:type="dxa"/>
            </w:tcMar>
          </w:tcPr>
          <w:p>
            <w:r>
              <w:rPr>
                <w:b/>
                <w:sz w:val="15"/>
              </w:rPr>
              <w:t>Primary capabilities</w:t>
            </w:r>
          </w:p>
        </w:tc>
      </w:tr>
      <w:tr>
        <w:tc>
          <w:tcPr>
            <w:tcW w:type="dxa" w:w="2736"/>
            <w:vAlign w:val="top"/>
            <w:tcMar>
              <w:top w:w="60" w:type="dxa"/>
              <w:start w:w="60" w:type="dxa"/>
              <w:bottom w:w="60" w:type="dxa"/>
              <w:end w:w="60" w:type="dxa"/>
            </w:tcMar>
          </w:tcPr>
          <w:p>
            <w:pPr>
              <w:spacing w:after="20"/>
            </w:pPr>
            <w:r>
              <w:rPr>
                <w:sz w:val="15"/>
              </w:rPr>
              <w:t>Patient / caregiver</w:t>
            </w:r>
          </w:p>
        </w:tc>
        <w:tc>
          <w:tcPr>
            <w:tcW w:type="dxa" w:w="8064"/>
            <w:vAlign w:val="top"/>
            <w:tcMar>
              <w:top w:w="60" w:type="dxa"/>
              <w:start w:w="60" w:type="dxa"/>
              <w:bottom w:w="60" w:type="dxa"/>
              <w:end w:w="60" w:type="dxa"/>
            </w:tcMar>
          </w:tcPr>
          <w:p>
            <w:pPr>
              <w:spacing w:after="20"/>
            </w:pPr>
            <w:r>
              <w:rPr>
                <w:sz w:val="15"/>
              </w:rPr>
              <w:t>Registration, consent, appointments, virtual queue, records, bills, pharmacy, diagnostics, insurance, delivery, home care.</w:t>
            </w:r>
          </w:p>
        </w:tc>
      </w:tr>
      <w:tr>
        <w:tc>
          <w:tcPr>
            <w:tcW w:type="dxa" w:w="2736"/>
            <w:vAlign w:val="top"/>
            <w:tcMar>
              <w:top w:w="60" w:type="dxa"/>
              <w:start w:w="60" w:type="dxa"/>
              <w:bottom w:w="60" w:type="dxa"/>
              <w:end w:w="60" w:type="dxa"/>
            </w:tcMar>
          </w:tcPr>
          <w:p>
            <w:pPr>
              <w:spacing w:after="20"/>
            </w:pPr>
            <w:r>
              <w:rPr>
                <w:sz w:val="15"/>
              </w:rPr>
              <w:t>Hospital / clinic</w:t>
            </w:r>
          </w:p>
        </w:tc>
        <w:tc>
          <w:tcPr>
            <w:tcW w:type="dxa" w:w="8064"/>
            <w:vAlign w:val="top"/>
            <w:tcMar>
              <w:top w:w="60" w:type="dxa"/>
              <w:start w:w="60" w:type="dxa"/>
              <w:bottom w:w="60" w:type="dxa"/>
              <w:end w:w="60" w:type="dxa"/>
            </w:tcMar>
          </w:tcPr>
          <w:p>
            <w:pPr>
              <w:spacing w:after="20"/>
            </w:pPr>
            <w:r>
              <w:rPr>
                <w:sz w:val="15"/>
              </w:rPr>
              <w:t>OPD/IPD/ER/OT/ICU/Nursing, specialty EMR, billing, materials, pharmacy, diagnostics, workforce, facilities.</w:t>
            </w:r>
          </w:p>
        </w:tc>
      </w:tr>
      <w:tr>
        <w:tc>
          <w:tcPr>
            <w:tcW w:type="dxa" w:w="2736"/>
            <w:vAlign w:val="top"/>
            <w:tcMar>
              <w:top w:w="60" w:type="dxa"/>
              <w:start w:w="60" w:type="dxa"/>
              <w:bottom w:w="60" w:type="dxa"/>
              <w:end w:w="60" w:type="dxa"/>
            </w:tcMar>
          </w:tcPr>
          <w:p>
            <w:pPr>
              <w:spacing w:after="20"/>
            </w:pPr>
            <w:r>
              <w:rPr>
                <w:sz w:val="15"/>
              </w:rPr>
              <w:t>Doctor / allied health</w:t>
            </w:r>
          </w:p>
        </w:tc>
        <w:tc>
          <w:tcPr>
            <w:tcW w:type="dxa" w:w="8064"/>
            <w:vAlign w:val="top"/>
            <w:tcMar>
              <w:top w:w="60" w:type="dxa"/>
              <w:start w:w="60" w:type="dxa"/>
              <w:bottom w:w="60" w:type="dxa"/>
              <w:end w:w="60" w:type="dxa"/>
            </w:tcMar>
          </w:tcPr>
          <w:p>
            <w:pPr>
              <w:spacing w:after="20"/>
            </w:pPr>
            <w:r>
              <w:rPr>
                <w:sz w:val="15"/>
              </w:rPr>
              <w:t>Clinical documentation, CPOE, e-prescription, procedures, care plans, results, tasks, handover, teleconsult.</w:t>
            </w:r>
          </w:p>
        </w:tc>
      </w:tr>
      <w:tr>
        <w:tc>
          <w:tcPr>
            <w:tcW w:type="dxa" w:w="2736"/>
            <w:vAlign w:val="top"/>
            <w:tcMar>
              <w:top w:w="60" w:type="dxa"/>
              <w:start w:w="60" w:type="dxa"/>
              <w:bottom w:w="60" w:type="dxa"/>
              <w:end w:w="60" w:type="dxa"/>
            </w:tcMar>
          </w:tcPr>
          <w:p>
            <w:pPr>
              <w:spacing w:after="20"/>
            </w:pPr>
            <w:r>
              <w:rPr>
                <w:sz w:val="15"/>
              </w:rPr>
              <w:t>Manufacturer</w:t>
            </w:r>
          </w:p>
        </w:tc>
        <w:tc>
          <w:tcPr>
            <w:tcW w:type="dxa" w:w="8064"/>
            <w:vAlign w:val="top"/>
            <w:tcMar>
              <w:top w:w="60" w:type="dxa"/>
              <w:start w:w="60" w:type="dxa"/>
              <w:bottom w:w="60" w:type="dxa"/>
              <w:end w:w="60" w:type="dxa"/>
            </w:tcMar>
          </w:tcPr>
          <w:p>
            <w:pPr>
              <w:spacing w:after="20"/>
            </w:pPr>
            <w:r>
              <w:rPr>
                <w:sz w:val="15"/>
              </w:rPr>
              <w:t>Product master, channel order intake, schemes, allocation, batch/expiry, dispatch, secondary sales visibility, reconciliation.</w:t>
            </w:r>
          </w:p>
        </w:tc>
      </w:tr>
      <w:tr>
        <w:tc>
          <w:tcPr>
            <w:tcW w:type="dxa" w:w="2736"/>
            <w:vAlign w:val="top"/>
            <w:tcMar>
              <w:top w:w="60" w:type="dxa"/>
              <w:start w:w="60" w:type="dxa"/>
              <w:bottom w:w="60" w:type="dxa"/>
              <w:end w:w="60" w:type="dxa"/>
            </w:tcMar>
          </w:tcPr>
          <w:p>
            <w:pPr>
              <w:spacing w:after="20"/>
            </w:pPr>
            <w:r>
              <w:rPr>
                <w:sz w:val="15"/>
              </w:rPr>
              <w:t>C&amp;F / depot</w:t>
            </w:r>
          </w:p>
        </w:tc>
        <w:tc>
          <w:tcPr>
            <w:tcW w:type="dxa" w:w="8064"/>
            <w:vAlign w:val="top"/>
            <w:tcMar>
              <w:top w:w="60" w:type="dxa"/>
              <w:start w:w="60" w:type="dxa"/>
              <w:bottom w:w="60" w:type="dxa"/>
              <w:end w:w="60" w:type="dxa"/>
            </w:tcMar>
          </w:tcPr>
          <w:p>
            <w:pPr>
              <w:spacing w:after="20"/>
            </w:pPr>
            <w:r>
              <w:rPr>
                <w:sz w:val="15"/>
              </w:rPr>
              <w:t>Warehouse, inventory ownership/custody, orders, allocation, pick-pack-ship, returns, recall, transport.</w:t>
            </w:r>
          </w:p>
        </w:tc>
      </w:tr>
      <w:tr>
        <w:tc>
          <w:tcPr>
            <w:tcW w:type="dxa" w:w="2736"/>
            <w:vAlign w:val="top"/>
            <w:tcMar>
              <w:top w:w="60" w:type="dxa"/>
              <w:start w:w="60" w:type="dxa"/>
              <w:bottom w:w="60" w:type="dxa"/>
              <w:end w:w="60" w:type="dxa"/>
            </w:tcMar>
          </w:tcPr>
          <w:p>
            <w:pPr>
              <w:spacing w:after="20"/>
            </w:pPr>
            <w:r>
              <w:rPr>
                <w:sz w:val="15"/>
              </w:rPr>
              <w:t>Distributor / stockist</w:t>
            </w:r>
          </w:p>
        </w:tc>
        <w:tc>
          <w:tcPr>
            <w:tcW w:type="dxa" w:w="8064"/>
            <w:vAlign w:val="top"/>
            <w:tcMar>
              <w:top w:w="60" w:type="dxa"/>
              <w:start w:w="60" w:type="dxa"/>
              <w:bottom w:w="60" w:type="dxa"/>
              <w:end w:w="60" w:type="dxa"/>
            </w:tcMar>
          </w:tcPr>
          <w:p>
            <w:pPr>
              <w:spacing w:after="20"/>
            </w:pPr>
            <w:r>
              <w:rPr>
                <w:sz w:val="15"/>
              </w:rPr>
              <w:t>Purchase, inventory, sales, credit, collections, beat/order workflows, claims, returns.</w:t>
            </w:r>
          </w:p>
        </w:tc>
      </w:tr>
      <w:tr>
        <w:tc>
          <w:tcPr>
            <w:tcW w:type="dxa" w:w="2736"/>
            <w:vAlign w:val="top"/>
            <w:tcMar>
              <w:top w:w="60" w:type="dxa"/>
              <w:start w:w="60" w:type="dxa"/>
              <w:bottom w:w="60" w:type="dxa"/>
              <w:end w:w="60" w:type="dxa"/>
            </w:tcMar>
          </w:tcPr>
          <w:p>
            <w:pPr>
              <w:spacing w:after="20"/>
            </w:pPr>
            <w:r>
              <w:rPr>
                <w:sz w:val="15"/>
              </w:rPr>
              <w:t>Retail / hospital pharmacy</w:t>
            </w:r>
          </w:p>
        </w:tc>
        <w:tc>
          <w:tcPr>
            <w:tcW w:type="dxa" w:w="8064"/>
            <w:vAlign w:val="top"/>
            <w:tcMar>
              <w:top w:w="60" w:type="dxa"/>
              <w:start w:w="60" w:type="dxa"/>
              <w:bottom w:w="60" w:type="dxa"/>
              <w:end w:w="60" w:type="dxa"/>
            </w:tcMar>
          </w:tcPr>
          <w:p>
            <w:pPr>
              <w:spacing w:after="20"/>
            </w:pPr>
            <w:r>
              <w:rPr>
                <w:sz w:val="15"/>
              </w:rPr>
              <w:t>POS, prescription fulfilment, procurement, batch inventory, substitutes, delivery, controlled processes.</w:t>
            </w:r>
          </w:p>
        </w:tc>
      </w:tr>
      <w:tr>
        <w:tc>
          <w:tcPr>
            <w:tcW w:type="dxa" w:w="2736"/>
            <w:vAlign w:val="top"/>
            <w:tcMar>
              <w:top w:w="60" w:type="dxa"/>
              <w:start w:w="60" w:type="dxa"/>
              <w:bottom w:w="60" w:type="dxa"/>
              <w:end w:w="60" w:type="dxa"/>
            </w:tcMar>
          </w:tcPr>
          <w:p>
            <w:pPr>
              <w:spacing w:after="20"/>
            </w:pPr>
            <w:r>
              <w:rPr>
                <w:sz w:val="15"/>
              </w:rPr>
              <w:t>Diagnostic provider</w:t>
            </w:r>
          </w:p>
        </w:tc>
        <w:tc>
          <w:tcPr>
            <w:tcW w:type="dxa" w:w="8064"/>
            <w:vAlign w:val="top"/>
            <w:tcMar>
              <w:top w:w="60" w:type="dxa"/>
              <w:start w:w="60" w:type="dxa"/>
              <w:bottom w:w="60" w:type="dxa"/>
              <w:end w:w="60" w:type="dxa"/>
            </w:tcMar>
          </w:tcPr>
          <w:p>
            <w:pPr>
              <w:spacing w:after="20"/>
            </w:pPr>
            <w:r>
              <w:rPr>
                <w:sz w:val="15"/>
              </w:rPr>
              <w:t>LIS/RIS/PACS, collection center, home collection, accessioning, analyzers, reports, referral lab, B2B billing.</w:t>
            </w:r>
          </w:p>
        </w:tc>
      </w:tr>
      <w:tr>
        <w:tc>
          <w:tcPr>
            <w:tcW w:type="dxa" w:w="2736"/>
            <w:vAlign w:val="top"/>
            <w:tcMar>
              <w:top w:w="60" w:type="dxa"/>
              <w:start w:w="60" w:type="dxa"/>
              <w:bottom w:w="60" w:type="dxa"/>
              <w:end w:w="60" w:type="dxa"/>
            </w:tcMar>
          </w:tcPr>
          <w:p>
            <w:pPr>
              <w:spacing w:after="20"/>
            </w:pPr>
            <w:r>
              <w:rPr>
                <w:sz w:val="15"/>
              </w:rPr>
              <w:t>Insurer / TPA</w:t>
            </w:r>
          </w:p>
        </w:tc>
        <w:tc>
          <w:tcPr>
            <w:tcW w:type="dxa" w:w="8064"/>
            <w:vAlign w:val="top"/>
            <w:tcMar>
              <w:top w:w="60" w:type="dxa"/>
              <w:start w:w="60" w:type="dxa"/>
              <w:bottom w:w="60" w:type="dxa"/>
              <w:end w:w="60" w:type="dxa"/>
            </w:tcMar>
          </w:tcPr>
          <w:p>
            <w:pPr>
              <w:spacing w:after="20"/>
            </w:pPr>
            <w:r>
              <w:rPr>
                <w:sz w:val="15"/>
              </w:rPr>
              <w:t>Eligibility, pre-auth, enhancement, claim, query, settlement, denial/appeal, reconciliation.</w:t>
            </w:r>
          </w:p>
        </w:tc>
      </w:tr>
      <w:tr>
        <w:tc>
          <w:tcPr>
            <w:tcW w:type="dxa" w:w="2736"/>
            <w:vAlign w:val="top"/>
            <w:tcMar>
              <w:top w:w="60" w:type="dxa"/>
              <w:start w:w="60" w:type="dxa"/>
              <w:bottom w:w="60" w:type="dxa"/>
              <w:end w:w="60" w:type="dxa"/>
            </w:tcMar>
          </w:tcPr>
          <w:p>
            <w:pPr>
              <w:spacing w:after="20"/>
            </w:pPr>
            <w:r>
              <w:rPr>
                <w:sz w:val="15"/>
              </w:rPr>
              <w:t>Employer / corporate</w:t>
            </w:r>
          </w:p>
        </w:tc>
        <w:tc>
          <w:tcPr>
            <w:tcW w:type="dxa" w:w="8064"/>
            <w:vAlign w:val="top"/>
            <w:tcMar>
              <w:top w:w="60" w:type="dxa"/>
              <w:start w:w="60" w:type="dxa"/>
              <w:bottom w:w="60" w:type="dxa"/>
              <w:end w:w="60" w:type="dxa"/>
            </w:tcMar>
          </w:tcPr>
          <w:p>
            <w:pPr>
              <w:spacing w:after="20"/>
            </w:pPr>
            <w:r>
              <w:rPr>
                <w:sz w:val="15"/>
              </w:rPr>
              <w:t>Employee health plans, corporate diagnostics, occupational health and contract billing.</w:t>
            </w:r>
          </w:p>
        </w:tc>
      </w:tr>
      <w:tr>
        <w:tc>
          <w:tcPr>
            <w:tcW w:type="dxa" w:w="2736"/>
            <w:vAlign w:val="top"/>
            <w:tcMar>
              <w:top w:w="60" w:type="dxa"/>
              <w:start w:w="60" w:type="dxa"/>
              <w:bottom w:w="60" w:type="dxa"/>
              <w:end w:w="60" w:type="dxa"/>
            </w:tcMar>
          </w:tcPr>
          <w:p>
            <w:pPr>
              <w:spacing w:after="20"/>
            </w:pPr>
            <w:r>
              <w:rPr>
                <w:sz w:val="15"/>
              </w:rPr>
              <w:t>Regulatory / accreditation interface</w:t>
            </w:r>
          </w:p>
        </w:tc>
        <w:tc>
          <w:tcPr>
            <w:tcW w:type="dxa" w:w="8064"/>
            <w:vAlign w:val="top"/>
            <w:tcMar>
              <w:top w:w="60" w:type="dxa"/>
              <w:start w:w="60" w:type="dxa"/>
              <w:bottom w:w="60" w:type="dxa"/>
              <w:end w:w="60" w:type="dxa"/>
            </w:tcMar>
          </w:tcPr>
          <w:p>
            <w:pPr>
              <w:spacing w:after="20"/>
            </w:pPr>
            <w:r>
              <w:rPr>
                <w:sz w:val="15"/>
              </w:rPr>
              <w:t>Audit evidence, retention, consent, quality, statutory reporting, configurable compliance exports.</w:t>
            </w:r>
          </w:p>
        </w:tc>
      </w:tr>
    </w:tbl>
    <w:p>
      <w:pPr>
        <w:spacing w:after="20"/>
      </w:pPr>
    </w:p>
    <w:p>
      <w:pPr>
        <w:pStyle w:val="Heading1"/>
      </w:pPr>
      <w:r>
        <w:t>3. Architecture Principles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EAF7"/>
            <w:vAlign w:val="center"/>
            <w:tcMar>
              <w:top w:w="60" w:type="dxa"/>
              <w:start w:w="60" w:type="dxa"/>
              <w:bottom w:w="60" w:type="dxa"/>
              <w:end w:w="60" w:type="dxa"/>
            </w:tcMar>
          </w:tcPr>
          <w:p>
            <w:r>
              <w:rPr>
                <w:b/>
                <w:sz w:val="15"/>
              </w:rPr>
              <w:t>Principle</w:t>
            </w:r>
          </w:p>
        </w:tc>
        <w:tc>
          <w:tcPr>
            <w:tcW w:type="dxa" w:w="8208"/>
            <w:shd w:fill="D9EAF7"/>
            <w:vAlign w:val="center"/>
            <w:tcMar>
              <w:top w:w="60" w:type="dxa"/>
              <w:start w:w="60" w:type="dxa"/>
              <w:bottom w:w="60" w:type="dxa"/>
              <w:end w:w="60" w:type="dxa"/>
            </w:tcMar>
          </w:tcPr>
          <w:p>
            <w:r>
              <w:rPr>
                <w:b/>
                <w:sz w:val="15"/>
              </w:rPr>
              <w:t>Design rule</w:t>
            </w:r>
          </w:p>
        </w:tc>
      </w:tr>
      <w:tr>
        <w:tc>
          <w:tcPr>
            <w:tcW w:type="dxa" w:w="2592"/>
            <w:vAlign w:val="top"/>
            <w:tcMar>
              <w:top w:w="60" w:type="dxa"/>
              <w:start w:w="60" w:type="dxa"/>
              <w:bottom w:w="60" w:type="dxa"/>
              <w:end w:w="60" w:type="dxa"/>
            </w:tcMar>
          </w:tcPr>
          <w:p>
            <w:pPr>
              <w:spacing w:after="20"/>
            </w:pPr>
            <w:r>
              <w:rPr>
                <w:sz w:val="15"/>
              </w:rPr>
              <w:t>Domain-driven modularity</w:t>
            </w:r>
          </w:p>
        </w:tc>
        <w:tc>
          <w:tcPr>
            <w:tcW w:type="dxa" w:w="8208"/>
            <w:vAlign w:val="top"/>
            <w:tcMar>
              <w:top w:w="60" w:type="dxa"/>
              <w:start w:w="60" w:type="dxa"/>
              <w:bottom w:w="60" w:type="dxa"/>
              <w:end w:w="60" w:type="dxa"/>
            </w:tcMar>
          </w:tcPr>
          <w:p>
            <w:pPr>
              <w:spacing w:after="20"/>
            </w:pPr>
            <w:r>
              <w:rPr>
                <w:sz w:val="15"/>
              </w:rPr>
              <w:t>Bounded contexts own rules and schemas; shared platform capabilities are explicit services, not cross-table shortcuts.</w:t>
            </w:r>
          </w:p>
        </w:tc>
      </w:tr>
      <w:tr>
        <w:tc>
          <w:tcPr>
            <w:tcW w:type="dxa" w:w="2592"/>
            <w:vAlign w:val="top"/>
            <w:tcMar>
              <w:top w:w="60" w:type="dxa"/>
              <w:start w:w="60" w:type="dxa"/>
              <w:bottom w:w="60" w:type="dxa"/>
              <w:end w:w="60" w:type="dxa"/>
            </w:tcMar>
          </w:tcPr>
          <w:p>
            <w:pPr>
              <w:spacing w:after="20"/>
            </w:pPr>
            <w:r>
              <w:rPr>
                <w:sz w:val="15"/>
              </w:rPr>
              <w:t>Clean Architecture</w:t>
            </w:r>
          </w:p>
        </w:tc>
        <w:tc>
          <w:tcPr>
            <w:tcW w:type="dxa" w:w="8208"/>
            <w:vAlign w:val="top"/>
            <w:tcMar>
              <w:top w:w="60" w:type="dxa"/>
              <w:start w:w="60" w:type="dxa"/>
              <w:bottom w:w="60" w:type="dxa"/>
              <w:end w:w="60" w:type="dxa"/>
            </w:tcMar>
          </w:tcPr>
          <w:p>
            <w:pPr>
              <w:spacing w:after="20"/>
            </w:pPr>
            <w:r>
              <w:rPr>
                <w:sz w:val="15"/>
              </w:rPr>
              <w:t>Transport → application/service → domain → repository interface → sqlc repository → PostgreSQL.</w:t>
            </w:r>
          </w:p>
        </w:tc>
      </w:tr>
      <w:tr>
        <w:tc>
          <w:tcPr>
            <w:tcW w:type="dxa" w:w="2592"/>
            <w:vAlign w:val="top"/>
            <w:tcMar>
              <w:top w:w="60" w:type="dxa"/>
              <w:start w:w="60" w:type="dxa"/>
              <w:bottom w:w="60" w:type="dxa"/>
              <w:end w:w="60" w:type="dxa"/>
            </w:tcMar>
          </w:tcPr>
          <w:p>
            <w:pPr>
              <w:spacing w:after="20"/>
            </w:pPr>
            <w:r>
              <w:rPr>
                <w:sz w:val="15"/>
              </w:rPr>
              <w:t>Contract-first APIs</w:t>
            </w:r>
          </w:p>
        </w:tc>
        <w:tc>
          <w:tcPr>
            <w:tcW w:type="dxa" w:w="8208"/>
            <w:vAlign w:val="top"/>
            <w:tcMar>
              <w:top w:w="60" w:type="dxa"/>
              <w:start w:w="60" w:type="dxa"/>
              <w:bottom w:w="60" w:type="dxa"/>
              <w:end w:w="60" w:type="dxa"/>
            </w:tcMar>
          </w:tcPr>
          <w:p>
            <w:pPr>
              <w:spacing w:after="20"/>
            </w:pPr>
            <w:r>
              <w:rPr>
                <w:sz w:val="15"/>
              </w:rPr>
              <w:t>Protobuf is the canonical internal contract. ConnectRPC supports browser-friendly RPC; REST/FHIR gateways are exposed for external compatibility.</w:t>
            </w:r>
          </w:p>
        </w:tc>
      </w:tr>
      <w:tr>
        <w:tc>
          <w:tcPr>
            <w:tcW w:type="dxa" w:w="2592"/>
            <w:vAlign w:val="top"/>
            <w:tcMar>
              <w:top w:w="60" w:type="dxa"/>
              <w:start w:w="60" w:type="dxa"/>
              <w:bottom w:w="60" w:type="dxa"/>
              <w:end w:w="60" w:type="dxa"/>
            </w:tcMar>
          </w:tcPr>
          <w:p>
            <w:pPr>
              <w:spacing w:after="20"/>
            </w:pPr>
            <w:r>
              <w:rPr>
                <w:sz w:val="15"/>
              </w:rPr>
              <w:t>Modular monolith first</w:t>
            </w:r>
          </w:p>
        </w:tc>
        <w:tc>
          <w:tcPr>
            <w:tcW w:type="dxa" w:w="8208"/>
            <w:vAlign w:val="top"/>
            <w:tcMar>
              <w:top w:w="60" w:type="dxa"/>
              <w:start w:w="60" w:type="dxa"/>
              <w:bottom w:w="60" w:type="dxa"/>
              <w:end w:w="60" w:type="dxa"/>
            </w:tcMar>
          </w:tcPr>
          <w:p>
            <w:pPr>
              <w:spacing w:after="20"/>
            </w:pPr>
            <w:r>
              <w:rPr>
                <w:sz w:val="15"/>
              </w:rPr>
              <w:t>Deploy core domains as independently owned modules in fewer binaries initially; split high-scale or isolation-sensitive domains into services when evidence requires.</w:t>
            </w:r>
          </w:p>
        </w:tc>
      </w:tr>
      <w:tr>
        <w:tc>
          <w:tcPr>
            <w:tcW w:type="dxa" w:w="2592"/>
            <w:vAlign w:val="top"/>
            <w:tcMar>
              <w:top w:w="60" w:type="dxa"/>
              <w:start w:w="60" w:type="dxa"/>
              <w:bottom w:w="60" w:type="dxa"/>
              <w:end w:w="60" w:type="dxa"/>
            </w:tcMar>
          </w:tcPr>
          <w:p>
            <w:pPr>
              <w:spacing w:after="20"/>
            </w:pPr>
            <w:r>
              <w:rPr>
                <w:sz w:val="15"/>
              </w:rPr>
              <w:t>Event + workflow backbone</w:t>
            </w:r>
          </w:p>
        </w:tc>
        <w:tc>
          <w:tcPr>
            <w:tcW w:type="dxa" w:w="8208"/>
            <w:vAlign w:val="top"/>
            <w:tcMar>
              <w:top w:w="60" w:type="dxa"/>
              <w:start w:w="60" w:type="dxa"/>
              <w:bottom w:w="60" w:type="dxa"/>
              <w:end w:w="60" w:type="dxa"/>
            </w:tcMar>
          </w:tcPr>
          <w:p>
            <w:pPr>
              <w:spacing w:after="20"/>
            </w:pPr>
            <w:r>
              <w:rPr>
                <w:sz w:val="15"/>
              </w:rPr>
              <w:t>Transactional outbox emits domain events. Durable workflow orchestration handles claims, fulfilment, lab lifecycle, approvals and long-running exceptions.</w:t>
            </w:r>
          </w:p>
        </w:tc>
      </w:tr>
      <w:tr>
        <w:tc>
          <w:tcPr>
            <w:tcW w:type="dxa" w:w="2592"/>
            <w:vAlign w:val="top"/>
            <w:tcMar>
              <w:top w:w="60" w:type="dxa"/>
              <w:start w:w="60" w:type="dxa"/>
              <w:bottom w:w="60" w:type="dxa"/>
              <w:end w:w="60" w:type="dxa"/>
            </w:tcMar>
          </w:tcPr>
          <w:p>
            <w:pPr>
              <w:spacing w:after="20"/>
            </w:pPr>
            <w:r>
              <w:rPr>
                <w:sz w:val="15"/>
              </w:rPr>
              <w:t>Auditability</w:t>
            </w:r>
          </w:p>
        </w:tc>
        <w:tc>
          <w:tcPr>
            <w:tcW w:type="dxa" w:w="8208"/>
            <w:vAlign w:val="top"/>
            <w:tcMar>
              <w:top w:w="60" w:type="dxa"/>
              <w:start w:w="60" w:type="dxa"/>
              <w:bottom w:w="60" w:type="dxa"/>
              <w:end w:w="60" w:type="dxa"/>
            </w:tcMar>
          </w:tcPr>
          <w:p>
            <w:pPr>
              <w:spacing w:after="20"/>
            </w:pPr>
            <w:r>
              <w:rPr>
                <w:sz w:val="15"/>
              </w:rPr>
              <w:t>Every clinically or financially material mutation records who/what/when/why, original value, new value, source and correlation identifiers.</w:t>
            </w:r>
          </w:p>
        </w:tc>
      </w:tr>
      <w:tr>
        <w:tc>
          <w:tcPr>
            <w:tcW w:type="dxa" w:w="2592"/>
            <w:vAlign w:val="top"/>
            <w:tcMar>
              <w:top w:w="60" w:type="dxa"/>
              <w:start w:w="60" w:type="dxa"/>
              <w:bottom w:w="60" w:type="dxa"/>
              <w:end w:w="60" w:type="dxa"/>
            </w:tcMar>
          </w:tcPr>
          <w:p>
            <w:pPr>
              <w:spacing w:after="20"/>
            </w:pPr>
            <w:r>
              <w:rPr>
                <w:sz w:val="15"/>
              </w:rPr>
              <w:t>Safety separation</w:t>
            </w:r>
          </w:p>
        </w:tc>
        <w:tc>
          <w:tcPr>
            <w:tcW w:type="dxa" w:w="8208"/>
            <w:vAlign w:val="top"/>
            <w:tcMar>
              <w:top w:w="60" w:type="dxa"/>
              <w:start w:w="60" w:type="dxa"/>
              <w:bottom w:w="60" w:type="dxa"/>
              <w:end w:w="60" w:type="dxa"/>
            </w:tcMar>
          </w:tcPr>
          <w:p>
            <w:pPr>
              <w:spacing w:after="20"/>
            </w:pPr>
            <w:r>
              <w:rPr>
                <w:sz w:val="15"/>
              </w:rPr>
              <w:t>SCADA/facility controls, clinical systems and AI execution have distinct permission boundaries and fail-safe behaviors.</w:t>
            </w:r>
          </w:p>
        </w:tc>
      </w:tr>
      <w:tr>
        <w:tc>
          <w:tcPr>
            <w:tcW w:type="dxa" w:w="2592"/>
            <w:vAlign w:val="top"/>
            <w:tcMar>
              <w:top w:w="60" w:type="dxa"/>
              <w:start w:w="60" w:type="dxa"/>
              <w:bottom w:w="60" w:type="dxa"/>
              <w:end w:w="60" w:type="dxa"/>
            </w:tcMar>
          </w:tcPr>
          <w:p>
            <w:pPr>
              <w:spacing w:after="20"/>
            </w:pPr>
            <w:r>
              <w:rPr>
                <w:sz w:val="15"/>
              </w:rPr>
              <w:t>Multi-tenancy by construction</w:t>
            </w:r>
          </w:p>
        </w:tc>
        <w:tc>
          <w:tcPr>
            <w:tcW w:type="dxa" w:w="8208"/>
            <w:vAlign w:val="top"/>
            <w:tcMar>
              <w:top w:w="60" w:type="dxa"/>
              <w:start w:w="60" w:type="dxa"/>
              <w:bottom w:w="60" w:type="dxa"/>
              <w:end w:w="60" w:type="dxa"/>
            </w:tcMar>
          </w:tcPr>
          <w:p>
            <w:pPr>
              <w:spacing w:after="20"/>
            </w:pPr>
            <w:r>
              <w:rPr>
                <w:sz w:val="15"/>
              </w:rPr>
              <w:t>Tenant, legal entity, facility, department, store/warehouse and business-unit scoping enforced below UI level.</w:t>
            </w:r>
          </w:p>
        </w:tc>
      </w:tr>
      <w:tr>
        <w:tc>
          <w:tcPr>
            <w:tcW w:type="dxa" w:w="2592"/>
            <w:vAlign w:val="top"/>
            <w:tcMar>
              <w:top w:w="60" w:type="dxa"/>
              <w:start w:w="60" w:type="dxa"/>
              <w:bottom w:w="60" w:type="dxa"/>
              <w:end w:w="60" w:type="dxa"/>
            </w:tcMar>
          </w:tcPr>
          <w:p>
            <w:pPr>
              <w:spacing w:after="20"/>
            </w:pPr>
            <w:r>
              <w:rPr>
                <w:sz w:val="15"/>
              </w:rPr>
              <w:t>Configuration over forks</w:t>
            </w:r>
          </w:p>
        </w:tc>
        <w:tc>
          <w:tcPr>
            <w:tcW w:type="dxa" w:w="8208"/>
            <w:vAlign w:val="top"/>
            <w:tcMar>
              <w:top w:w="60" w:type="dxa"/>
              <w:start w:w="60" w:type="dxa"/>
              <w:bottom w:w="60" w:type="dxa"/>
              <w:end w:w="60" w:type="dxa"/>
            </w:tcMar>
          </w:tcPr>
          <w:p>
            <w:pPr>
              <w:spacing w:after="20"/>
            </w:pPr>
            <w:r>
              <w:rPr>
                <w:sz w:val="15"/>
              </w:rPr>
              <w:t>Specialty forms, charge masters, formularies, schemes, payer rules and workflows are versioned configuration where practical.</w:t>
            </w:r>
          </w:p>
        </w:tc>
      </w:tr>
      <w:tr>
        <w:tc>
          <w:tcPr>
            <w:tcW w:type="dxa" w:w="2592"/>
            <w:vAlign w:val="top"/>
            <w:tcMar>
              <w:top w:w="60" w:type="dxa"/>
              <w:start w:w="60" w:type="dxa"/>
              <w:bottom w:w="60" w:type="dxa"/>
              <w:end w:w="60" w:type="dxa"/>
            </w:tcMar>
          </w:tcPr>
          <w:p>
            <w:pPr>
              <w:spacing w:after="20"/>
            </w:pPr>
            <w:r>
              <w:rPr>
                <w:sz w:val="15"/>
              </w:rPr>
              <w:t>Offline/edge aware</w:t>
            </w:r>
          </w:p>
        </w:tc>
        <w:tc>
          <w:tcPr>
            <w:tcW w:type="dxa" w:w="8208"/>
            <w:vAlign w:val="top"/>
            <w:tcMar>
              <w:top w:w="60" w:type="dxa"/>
              <w:start w:w="60" w:type="dxa"/>
              <w:bottom w:w="60" w:type="dxa"/>
              <w:end w:w="60" w:type="dxa"/>
            </w:tcMar>
          </w:tcPr>
          <w:p>
            <w:pPr>
              <w:spacing w:after="20"/>
            </w:pPr>
            <w:r>
              <w:rPr>
                <w:sz w:val="15"/>
              </w:rPr>
              <w:t>Selected hospital, bedside, field collection, warehouse and mobile functions tolerate intermittent connectivity with reconciliation.</w:t>
            </w:r>
          </w:p>
        </w:tc>
      </w:tr>
    </w:tbl>
    <w:p>
      <w:pPr>
        <w:spacing w:after="20"/>
      </w:pPr>
    </w:p>
    <w:p>
      <w:pPr>
        <w:pStyle w:val="Heading2"/>
      </w:pPr>
      <w:r>
        <w:t>3.1 Target Technology Stack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D9EAF7"/>
            <w:vAlign w:val="center"/>
            <w:tcMar>
              <w:top w:w="60" w:type="dxa"/>
              <w:start w:w="60" w:type="dxa"/>
              <w:bottom w:w="60" w:type="dxa"/>
              <w:end w:w="60" w:type="dxa"/>
            </w:tcMar>
          </w:tcPr>
          <w:p>
            <w:r>
              <w:rPr>
                <w:b/>
                <w:sz w:val="15"/>
              </w:rPr>
              <w:t>Layer</w:t>
            </w:r>
          </w:p>
        </w:tc>
        <w:tc>
          <w:tcPr>
            <w:tcW w:type="dxa" w:w="8352"/>
            <w:shd w:fill="D9EAF7"/>
            <w:vAlign w:val="center"/>
            <w:tcMar>
              <w:top w:w="60" w:type="dxa"/>
              <w:start w:w="60" w:type="dxa"/>
              <w:bottom w:w="60" w:type="dxa"/>
              <w:end w:w="60" w:type="dxa"/>
            </w:tcMar>
          </w:tcPr>
          <w:p>
            <w:r>
              <w:rPr>
                <w:b/>
                <w:sz w:val="15"/>
              </w:rPr>
              <w:t>Technology / approach</w:t>
            </w:r>
          </w:p>
        </w:tc>
      </w:tr>
      <w:tr>
        <w:tc>
          <w:tcPr>
            <w:tcW w:type="dxa" w:w="2448"/>
            <w:vAlign w:val="top"/>
            <w:tcMar>
              <w:top w:w="60" w:type="dxa"/>
              <w:start w:w="60" w:type="dxa"/>
              <w:bottom w:w="60" w:type="dxa"/>
              <w:end w:w="60" w:type="dxa"/>
            </w:tcMar>
          </w:tcPr>
          <w:p>
            <w:pPr>
              <w:spacing w:after="20"/>
            </w:pPr>
            <w:r>
              <w:rPr>
                <w:sz w:val="15"/>
              </w:rPr>
              <w:t>Web</w:t>
            </w:r>
          </w:p>
        </w:tc>
        <w:tc>
          <w:tcPr>
            <w:tcW w:type="dxa" w:w="8352"/>
            <w:vAlign w:val="top"/>
            <w:tcMar>
              <w:top w:w="60" w:type="dxa"/>
              <w:start w:w="60" w:type="dxa"/>
              <w:bottom w:w="60" w:type="dxa"/>
              <w:end w:w="60" w:type="dxa"/>
            </w:tcMar>
          </w:tcPr>
          <w:p>
            <w:pPr>
              <w:spacing w:after="20"/>
            </w:pPr>
            <w:r>
              <w:rPr>
                <w:sz w:val="15"/>
              </w:rPr>
              <w:t>Svelte + SvelteKit + TypeScript; SSR where useful; component system; route-level authorization; PWA selectively.</w:t>
            </w:r>
          </w:p>
        </w:tc>
      </w:tr>
      <w:tr>
        <w:tc>
          <w:tcPr>
            <w:tcW w:type="dxa" w:w="2448"/>
            <w:vAlign w:val="top"/>
            <w:tcMar>
              <w:top w:w="60" w:type="dxa"/>
              <w:start w:w="60" w:type="dxa"/>
              <w:bottom w:w="60" w:type="dxa"/>
              <w:end w:w="60" w:type="dxa"/>
            </w:tcMar>
          </w:tcPr>
          <w:p>
            <w:pPr>
              <w:spacing w:after="20"/>
            </w:pPr>
            <w:r>
              <w:rPr>
                <w:sz w:val="15"/>
              </w:rPr>
              <w:t>Mobile</w:t>
            </w:r>
          </w:p>
        </w:tc>
        <w:tc>
          <w:tcPr>
            <w:tcW w:type="dxa" w:w="8352"/>
            <w:vAlign w:val="top"/>
            <w:tcMar>
              <w:top w:w="60" w:type="dxa"/>
              <w:start w:w="60" w:type="dxa"/>
              <w:bottom w:w="60" w:type="dxa"/>
              <w:end w:w="60" w:type="dxa"/>
            </w:tcMar>
          </w:tcPr>
          <w:p>
            <w:pPr>
              <w:spacing w:after="20"/>
            </w:pPr>
            <w:r>
              <w:rPr>
                <w:sz w:val="15"/>
              </w:rPr>
              <w:t>Flutter/Dart; patient super-app, clinician companion, phlebotomy, delivery and field-sales applications.</w:t>
            </w:r>
          </w:p>
        </w:tc>
      </w:tr>
      <w:tr>
        <w:tc>
          <w:tcPr>
            <w:tcW w:type="dxa" w:w="2448"/>
            <w:vAlign w:val="top"/>
            <w:tcMar>
              <w:top w:w="60" w:type="dxa"/>
              <w:start w:w="60" w:type="dxa"/>
              <w:bottom w:w="60" w:type="dxa"/>
              <w:end w:w="60" w:type="dxa"/>
            </w:tcMar>
          </w:tcPr>
          <w:p>
            <w:pPr>
              <w:spacing w:after="20"/>
            </w:pPr>
            <w:r>
              <w:rPr>
                <w:sz w:val="15"/>
              </w:rPr>
              <w:t>Backend</w:t>
            </w:r>
          </w:p>
        </w:tc>
        <w:tc>
          <w:tcPr>
            <w:tcW w:type="dxa" w:w="8352"/>
            <w:vAlign w:val="top"/>
            <w:tcMar>
              <w:top w:w="60" w:type="dxa"/>
              <w:start w:w="60" w:type="dxa"/>
              <w:bottom w:w="60" w:type="dxa"/>
              <w:end w:w="60" w:type="dxa"/>
            </w:tcMar>
          </w:tcPr>
          <w:p>
            <w:pPr>
              <w:spacing w:after="20"/>
            </w:pPr>
            <w:r>
              <w:rPr>
                <w:sz w:val="15"/>
              </w:rPr>
              <w:t>Go; ConnectRPC; Protobuf; clean/domain architecture; sqlc; pgx; PostgreSQL.</w:t>
            </w:r>
          </w:p>
        </w:tc>
      </w:tr>
      <w:tr>
        <w:tc>
          <w:tcPr>
            <w:tcW w:type="dxa" w:w="2448"/>
            <w:vAlign w:val="top"/>
            <w:tcMar>
              <w:top w:w="60" w:type="dxa"/>
              <w:start w:w="60" w:type="dxa"/>
              <w:bottom w:w="60" w:type="dxa"/>
              <w:end w:w="60" w:type="dxa"/>
            </w:tcMar>
          </w:tcPr>
          <w:p>
            <w:pPr>
              <w:spacing w:after="20"/>
            </w:pPr>
            <w:r>
              <w:rPr>
                <w:sz w:val="15"/>
              </w:rPr>
              <w:t>AI/ML</w:t>
            </w:r>
          </w:p>
        </w:tc>
        <w:tc>
          <w:tcPr>
            <w:tcW w:type="dxa" w:w="8352"/>
            <w:vAlign w:val="top"/>
            <w:tcMar>
              <w:top w:w="60" w:type="dxa"/>
              <w:start w:w="60" w:type="dxa"/>
              <w:bottom w:w="60" w:type="dxa"/>
              <w:end w:w="60" w:type="dxa"/>
            </w:tcMar>
          </w:tcPr>
          <w:p>
            <w:pPr>
              <w:spacing w:after="20"/>
            </w:pPr>
            <w:r>
              <w:rPr>
                <w:sz w:val="15"/>
              </w:rPr>
              <w:t>Rust inference/optimization workers and services; model registry; feature pipelines; ONNX/native runtimes where appropriate.</w:t>
            </w:r>
          </w:p>
        </w:tc>
      </w:tr>
      <w:tr>
        <w:tc>
          <w:tcPr>
            <w:tcW w:type="dxa" w:w="2448"/>
            <w:vAlign w:val="top"/>
            <w:tcMar>
              <w:top w:w="60" w:type="dxa"/>
              <w:start w:w="60" w:type="dxa"/>
              <w:bottom w:w="60" w:type="dxa"/>
              <w:end w:w="60" w:type="dxa"/>
            </w:tcMar>
          </w:tcPr>
          <w:p>
            <w:pPr>
              <w:spacing w:after="20"/>
            </w:pPr>
            <w:r>
              <w:rPr>
                <w:sz w:val="15"/>
              </w:rPr>
              <w:t>Cache/session</w:t>
            </w:r>
          </w:p>
        </w:tc>
        <w:tc>
          <w:tcPr>
            <w:tcW w:type="dxa" w:w="8352"/>
            <w:vAlign w:val="top"/>
            <w:tcMar>
              <w:top w:w="60" w:type="dxa"/>
              <w:start w:w="60" w:type="dxa"/>
              <w:bottom w:w="60" w:type="dxa"/>
              <w:end w:w="60" w:type="dxa"/>
            </w:tcMar>
          </w:tcPr>
          <w:p>
            <w:pPr>
              <w:spacing w:after="20"/>
            </w:pPr>
            <w:r>
              <w:rPr>
                <w:sz w:val="15"/>
              </w:rPr>
              <w:t>Redis-compatible cache for bounded caching, rate limiting, distributed coordination and ephemeral state.</w:t>
            </w:r>
          </w:p>
        </w:tc>
      </w:tr>
      <w:tr>
        <w:tc>
          <w:tcPr>
            <w:tcW w:type="dxa" w:w="2448"/>
            <w:vAlign w:val="top"/>
            <w:tcMar>
              <w:top w:w="60" w:type="dxa"/>
              <w:start w:w="60" w:type="dxa"/>
              <w:bottom w:w="60" w:type="dxa"/>
              <w:end w:w="60" w:type="dxa"/>
            </w:tcMar>
          </w:tcPr>
          <w:p>
            <w:pPr>
              <w:spacing w:after="20"/>
            </w:pPr>
            <w:r>
              <w:rPr>
                <w:sz w:val="15"/>
              </w:rPr>
              <w:t>Events</w:t>
            </w:r>
          </w:p>
        </w:tc>
        <w:tc>
          <w:tcPr>
            <w:tcW w:type="dxa" w:w="8352"/>
            <w:vAlign w:val="top"/>
            <w:tcMar>
              <w:top w:w="60" w:type="dxa"/>
              <w:start w:w="60" w:type="dxa"/>
              <w:bottom w:w="60" w:type="dxa"/>
              <w:end w:w="60" w:type="dxa"/>
            </w:tcMar>
          </w:tcPr>
          <w:p>
            <w:pPr>
              <w:spacing w:after="20"/>
            </w:pPr>
            <w:r>
              <w:rPr>
                <w:sz w:val="15"/>
              </w:rPr>
              <w:t>Kafka-compatible or NATS JetStream-class event backbone; transactional outbox/inbox; schema/version governance.</w:t>
            </w:r>
          </w:p>
        </w:tc>
      </w:tr>
      <w:tr>
        <w:tc>
          <w:tcPr>
            <w:tcW w:type="dxa" w:w="2448"/>
            <w:vAlign w:val="top"/>
            <w:tcMar>
              <w:top w:w="60" w:type="dxa"/>
              <w:start w:w="60" w:type="dxa"/>
              <w:bottom w:w="60" w:type="dxa"/>
              <w:end w:w="60" w:type="dxa"/>
            </w:tcMar>
          </w:tcPr>
          <w:p>
            <w:pPr>
              <w:spacing w:after="20"/>
            </w:pPr>
            <w:r>
              <w:rPr>
                <w:sz w:val="15"/>
              </w:rPr>
              <w:t>Workflow</w:t>
            </w:r>
          </w:p>
        </w:tc>
        <w:tc>
          <w:tcPr>
            <w:tcW w:type="dxa" w:w="8352"/>
            <w:vAlign w:val="top"/>
            <w:tcMar>
              <w:top w:w="60" w:type="dxa"/>
              <w:start w:w="60" w:type="dxa"/>
              <w:bottom w:w="60" w:type="dxa"/>
              <w:end w:w="60" w:type="dxa"/>
            </w:tcMar>
          </w:tcPr>
          <w:p>
            <w:pPr>
              <w:spacing w:after="20"/>
            </w:pPr>
            <w:r>
              <w:rPr>
                <w:sz w:val="15"/>
              </w:rPr>
              <w:t>Durable workflow engine or internally built state machines for orders, claims and fulfilment; no business-critical cron-only orchestration.</w:t>
            </w:r>
          </w:p>
        </w:tc>
      </w:tr>
      <w:tr>
        <w:tc>
          <w:tcPr>
            <w:tcW w:type="dxa" w:w="2448"/>
            <w:vAlign w:val="top"/>
            <w:tcMar>
              <w:top w:w="60" w:type="dxa"/>
              <w:start w:w="60" w:type="dxa"/>
              <w:bottom w:w="60" w:type="dxa"/>
              <w:end w:w="60" w:type="dxa"/>
            </w:tcMar>
          </w:tcPr>
          <w:p>
            <w:pPr>
              <w:spacing w:after="20"/>
            </w:pPr>
            <w:r>
              <w:rPr>
                <w:sz w:val="15"/>
              </w:rPr>
              <w:t>Search</w:t>
            </w:r>
          </w:p>
        </w:tc>
        <w:tc>
          <w:tcPr>
            <w:tcW w:type="dxa" w:w="8352"/>
            <w:vAlign w:val="top"/>
            <w:tcMar>
              <w:top w:w="60" w:type="dxa"/>
              <w:start w:w="60" w:type="dxa"/>
              <w:bottom w:w="60" w:type="dxa"/>
              <w:end w:w="60" w:type="dxa"/>
            </w:tcMar>
          </w:tcPr>
          <w:p>
            <w:pPr>
              <w:spacing w:after="20"/>
            </w:pPr>
            <w:r>
              <w:rPr>
                <w:sz w:val="15"/>
              </w:rPr>
              <w:t>OpenSearch/Elasticsearch-class index for patient-safe document/operational search; PostgreSQL FTS for smaller deployments.</w:t>
            </w:r>
          </w:p>
        </w:tc>
      </w:tr>
      <w:tr>
        <w:tc>
          <w:tcPr>
            <w:tcW w:type="dxa" w:w="2448"/>
            <w:vAlign w:val="top"/>
            <w:tcMar>
              <w:top w:w="60" w:type="dxa"/>
              <w:start w:w="60" w:type="dxa"/>
              <w:bottom w:w="60" w:type="dxa"/>
              <w:end w:w="60" w:type="dxa"/>
            </w:tcMar>
          </w:tcPr>
          <w:p>
            <w:pPr>
              <w:spacing w:after="20"/>
            </w:pPr>
            <w:r>
              <w:rPr>
                <w:sz w:val="15"/>
              </w:rPr>
              <w:t>Object storage</w:t>
            </w:r>
          </w:p>
        </w:tc>
        <w:tc>
          <w:tcPr>
            <w:tcW w:type="dxa" w:w="8352"/>
            <w:vAlign w:val="top"/>
            <w:tcMar>
              <w:top w:w="60" w:type="dxa"/>
              <w:start w:w="60" w:type="dxa"/>
              <w:bottom w:w="60" w:type="dxa"/>
              <w:end w:w="60" w:type="dxa"/>
            </w:tcMar>
          </w:tcPr>
          <w:p>
            <w:pPr>
              <w:spacing w:after="20"/>
            </w:pPr>
            <w:r>
              <w:rPr>
                <w:sz w:val="15"/>
              </w:rPr>
              <w:t>S3-compatible encrypted storage for reports, scans, images, invoices, attachments, exports and model artifacts.</w:t>
            </w:r>
          </w:p>
        </w:tc>
      </w:tr>
      <w:tr>
        <w:tc>
          <w:tcPr>
            <w:tcW w:type="dxa" w:w="2448"/>
            <w:vAlign w:val="top"/>
            <w:tcMar>
              <w:top w:w="60" w:type="dxa"/>
              <w:start w:w="60" w:type="dxa"/>
              <w:bottom w:w="60" w:type="dxa"/>
              <w:end w:w="60" w:type="dxa"/>
            </w:tcMar>
          </w:tcPr>
          <w:p>
            <w:pPr>
              <w:spacing w:after="20"/>
            </w:pPr>
            <w:r>
              <w:rPr>
                <w:sz w:val="15"/>
              </w:rPr>
              <w:t>Imaging</w:t>
            </w:r>
          </w:p>
        </w:tc>
        <w:tc>
          <w:tcPr>
            <w:tcW w:type="dxa" w:w="8352"/>
            <w:vAlign w:val="top"/>
            <w:tcMar>
              <w:top w:w="60" w:type="dxa"/>
              <w:start w:w="60" w:type="dxa"/>
              <w:bottom w:w="60" w:type="dxa"/>
              <w:end w:w="60" w:type="dxa"/>
            </w:tcMar>
          </w:tcPr>
          <w:p>
            <w:pPr>
              <w:spacing w:after="20"/>
            </w:pPr>
            <w:r>
              <w:rPr>
                <w:sz w:val="15"/>
              </w:rPr>
              <w:t>DICOM/DICOMweb adapters; PACS integration; optional vendor-neutral archive capability.</w:t>
            </w:r>
          </w:p>
        </w:tc>
      </w:tr>
      <w:tr>
        <w:tc>
          <w:tcPr>
            <w:tcW w:type="dxa" w:w="2448"/>
            <w:vAlign w:val="top"/>
            <w:tcMar>
              <w:top w:w="60" w:type="dxa"/>
              <w:start w:w="60" w:type="dxa"/>
              <w:bottom w:w="60" w:type="dxa"/>
              <w:end w:w="60" w:type="dxa"/>
            </w:tcMar>
          </w:tcPr>
          <w:p>
            <w:pPr>
              <w:spacing w:after="20"/>
            </w:pPr>
            <w:r>
              <w:rPr>
                <w:sz w:val="15"/>
              </w:rPr>
              <w:t>Observability</w:t>
            </w:r>
          </w:p>
        </w:tc>
        <w:tc>
          <w:tcPr>
            <w:tcW w:type="dxa" w:w="8352"/>
            <w:vAlign w:val="top"/>
            <w:tcMar>
              <w:top w:w="60" w:type="dxa"/>
              <w:start w:w="60" w:type="dxa"/>
              <w:bottom w:w="60" w:type="dxa"/>
              <w:end w:w="60" w:type="dxa"/>
            </w:tcMar>
          </w:tcPr>
          <w:p>
            <w:pPr>
              <w:spacing w:after="20"/>
            </w:pPr>
            <w:r>
              <w:rPr>
                <w:sz w:val="15"/>
              </w:rPr>
              <w:t>OpenTelemetry traces/metrics/logs, centralized log store, alert manager, SLO dashboards.</w:t>
            </w:r>
          </w:p>
        </w:tc>
      </w:tr>
      <w:tr>
        <w:tc>
          <w:tcPr>
            <w:tcW w:type="dxa" w:w="2448"/>
            <w:vAlign w:val="top"/>
            <w:tcMar>
              <w:top w:w="60" w:type="dxa"/>
              <w:start w:w="60" w:type="dxa"/>
              <w:bottom w:w="60" w:type="dxa"/>
              <w:end w:w="60" w:type="dxa"/>
            </w:tcMar>
          </w:tcPr>
          <w:p>
            <w:pPr>
              <w:spacing w:after="20"/>
            </w:pPr>
            <w:r>
              <w:rPr>
                <w:sz w:val="15"/>
              </w:rPr>
              <w:t>Deployment</w:t>
            </w:r>
          </w:p>
        </w:tc>
        <w:tc>
          <w:tcPr>
            <w:tcW w:type="dxa" w:w="8352"/>
            <w:vAlign w:val="top"/>
            <w:tcMar>
              <w:top w:w="60" w:type="dxa"/>
              <w:start w:w="60" w:type="dxa"/>
              <w:bottom w:w="60" w:type="dxa"/>
              <w:end w:w="60" w:type="dxa"/>
            </w:tcMar>
          </w:tcPr>
          <w:p>
            <w:pPr>
              <w:spacing w:after="20"/>
            </w:pPr>
            <w:r>
              <w:rPr>
                <w:sz w:val="15"/>
              </w:rPr>
              <w:t>Kubernetes for SaaS/enterprise; containerized smaller deployment profile; infrastructure-as-code; GitOps.</w:t>
            </w:r>
          </w:p>
        </w:tc>
      </w:tr>
    </w:tbl>
    <w:p>
      <w:pPr>
        <w:spacing w:after="20"/>
      </w:pPr>
    </w:p>
    <w:p>
      <w:pPr>
        <w:pStyle w:val="Heading1"/>
      </w:pPr>
      <w:r>
        <w:t>4. SaaS Tenancy, Organization and Master Data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D9EAF7"/>
            <w:vAlign w:val="center"/>
            <w:tcMar>
              <w:top w:w="60" w:type="dxa"/>
              <w:start w:w="60" w:type="dxa"/>
              <w:bottom w:w="60" w:type="dxa"/>
              <w:end w:w="60" w:type="dxa"/>
            </w:tcMar>
          </w:tcPr>
          <w:p>
            <w:r>
              <w:rPr>
                <w:b/>
                <w:sz w:val="15"/>
              </w:rPr>
              <w:t>ID</w:t>
            </w:r>
          </w:p>
        </w:tc>
        <w:tc>
          <w:tcPr>
            <w:tcW w:type="dxa" w:w="8496"/>
            <w:shd w:fill="D9EAF7"/>
            <w:vAlign w:val="center"/>
            <w:tcMar>
              <w:top w:w="60" w:type="dxa"/>
              <w:start w:w="60" w:type="dxa"/>
              <w:bottom w:w="60" w:type="dxa"/>
              <w:end w:w="60" w:type="dxa"/>
            </w:tcMar>
          </w:tcPr>
          <w:p>
            <w:r>
              <w:rPr>
                <w:b/>
                <w:sz w:val="15"/>
              </w:rPr>
              <w:t>Requirement</w:t>
            </w:r>
          </w:p>
        </w:tc>
        <w:tc>
          <w:tcPr>
            <w:tcW w:type="dxa" w:w="864"/>
            <w:shd w:fill="D9EAF7"/>
            <w:vAlign w:val="center"/>
            <w:tcMar>
              <w:top w:w="60" w:type="dxa"/>
              <w:start w:w="60" w:type="dxa"/>
              <w:bottom w:w="60" w:type="dxa"/>
              <w:end w:w="60" w:type="dxa"/>
            </w:tcMar>
          </w:tcPr>
          <w:p>
            <w:r>
              <w:rPr>
                <w:b/>
                <w:sz w:val="15"/>
              </w:rPr>
              <w:t>Priority</w:t>
            </w:r>
          </w:p>
        </w:tc>
      </w:tr>
      <w:tr>
        <w:tc>
          <w:tcPr>
            <w:tcW w:type="dxa" w:w="1440"/>
            <w:vAlign w:val="top"/>
            <w:tcMar>
              <w:top w:w="60" w:type="dxa"/>
              <w:start w:w="60" w:type="dxa"/>
              <w:bottom w:w="60" w:type="dxa"/>
              <w:end w:w="60" w:type="dxa"/>
            </w:tcMar>
          </w:tcPr>
          <w:p>
            <w:pPr>
              <w:spacing w:after="20"/>
            </w:pPr>
            <w:r>
              <w:rPr>
                <w:sz w:val="15"/>
              </w:rPr>
              <w:t>PLT-001</w:t>
            </w:r>
          </w:p>
        </w:tc>
        <w:tc>
          <w:tcPr>
            <w:tcW w:type="dxa" w:w="8496"/>
            <w:vAlign w:val="top"/>
            <w:tcMar>
              <w:top w:w="60" w:type="dxa"/>
              <w:start w:w="60" w:type="dxa"/>
              <w:bottom w:w="60" w:type="dxa"/>
              <w:end w:w="60" w:type="dxa"/>
            </w:tcMar>
          </w:tcPr>
          <w:p>
            <w:pPr>
              <w:spacing w:after="20"/>
            </w:pPr>
            <w:r>
              <w:rPr>
                <w:sz w:val="15"/>
              </w:rPr>
              <w:t>Hierarchical tenant model: tenant → legal entity → region → facility → department/unit → room/bed or store/warehouse.</w:t>
            </w:r>
          </w:p>
        </w:tc>
        <w:tc>
          <w:tcPr>
            <w:tcW w:type="dxa" w:w="864"/>
            <w:vAlign w:val="top"/>
            <w:tcMar>
              <w:top w:w="60" w:type="dxa"/>
              <w:start w:w="60" w:type="dxa"/>
              <w:bottom w:w="60" w:type="dxa"/>
              <w:end w:w="60" w:type="dxa"/>
            </w:tcMar>
          </w:tcPr>
          <w:p>
            <w:pPr>
              <w:spacing w:after="20"/>
            </w:pPr>
            <w:r>
              <w:rPr>
                <w:sz w:val="15"/>
              </w:rPr>
              <w:t>Must</w:t>
            </w:r>
          </w:p>
        </w:tc>
      </w:tr>
      <w:tr>
        <w:tc>
          <w:tcPr>
            <w:tcW w:type="dxa" w:w="1440"/>
            <w:vAlign w:val="top"/>
            <w:tcMar>
              <w:top w:w="60" w:type="dxa"/>
              <w:start w:w="60" w:type="dxa"/>
              <w:bottom w:w="60" w:type="dxa"/>
              <w:end w:w="60" w:type="dxa"/>
            </w:tcMar>
          </w:tcPr>
          <w:p>
            <w:pPr>
              <w:spacing w:after="20"/>
            </w:pPr>
            <w:r>
              <w:rPr>
                <w:sz w:val="15"/>
              </w:rPr>
              <w:t>PLT-002</w:t>
            </w:r>
          </w:p>
        </w:tc>
        <w:tc>
          <w:tcPr>
            <w:tcW w:type="dxa" w:w="8496"/>
            <w:vAlign w:val="top"/>
            <w:tcMar>
              <w:top w:w="60" w:type="dxa"/>
              <w:start w:w="60" w:type="dxa"/>
              <w:bottom w:w="60" w:type="dxa"/>
              <w:end w:w="60" w:type="dxa"/>
            </w:tcMar>
          </w:tcPr>
          <w:p>
            <w:pPr>
              <w:spacing w:after="20"/>
            </w:pPr>
            <w:r>
              <w:rPr>
                <w:sz w:val="15"/>
              </w:rPr>
              <w:t>Global person identity with tenant-safe patient identifiers, enterprise MRN rules, ABHA linking and duplicate-resolution workflow.</w:t>
            </w:r>
          </w:p>
        </w:tc>
        <w:tc>
          <w:tcPr>
            <w:tcW w:type="dxa" w:w="864"/>
            <w:vAlign w:val="top"/>
            <w:tcMar>
              <w:top w:w="60" w:type="dxa"/>
              <w:start w:w="60" w:type="dxa"/>
              <w:bottom w:w="60" w:type="dxa"/>
              <w:end w:w="60" w:type="dxa"/>
            </w:tcMar>
          </w:tcPr>
          <w:p>
            <w:pPr>
              <w:spacing w:after="20"/>
            </w:pPr>
            <w:r>
              <w:rPr>
                <w:sz w:val="15"/>
              </w:rPr>
              <w:t>Must</w:t>
            </w:r>
          </w:p>
        </w:tc>
      </w:tr>
      <w:tr>
        <w:tc>
          <w:tcPr>
            <w:tcW w:type="dxa" w:w="1440"/>
            <w:vAlign w:val="top"/>
            <w:tcMar>
              <w:top w:w="60" w:type="dxa"/>
              <w:start w:w="60" w:type="dxa"/>
              <w:bottom w:w="60" w:type="dxa"/>
              <w:end w:w="60" w:type="dxa"/>
            </w:tcMar>
          </w:tcPr>
          <w:p>
            <w:pPr>
              <w:spacing w:after="20"/>
            </w:pPr>
            <w:r>
              <w:rPr>
                <w:sz w:val="15"/>
              </w:rPr>
              <w:t>PLT-003</w:t>
            </w:r>
          </w:p>
        </w:tc>
        <w:tc>
          <w:tcPr>
            <w:tcW w:type="dxa" w:w="8496"/>
            <w:vAlign w:val="top"/>
            <w:tcMar>
              <w:top w:w="60" w:type="dxa"/>
              <w:start w:w="60" w:type="dxa"/>
              <w:bottom w:w="60" w:type="dxa"/>
              <w:end w:w="60" w:type="dxa"/>
            </w:tcMar>
          </w:tcPr>
          <w:p>
            <w:pPr>
              <w:spacing w:after="20"/>
            </w:pPr>
            <w:r>
              <w:rPr>
                <w:sz w:val="15"/>
              </w:rPr>
              <w:t>Provider identity, credentials, specialty, privileges, roster, HPR linkage, digital signature/certificate metadata.</w:t>
            </w:r>
          </w:p>
        </w:tc>
        <w:tc>
          <w:tcPr>
            <w:tcW w:type="dxa" w:w="864"/>
            <w:vAlign w:val="top"/>
            <w:tcMar>
              <w:top w:w="60" w:type="dxa"/>
              <w:start w:w="60" w:type="dxa"/>
              <w:bottom w:w="60" w:type="dxa"/>
              <w:end w:w="60" w:type="dxa"/>
            </w:tcMar>
          </w:tcPr>
          <w:p>
            <w:pPr>
              <w:spacing w:after="20"/>
            </w:pPr>
            <w:r>
              <w:rPr>
                <w:sz w:val="15"/>
              </w:rPr>
              <w:t>Must</w:t>
            </w:r>
          </w:p>
        </w:tc>
      </w:tr>
      <w:tr>
        <w:tc>
          <w:tcPr>
            <w:tcW w:type="dxa" w:w="1440"/>
            <w:vAlign w:val="top"/>
            <w:tcMar>
              <w:top w:w="60" w:type="dxa"/>
              <w:start w:w="60" w:type="dxa"/>
              <w:bottom w:w="60" w:type="dxa"/>
              <w:end w:w="60" w:type="dxa"/>
            </w:tcMar>
          </w:tcPr>
          <w:p>
            <w:pPr>
              <w:spacing w:after="20"/>
            </w:pPr>
            <w:r>
              <w:rPr>
                <w:sz w:val="15"/>
              </w:rPr>
              <w:t>PLT-004</w:t>
            </w:r>
          </w:p>
        </w:tc>
        <w:tc>
          <w:tcPr>
            <w:tcW w:type="dxa" w:w="8496"/>
            <w:vAlign w:val="top"/>
            <w:tcMar>
              <w:top w:w="60" w:type="dxa"/>
              <w:start w:w="60" w:type="dxa"/>
              <w:bottom w:w="60" w:type="dxa"/>
              <w:end w:w="60" w:type="dxa"/>
            </w:tcMar>
          </w:tcPr>
          <w:p>
            <w:pPr>
              <w:spacing w:after="20"/>
            </w:pPr>
            <w:r>
              <w:rPr>
                <w:sz w:val="15"/>
              </w:rPr>
              <w:t>Location/resource master for hospitals, clinics, labs, collection centers, pharmacies, warehouses, OT, ICU, beds and equipment.</w:t>
            </w:r>
          </w:p>
        </w:tc>
        <w:tc>
          <w:tcPr>
            <w:tcW w:type="dxa" w:w="864"/>
            <w:vAlign w:val="top"/>
            <w:tcMar>
              <w:top w:w="60" w:type="dxa"/>
              <w:start w:w="60" w:type="dxa"/>
              <w:bottom w:w="60" w:type="dxa"/>
              <w:end w:w="60" w:type="dxa"/>
            </w:tcMar>
          </w:tcPr>
          <w:p>
            <w:pPr>
              <w:spacing w:after="20"/>
            </w:pPr>
            <w:r>
              <w:rPr>
                <w:sz w:val="15"/>
              </w:rPr>
              <w:t>Must</w:t>
            </w:r>
          </w:p>
        </w:tc>
      </w:tr>
      <w:tr>
        <w:tc>
          <w:tcPr>
            <w:tcW w:type="dxa" w:w="1440"/>
            <w:vAlign w:val="top"/>
            <w:tcMar>
              <w:top w:w="60" w:type="dxa"/>
              <w:start w:w="60" w:type="dxa"/>
              <w:bottom w:w="60" w:type="dxa"/>
              <w:end w:w="60" w:type="dxa"/>
            </w:tcMar>
          </w:tcPr>
          <w:p>
            <w:pPr>
              <w:spacing w:after="20"/>
            </w:pPr>
            <w:r>
              <w:rPr>
                <w:sz w:val="15"/>
              </w:rPr>
              <w:t>PLT-005</w:t>
            </w:r>
          </w:p>
        </w:tc>
        <w:tc>
          <w:tcPr>
            <w:tcW w:type="dxa" w:w="8496"/>
            <w:vAlign w:val="top"/>
            <w:tcMar>
              <w:top w:w="60" w:type="dxa"/>
              <w:start w:w="60" w:type="dxa"/>
              <w:bottom w:w="60" w:type="dxa"/>
              <w:end w:w="60" w:type="dxa"/>
            </w:tcMar>
          </w:tcPr>
          <w:p>
            <w:pPr>
              <w:spacing w:after="20"/>
            </w:pPr>
            <w:r>
              <w:rPr>
                <w:sz w:val="15"/>
              </w:rPr>
              <w:t>Enterprise catalog for services, packages, tariffs, charge codes, diagnosis/procedure coding sets, drugs, consumables and lab/radiology tests.</w:t>
            </w:r>
          </w:p>
        </w:tc>
        <w:tc>
          <w:tcPr>
            <w:tcW w:type="dxa" w:w="864"/>
            <w:vAlign w:val="top"/>
            <w:tcMar>
              <w:top w:w="60" w:type="dxa"/>
              <w:start w:w="60" w:type="dxa"/>
              <w:bottom w:w="60" w:type="dxa"/>
              <w:end w:w="60" w:type="dxa"/>
            </w:tcMar>
          </w:tcPr>
          <w:p>
            <w:pPr>
              <w:spacing w:after="20"/>
            </w:pPr>
            <w:r>
              <w:rPr>
                <w:sz w:val="15"/>
              </w:rPr>
              <w:t>Must</w:t>
            </w:r>
          </w:p>
        </w:tc>
      </w:tr>
      <w:tr>
        <w:tc>
          <w:tcPr>
            <w:tcW w:type="dxa" w:w="1440"/>
            <w:vAlign w:val="top"/>
            <w:tcMar>
              <w:top w:w="60" w:type="dxa"/>
              <w:start w:w="60" w:type="dxa"/>
              <w:bottom w:w="60" w:type="dxa"/>
              <w:end w:w="60" w:type="dxa"/>
            </w:tcMar>
          </w:tcPr>
          <w:p>
            <w:pPr>
              <w:spacing w:after="20"/>
            </w:pPr>
            <w:r>
              <w:rPr>
                <w:sz w:val="15"/>
              </w:rPr>
              <w:t>PLT-006</w:t>
            </w:r>
          </w:p>
        </w:tc>
        <w:tc>
          <w:tcPr>
            <w:tcW w:type="dxa" w:w="8496"/>
            <w:vAlign w:val="top"/>
            <w:tcMar>
              <w:top w:w="60" w:type="dxa"/>
              <w:start w:w="60" w:type="dxa"/>
              <w:bottom w:w="60" w:type="dxa"/>
              <w:end w:w="60" w:type="dxa"/>
            </w:tcMar>
          </w:tcPr>
          <w:p>
            <w:pPr>
              <w:spacing w:after="20"/>
            </w:pPr>
            <w:r>
              <w:rPr>
                <w:sz w:val="15"/>
              </w:rPr>
              <w:t>Versioned configuration with effective dates, maker-checker approval, rollback and audit.</w:t>
            </w:r>
          </w:p>
        </w:tc>
        <w:tc>
          <w:tcPr>
            <w:tcW w:type="dxa" w:w="864"/>
            <w:vAlign w:val="top"/>
            <w:tcMar>
              <w:top w:w="60" w:type="dxa"/>
              <w:start w:w="60" w:type="dxa"/>
              <w:bottom w:w="60" w:type="dxa"/>
              <w:end w:w="60" w:type="dxa"/>
            </w:tcMar>
          </w:tcPr>
          <w:p>
            <w:pPr>
              <w:spacing w:after="20"/>
            </w:pPr>
            <w:r>
              <w:rPr>
                <w:sz w:val="15"/>
              </w:rPr>
              <w:t>Must</w:t>
            </w:r>
          </w:p>
        </w:tc>
      </w:tr>
      <w:tr>
        <w:tc>
          <w:tcPr>
            <w:tcW w:type="dxa" w:w="1440"/>
            <w:vAlign w:val="top"/>
            <w:tcMar>
              <w:top w:w="60" w:type="dxa"/>
              <w:start w:w="60" w:type="dxa"/>
              <w:bottom w:w="60" w:type="dxa"/>
              <w:end w:w="60" w:type="dxa"/>
            </w:tcMar>
          </w:tcPr>
          <w:p>
            <w:pPr>
              <w:spacing w:after="20"/>
            </w:pPr>
            <w:r>
              <w:rPr>
                <w:sz w:val="15"/>
              </w:rPr>
              <w:t>PLT-007</w:t>
            </w:r>
          </w:p>
        </w:tc>
        <w:tc>
          <w:tcPr>
            <w:tcW w:type="dxa" w:w="8496"/>
            <w:vAlign w:val="top"/>
            <w:tcMar>
              <w:top w:w="60" w:type="dxa"/>
              <w:start w:w="60" w:type="dxa"/>
              <w:bottom w:w="60" w:type="dxa"/>
              <w:end w:w="60" w:type="dxa"/>
            </w:tcMar>
          </w:tcPr>
          <w:p>
            <w:pPr>
              <w:spacing w:after="20"/>
            </w:pPr>
            <w:r>
              <w:rPr>
                <w:sz w:val="15"/>
              </w:rPr>
              <w:t>RBAC + ABAC: role, facility, department, care-team relationship, purpose-of-use, break-glass and contextual restrictions.</w:t>
            </w:r>
          </w:p>
        </w:tc>
        <w:tc>
          <w:tcPr>
            <w:tcW w:type="dxa" w:w="864"/>
            <w:vAlign w:val="top"/>
            <w:tcMar>
              <w:top w:w="60" w:type="dxa"/>
              <w:start w:w="60" w:type="dxa"/>
              <w:bottom w:w="60" w:type="dxa"/>
              <w:end w:w="60" w:type="dxa"/>
            </w:tcMar>
          </w:tcPr>
          <w:p>
            <w:pPr>
              <w:spacing w:after="20"/>
            </w:pPr>
            <w:r>
              <w:rPr>
                <w:sz w:val="15"/>
              </w:rPr>
              <w:t>Must</w:t>
            </w:r>
          </w:p>
        </w:tc>
      </w:tr>
      <w:tr>
        <w:tc>
          <w:tcPr>
            <w:tcW w:type="dxa" w:w="1440"/>
            <w:vAlign w:val="top"/>
            <w:tcMar>
              <w:top w:w="60" w:type="dxa"/>
              <w:start w:w="60" w:type="dxa"/>
              <w:bottom w:w="60" w:type="dxa"/>
              <w:end w:w="60" w:type="dxa"/>
            </w:tcMar>
          </w:tcPr>
          <w:p>
            <w:pPr>
              <w:spacing w:after="20"/>
            </w:pPr>
            <w:r>
              <w:rPr>
                <w:sz w:val="15"/>
              </w:rPr>
              <w:t>PLT-008</w:t>
            </w:r>
          </w:p>
        </w:tc>
        <w:tc>
          <w:tcPr>
            <w:tcW w:type="dxa" w:w="8496"/>
            <w:vAlign w:val="top"/>
            <w:tcMar>
              <w:top w:w="60" w:type="dxa"/>
              <w:start w:w="60" w:type="dxa"/>
              <w:bottom w:w="60" w:type="dxa"/>
              <w:end w:w="60" w:type="dxa"/>
            </w:tcMar>
          </w:tcPr>
          <w:p>
            <w:pPr>
              <w:spacing w:after="20"/>
            </w:pPr>
            <w:r>
              <w:rPr>
                <w:sz w:val="15"/>
              </w:rPr>
              <w:t>Unified task, notification, approval, comment, attachment and e-signature capabilities reused by all domains.</w:t>
            </w:r>
          </w:p>
        </w:tc>
        <w:tc>
          <w:tcPr>
            <w:tcW w:type="dxa" w:w="864"/>
            <w:vAlign w:val="top"/>
            <w:tcMar>
              <w:top w:w="60" w:type="dxa"/>
              <w:start w:w="60" w:type="dxa"/>
              <w:bottom w:w="60" w:type="dxa"/>
              <w:end w:w="60" w:type="dxa"/>
            </w:tcMar>
          </w:tcPr>
          <w:p>
            <w:pPr>
              <w:spacing w:after="20"/>
            </w:pPr>
            <w:r>
              <w:rPr>
                <w:sz w:val="15"/>
              </w:rPr>
              <w:t>Must</w:t>
            </w:r>
          </w:p>
        </w:tc>
      </w:tr>
      <w:tr>
        <w:tc>
          <w:tcPr>
            <w:tcW w:type="dxa" w:w="1440"/>
            <w:vAlign w:val="top"/>
            <w:tcMar>
              <w:top w:w="60" w:type="dxa"/>
              <w:start w:w="60" w:type="dxa"/>
              <w:bottom w:w="60" w:type="dxa"/>
              <w:end w:w="60" w:type="dxa"/>
            </w:tcMar>
          </w:tcPr>
          <w:p>
            <w:pPr>
              <w:spacing w:after="20"/>
            </w:pPr>
            <w:r>
              <w:rPr>
                <w:sz w:val="15"/>
              </w:rPr>
              <w:t>PLT-009</w:t>
            </w:r>
          </w:p>
        </w:tc>
        <w:tc>
          <w:tcPr>
            <w:tcW w:type="dxa" w:w="8496"/>
            <w:vAlign w:val="top"/>
            <w:tcMar>
              <w:top w:w="60" w:type="dxa"/>
              <w:start w:w="60" w:type="dxa"/>
              <w:bottom w:w="60" w:type="dxa"/>
              <w:end w:w="60" w:type="dxa"/>
            </w:tcMar>
          </w:tcPr>
          <w:p>
            <w:pPr>
              <w:spacing w:after="20"/>
            </w:pPr>
            <w:r>
              <w:rPr>
                <w:sz w:val="15"/>
              </w:rPr>
              <w:t>Localization: currency, tax, time zone, multilingual labels/templates and jurisdiction-specific configuration.</w:t>
            </w:r>
          </w:p>
        </w:tc>
        <w:tc>
          <w:tcPr>
            <w:tcW w:type="dxa" w:w="864"/>
            <w:vAlign w:val="top"/>
            <w:tcMar>
              <w:top w:w="60" w:type="dxa"/>
              <w:start w:w="60" w:type="dxa"/>
              <w:bottom w:w="60" w:type="dxa"/>
              <w:end w:w="60" w:type="dxa"/>
            </w:tcMar>
          </w:tcPr>
          <w:p>
            <w:pPr>
              <w:spacing w:after="20"/>
            </w:pPr>
            <w:r>
              <w:rPr>
                <w:sz w:val="15"/>
              </w:rPr>
              <w:t>Must</w:t>
            </w:r>
          </w:p>
        </w:tc>
      </w:tr>
      <w:tr>
        <w:tc>
          <w:tcPr>
            <w:tcW w:type="dxa" w:w="1440"/>
            <w:vAlign w:val="top"/>
            <w:tcMar>
              <w:top w:w="60" w:type="dxa"/>
              <w:start w:w="60" w:type="dxa"/>
              <w:bottom w:w="60" w:type="dxa"/>
              <w:end w:w="60" w:type="dxa"/>
            </w:tcMar>
          </w:tcPr>
          <w:p>
            <w:pPr>
              <w:spacing w:after="20"/>
            </w:pPr>
            <w:r>
              <w:rPr>
                <w:sz w:val="15"/>
              </w:rPr>
              <w:t>PLT-010</w:t>
            </w:r>
          </w:p>
        </w:tc>
        <w:tc>
          <w:tcPr>
            <w:tcW w:type="dxa" w:w="8496"/>
            <w:vAlign w:val="top"/>
            <w:tcMar>
              <w:top w:w="60" w:type="dxa"/>
              <w:start w:w="60" w:type="dxa"/>
              <w:bottom w:w="60" w:type="dxa"/>
              <w:end w:w="60" w:type="dxa"/>
            </w:tcMar>
          </w:tcPr>
          <w:p>
            <w:pPr>
              <w:spacing w:after="20"/>
            </w:pPr>
            <w:r>
              <w:rPr>
                <w:sz w:val="15"/>
              </w:rPr>
              <w:t>Enterprise document template engine for prescriptions, discharge summaries, invoices, lab reports, consent forms and statutory documents.</w:t>
            </w:r>
          </w:p>
        </w:tc>
        <w:tc>
          <w:tcPr>
            <w:tcW w:type="dxa" w:w="864"/>
            <w:vAlign w:val="top"/>
            <w:tcMar>
              <w:top w:w="60" w:type="dxa"/>
              <w:start w:w="60" w:type="dxa"/>
              <w:bottom w:w="60" w:type="dxa"/>
              <w:end w:w="60" w:type="dxa"/>
            </w:tcMar>
          </w:tcPr>
          <w:p>
            <w:pPr>
              <w:spacing w:after="20"/>
            </w:pPr>
            <w:r>
              <w:rPr>
                <w:sz w:val="15"/>
              </w:rPr>
              <w:t>Must</w:t>
            </w:r>
          </w:p>
        </w:tc>
      </w:tr>
    </w:tbl>
    <w:p>
      <w:pPr>
        <w:spacing w:after="20"/>
      </w:pPr>
    </w:p>
    <w:p>
      <w:pPr>
        <w:pStyle w:val="Heading1"/>
      </w:pPr>
      <w:r>
        <w:t>5. Specialty-Aware Clinical Platform</w:t>
      </w:r>
    </w:p>
    <w:p>
      <w:r>
        <w:t>The clinical system shall support a shared longitudinal core and explicit specialty packs. A specialty pack contains encounter templates, structured observations, specialty problem lists, procedures, clinical calculators, disease registries, order sets, care pathways, device integrations, outcomes, follow-up schedules, reporting and billing mappings. Hospitals may activate only the packs they need.</w:t>
      </w:r>
    </w:p>
    <w:p>
      <w:pPr>
        <w:pStyle w:val="Heading2"/>
      </w:pPr>
      <w:r>
        <w:t>5.1 Shared Clinical Core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AF7"/>
            <w:vAlign w:val="center"/>
            <w:tcMar>
              <w:top w:w="60" w:type="dxa"/>
              <w:start w:w="60" w:type="dxa"/>
              <w:bottom w:w="60" w:type="dxa"/>
              <w:end w:w="60" w:type="dxa"/>
            </w:tcMar>
          </w:tcPr>
          <w:p>
            <w:r>
              <w:rPr>
                <w:b/>
                <w:sz w:val="14"/>
              </w:rPr>
              <w:t>ID</w:t>
            </w:r>
          </w:p>
        </w:tc>
        <w:tc>
          <w:tcPr>
            <w:tcW w:type="dxa" w:w="9360"/>
            <w:shd w:fill="D9EAF7"/>
            <w:vAlign w:val="center"/>
            <w:tcMar>
              <w:top w:w="60" w:type="dxa"/>
              <w:start w:w="60" w:type="dxa"/>
              <w:bottom w:w="60" w:type="dxa"/>
              <w:end w:w="60" w:type="dxa"/>
            </w:tcMar>
          </w:tcPr>
          <w:p>
            <w:r>
              <w:rPr>
                <w:b/>
                <w:sz w:val="14"/>
              </w:rPr>
              <w:t>Requirement</w:t>
            </w:r>
          </w:p>
        </w:tc>
      </w:tr>
      <w:tr>
        <w:tc>
          <w:tcPr>
            <w:tcW w:type="dxa" w:w="1440"/>
            <w:vAlign w:val="top"/>
            <w:tcMar>
              <w:top w:w="60" w:type="dxa"/>
              <w:start w:w="60" w:type="dxa"/>
              <w:bottom w:w="60" w:type="dxa"/>
              <w:end w:w="60" w:type="dxa"/>
            </w:tcMar>
          </w:tcPr>
          <w:p>
            <w:pPr>
              <w:spacing w:after="20"/>
            </w:pPr>
            <w:r>
              <w:rPr>
                <w:sz w:val="14"/>
              </w:rPr>
              <w:t>CLN-001</w:t>
            </w:r>
          </w:p>
        </w:tc>
        <w:tc>
          <w:tcPr>
            <w:tcW w:type="dxa" w:w="9360"/>
            <w:vAlign w:val="top"/>
            <w:tcMar>
              <w:top w:w="60" w:type="dxa"/>
              <w:start w:w="60" w:type="dxa"/>
              <w:bottom w:w="60" w:type="dxa"/>
              <w:end w:w="60" w:type="dxa"/>
            </w:tcMar>
          </w:tcPr>
          <w:p>
            <w:pPr>
              <w:spacing w:after="20"/>
            </w:pPr>
            <w:r>
              <w:rPr>
                <w:sz w:val="14"/>
              </w:rPr>
              <w:t>Clinical timeline combining visits, diagnoses, medications, allergies, procedures, observations, investigations, admissions and documents.</w:t>
            </w:r>
          </w:p>
        </w:tc>
      </w:tr>
      <w:tr>
        <w:tc>
          <w:tcPr>
            <w:tcW w:type="dxa" w:w="1440"/>
            <w:vAlign w:val="top"/>
            <w:tcMar>
              <w:top w:w="60" w:type="dxa"/>
              <w:start w:w="60" w:type="dxa"/>
              <w:bottom w:w="60" w:type="dxa"/>
              <w:end w:w="60" w:type="dxa"/>
            </w:tcMar>
          </w:tcPr>
          <w:p>
            <w:pPr>
              <w:spacing w:after="20"/>
            </w:pPr>
            <w:r>
              <w:rPr>
                <w:sz w:val="14"/>
              </w:rPr>
              <w:t>CLN-002</w:t>
            </w:r>
          </w:p>
        </w:tc>
        <w:tc>
          <w:tcPr>
            <w:tcW w:type="dxa" w:w="9360"/>
            <w:vAlign w:val="top"/>
            <w:tcMar>
              <w:top w:w="60" w:type="dxa"/>
              <w:start w:w="60" w:type="dxa"/>
              <w:bottom w:w="60" w:type="dxa"/>
              <w:end w:w="60" w:type="dxa"/>
            </w:tcMar>
          </w:tcPr>
          <w:p>
            <w:pPr>
              <w:spacing w:after="20"/>
            </w:pPr>
            <w:r>
              <w:rPr>
                <w:sz w:val="14"/>
              </w:rPr>
              <w:t>SOAP/progress notes, configurable structured templates, smart phrases, voice/dictation integration and amendment/addendum workflow.</w:t>
            </w:r>
          </w:p>
        </w:tc>
      </w:tr>
      <w:tr>
        <w:tc>
          <w:tcPr>
            <w:tcW w:type="dxa" w:w="1440"/>
            <w:vAlign w:val="top"/>
            <w:tcMar>
              <w:top w:w="60" w:type="dxa"/>
              <w:start w:w="60" w:type="dxa"/>
              <w:bottom w:w="60" w:type="dxa"/>
              <w:end w:w="60" w:type="dxa"/>
            </w:tcMar>
          </w:tcPr>
          <w:p>
            <w:pPr>
              <w:spacing w:after="20"/>
            </w:pPr>
            <w:r>
              <w:rPr>
                <w:sz w:val="14"/>
              </w:rPr>
              <w:t>CLN-003</w:t>
            </w:r>
          </w:p>
        </w:tc>
        <w:tc>
          <w:tcPr>
            <w:tcW w:type="dxa" w:w="9360"/>
            <w:vAlign w:val="top"/>
            <w:tcMar>
              <w:top w:w="60" w:type="dxa"/>
              <w:start w:w="60" w:type="dxa"/>
              <w:bottom w:w="60" w:type="dxa"/>
              <w:end w:w="60" w:type="dxa"/>
            </w:tcMar>
          </w:tcPr>
          <w:p>
            <w:pPr>
              <w:spacing w:after="20"/>
            </w:pPr>
            <w:r>
              <w:rPr>
                <w:sz w:val="14"/>
              </w:rPr>
              <w:t>CPOE for medication, lab, imaging, procedure, diet, nursing, blood product, referral and allied-health orders.</w:t>
            </w:r>
          </w:p>
        </w:tc>
      </w:tr>
      <w:tr>
        <w:tc>
          <w:tcPr>
            <w:tcW w:type="dxa" w:w="1440"/>
            <w:vAlign w:val="top"/>
            <w:tcMar>
              <w:top w:w="60" w:type="dxa"/>
              <w:start w:w="60" w:type="dxa"/>
              <w:bottom w:w="60" w:type="dxa"/>
              <w:end w:w="60" w:type="dxa"/>
            </w:tcMar>
          </w:tcPr>
          <w:p>
            <w:pPr>
              <w:spacing w:after="20"/>
            </w:pPr>
            <w:r>
              <w:rPr>
                <w:sz w:val="14"/>
              </w:rPr>
              <w:t>CLN-004</w:t>
            </w:r>
          </w:p>
        </w:tc>
        <w:tc>
          <w:tcPr>
            <w:tcW w:type="dxa" w:w="9360"/>
            <w:vAlign w:val="top"/>
            <w:tcMar>
              <w:top w:w="60" w:type="dxa"/>
              <w:start w:w="60" w:type="dxa"/>
              <w:bottom w:w="60" w:type="dxa"/>
              <w:end w:w="60" w:type="dxa"/>
            </w:tcMar>
          </w:tcPr>
          <w:p>
            <w:pPr>
              <w:spacing w:after="20"/>
            </w:pPr>
            <w:r>
              <w:rPr>
                <w:sz w:val="14"/>
              </w:rPr>
              <w:t>Medication reconciliation at admission, transfer and discharge; allergy/intolerance and interaction warnings.</w:t>
            </w:r>
          </w:p>
        </w:tc>
      </w:tr>
      <w:tr>
        <w:tc>
          <w:tcPr>
            <w:tcW w:type="dxa" w:w="1440"/>
            <w:vAlign w:val="top"/>
            <w:tcMar>
              <w:top w:w="60" w:type="dxa"/>
              <w:start w:w="60" w:type="dxa"/>
              <w:bottom w:w="60" w:type="dxa"/>
              <w:end w:w="60" w:type="dxa"/>
            </w:tcMar>
          </w:tcPr>
          <w:p>
            <w:pPr>
              <w:spacing w:after="20"/>
            </w:pPr>
            <w:r>
              <w:rPr>
                <w:sz w:val="14"/>
              </w:rPr>
              <w:t>CLN-005</w:t>
            </w:r>
          </w:p>
        </w:tc>
        <w:tc>
          <w:tcPr>
            <w:tcW w:type="dxa" w:w="9360"/>
            <w:vAlign w:val="top"/>
            <w:tcMar>
              <w:top w:w="60" w:type="dxa"/>
              <w:start w:w="60" w:type="dxa"/>
              <w:bottom w:w="60" w:type="dxa"/>
              <w:end w:w="60" w:type="dxa"/>
            </w:tcMar>
          </w:tcPr>
          <w:p>
            <w:pPr>
              <w:spacing w:after="20"/>
            </w:pPr>
            <w:r>
              <w:rPr>
                <w:sz w:val="14"/>
              </w:rPr>
              <w:t>Problem list, diagnosis coding, procedure coding, clinical staging, severity and status tracking.</w:t>
            </w:r>
          </w:p>
        </w:tc>
      </w:tr>
      <w:tr>
        <w:tc>
          <w:tcPr>
            <w:tcW w:type="dxa" w:w="1440"/>
            <w:vAlign w:val="top"/>
            <w:tcMar>
              <w:top w:w="60" w:type="dxa"/>
              <w:start w:w="60" w:type="dxa"/>
              <w:bottom w:w="60" w:type="dxa"/>
              <w:end w:w="60" w:type="dxa"/>
            </w:tcMar>
          </w:tcPr>
          <w:p>
            <w:pPr>
              <w:spacing w:after="20"/>
            </w:pPr>
            <w:r>
              <w:rPr>
                <w:sz w:val="14"/>
              </w:rPr>
              <w:t>CLN-006</w:t>
            </w:r>
          </w:p>
        </w:tc>
        <w:tc>
          <w:tcPr>
            <w:tcW w:type="dxa" w:w="9360"/>
            <w:vAlign w:val="top"/>
            <w:tcMar>
              <w:top w:w="60" w:type="dxa"/>
              <w:start w:w="60" w:type="dxa"/>
              <w:bottom w:w="60" w:type="dxa"/>
              <w:end w:w="60" w:type="dxa"/>
            </w:tcMar>
          </w:tcPr>
          <w:p>
            <w:pPr>
              <w:spacing w:after="20"/>
            </w:pPr>
            <w:r>
              <w:rPr>
                <w:sz w:val="14"/>
              </w:rPr>
              <w:t>Care plans, pathways, goals, tasks, multidisciplinary team notes and handover.</w:t>
            </w:r>
          </w:p>
        </w:tc>
      </w:tr>
      <w:tr>
        <w:tc>
          <w:tcPr>
            <w:tcW w:type="dxa" w:w="1440"/>
            <w:vAlign w:val="top"/>
            <w:tcMar>
              <w:top w:w="60" w:type="dxa"/>
              <w:start w:w="60" w:type="dxa"/>
              <w:bottom w:w="60" w:type="dxa"/>
              <w:end w:w="60" w:type="dxa"/>
            </w:tcMar>
          </w:tcPr>
          <w:p>
            <w:pPr>
              <w:spacing w:after="20"/>
            </w:pPr>
            <w:r>
              <w:rPr>
                <w:sz w:val="14"/>
              </w:rPr>
              <w:t>CLN-007</w:t>
            </w:r>
          </w:p>
        </w:tc>
        <w:tc>
          <w:tcPr>
            <w:tcW w:type="dxa" w:w="9360"/>
            <w:vAlign w:val="top"/>
            <w:tcMar>
              <w:top w:w="60" w:type="dxa"/>
              <w:start w:w="60" w:type="dxa"/>
              <w:bottom w:w="60" w:type="dxa"/>
              <w:end w:w="60" w:type="dxa"/>
            </w:tcMar>
          </w:tcPr>
          <w:p>
            <w:pPr>
              <w:spacing w:after="20"/>
            </w:pPr>
            <w:r>
              <w:rPr>
                <w:sz w:val="14"/>
              </w:rPr>
              <w:t>Flowsheets for vitals, nursing observations, device measurements and repeated specialty observations.</w:t>
            </w:r>
          </w:p>
        </w:tc>
      </w:tr>
      <w:tr>
        <w:tc>
          <w:tcPr>
            <w:tcW w:type="dxa" w:w="1440"/>
            <w:vAlign w:val="top"/>
            <w:tcMar>
              <w:top w:w="60" w:type="dxa"/>
              <w:start w:w="60" w:type="dxa"/>
              <w:bottom w:w="60" w:type="dxa"/>
              <w:end w:w="60" w:type="dxa"/>
            </w:tcMar>
          </w:tcPr>
          <w:p>
            <w:pPr>
              <w:spacing w:after="20"/>
            </w:pPr>
            <w:r>
              <w:rPr>
                <w:sz w:val="14"/>
              </w:rPr>
              <w:t>CLN-008</w:t>
            </w:r>
          </w:p>
        </w:tc>
        <w:tc>
          <w:tcPr>
            <w:tcW w:type="dxa" w:w="9360"/>
            <w:vAlign w:val="top"/>
            <w:tcMar>
              <w:top w:w="60" w:type="dxa"/>
              <w:start w:w="60" w:type="dxa"/>
              <w:bottom w:w="60" w:type="dxa"/>
              <w:end w:w="60" w:type="dxa"/>
            </w:tcMar>
          </w:tcPr>
          <w:p>
            <w:pPr>
              <w:spacing w:after="20"/>
            </w:pPr>
            <w:r>
              <w:rPr>
                <w:sz w:val="14"/>
              </w:rPr>
              <w:t>Clinical decision support framework with versioned rules, evidence/reference metadata, override reason and audit.</w:t>
            </w:r>
          </w:p>
        </w:tc>
      </w:tr>
      <w:tr>
        <w:tc>
          <w:tcPr>
            <w:tcW w:type="dxa" w:w="1440"/>
            <w:vAlign w:val="top"/>
            <w:tcMar>
              <w:top w:w="60" w:type="dxa"/>
              <w:start w:w="60" w:type="dxa"/>
              <w:bottom w:w="60" w:type="dxa"/>
              <w:end w:w="60" w:type="dxa"/>
            </w:tcMar>
          </w:tcPr>
          <w:p>
            <w:pPr>
              <w:spacing w:after="20"/>
            </w:pPr>
            <w:r>
              <w:rPr>
                <w:sz w:val="14"/>
              </w:rPr>
              <w:t>CLN-009</w:t>
            </w:r>
          </w:p>
        </w:tc>
        <w:tc>
          <w:tcPr>
            <w:tcW w:type="dxa" w:w="9360"/>
            <w:vAlign w:val="top"/>
            <w:tcMar>
              <w:top w:w="60" w:type="dxa"/>
              <w:start w:w="60" w:type="dxa"/>
              <w:bottom w:w="60" w:type="dxa"/>
              <w:end w:w="60" w:type="dxa"/>
            </w:tcMar>
          </w:tcPr>
          <w:p>
            <w:pPr>
              <w:spacing w:after="20"/>
            </w:pPr>
            <w:r>
              <w:rPr>
                <w:sz w:val="14"/>
              </w:rPr>
              <w:t>Consent, advanced directives where applicable, procedure consent, blood consent, research consent and privacy consent.</w:t>
            </w:r>
          </w:p>
        </w:tc>
      </w:tr>
      <w:tr>
        <w:tc>
          <w:tcPr>
            <w:tcW w:type="dxa" w:w="1440"/>
            <w:vAlign w:val="top"/>
            <w:tcMar>
              <w:top w:w="60" w:type="dxa"/>
              <w:start w:w="60" w:type="dxa"/>
              <w:bottom w:w="60" w:type="dxa"/>
              <w:end w:w="60" w:type="dxa"/>
            </w:tcMar>
          </w:tcPr>
          <w:p>
            <w:pPr>
              <w:spacing w:after="20"/>
            </w:pPr>
            <w:r>
              <w:rPr>
                <w:sz w:val="14"/>
              </w:rPr>
              <w:t>CLN-010</w:t>
            </w:r>
          </w:p>
        </w:tc>
        <w:tc>
          <w:tcPr>
            <w:tcW w:type="dxa" w:w="9360"/>
            <w:vAlign w:val="top"/>
            <w:tcMar>
              <w:top w:w="60" w:type="dxa"/>
              <w:start w:w="60" w:type="dxa"/>
              <w:bottom w:w="60" w:type="dxa"/>
              <w:end w:w="60" w:type="dxa"/>
            </w:tcMar>
          </w:tcPr>
          <w:p>
            <w:pPr>
              <w:spacing w:after="20"/>
            </w:pPr>
            <w:r>
              <w:rPr>
                <w:sz w:val="14"/>
              </w:rPr>
              <w:t>Clinical correspondence: referral, consultation response, discharge summary, fit/sick note and certificates.</w:t>
            </w:r>
          </w:p>
        </w:tc>
      </w:tr>
      <w:tr>
        <w:tc>
          <w:tcPr>
            <w:tcW w:type="dxa" w:w="1440"/>
            <w:vAlign w:val="top"/>
            <w:tcMar>
              <w:top w:w="60" w:type="dxa"/>
              <w:start w:w="60" w:type="dxa"/>
              <w:bottom w:w="60" w:type="dxa"/>
              <w:end w:w="60" w:type="dxa"/>
            </w:tcMar>
          </w:tcPr>
          <w:p>
            <w:pPr>
              <w:spacing w:after="20"/>
            </w:pPr>
            <w:r>
              <w:rPr>
                <w:sz w:val="14"/>
              </w:rPr>
              <w:t>CLN-011</w:t>
            </w:r>
          </w:p>
        </w:tc>
        <w:tc>
          <w:tcPr>
            <w:tcW w:type="dxa" w:w="9360"/>
            <w:vAlign w:val="top"/>
            <w:tcMar>
              <w:top w:w="60" w:type="dxa"/>
              <w:start w:w="60" w:type="dxa"/>
              <w:bottom w:w="60" w:type="dxa"/>
              <w:end w:w="60" w:type="dxa"/>
            </w:tcMar>
          </w:tcPr>
          <w:p>
            <w:pPr>
              <w:spacing w:after="20"/>
            </w:pPr>
            <w:r>
              <w:rPr>
                <w:sz w:val="14"/>
              </w:rPr>
              <w:t>Longitudinal disease registries, outcomes, PROMs/PREMs and quality indicators.</w:t>
            </w:r>
          </w:p>
        </w:tc>
      </w:tr>
      <w:tr>
        <w:tc>
          <w:tcPr>
            <w:tcW w:type="dxa" w:w="1440"/>
            <w:vAlign w:val="top"/>
            <w:tcMar>
              <w:top w:w="60" w:type="dxa"/>
              <w:start w:w="60" w:type="dxa"/>
              <w:bottom w:w="60" w:type="dxa"/>
              <w:end w:w="60" w:type="dxa"/>
            </w:tcMar>
          </w:tcPr>
          <w:p>
            <w:pPr>
              <w:spacing w:after="20"/>
            </w:pPr>
            <w:r>
              <w:rPr>
                <w:sz w:val="14"/>
              </w:rPr>
              <w:t>CLN-012</w:t>
            </w:r>
          </w:p>
        </w:tc>
        <w:tc>
          <w:tcPr>
            <w:tcW w:type="dxa" w:w="9360"/>
            <w:vAlign w:val="top"/>
            <w:tcMar>
              <w:top w:w="60" w:type="dxa"/>
              <w:start w:w="60" w:type="dxa"/>
              <w:bottom w:w="60" w:type="dxa"/>
              <w:end w:w="60" w:type="dxa"/>
            </w:tcMar>
          </w:tcPr>
          <w:p>
            <w:pPr>
              <w:spacing w:after="20"/>
            </w:pPr>
            <w:r>
              <w:rPr>
                <w:sz w:val="14"/>
              </w:rPr>
              <w:t>Coding/terminology service with SNOMED CT/LOINC/ICD and locally governed mappings as licensing/standards permit.</w:t>
            </w:r>
          </w:p>
        </w:tc>
      </w:tr>
    </w:tbl>
    <w:p>
      <w:pPr>
        <w:spacing w:after="20"/>
      </w:pPr>
    </w:p>
    <w:p>
      <w:pPr>
        <w:pStyle w:val="Heading2"/>
      </w:pPr>
      <w:r>
        <w:t>5.2 Specialty and Sub-Specialty Coverage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D9EAF7"/>
            <w:vAlign w:val="center"/>
            <w:tcMar>
              <w:top w:w="60" w:type="dxa"/>
              <w:start w:w="60" w:type="dxa"/>
              <w:bottom w:w="60" w:type="dxa"/>
              <w:end w:w="60" w:type="dxa"/>
            </w:tcMar>
          </w:tcPr>
          <w:p>
            <w:r>
              <w:rPr>
                <w:b/>
                <w:sz w:val="13"/>
              </w:rPr>
              <w:t>Vertical</w:t>
            </w:r>
          </w:p>
        </w:tc>
        <w:tc>
          <w:tcPr>
            <w:tcW w:type="dxa" w:w="3600"/>
            <w:shd w:fill="D9EAF7"/>
            <w:vAlign w:val="center"/>
            <w:tcMar>
              <w:top w:w="60" w:type="dxa"/>
              <w:start w:w="60" w:type="dxa"/>
              <w:bottom w:w="60" w:type="dxa"/>
              <w:end w:w="60" w:type="dxa"/>
            </w:tcMar>
          </w:tcPr>
          <w:p>
            <w:r>
              <w:rPr>
                <w:b/>
                <w:sz w:val="13"/>
              </w:rPr>
              <w:t>Sub-specialties</w:t>
            </w:r>
          </w:p>
        </w:tc>
        <w:tc>
          <w:tcPr>
            <w:tcW w:type="dxa" w:w="5400"/>
            <w:shd w:fill="D9EAF7"/>
            <w:vAlign w:val="center"/>
            <w:tcMar>
              <w:top w:w="60" w:type="dxa"/>
              <w:start w:w="60" w:type="dxa"/>
              <w:bottom w:w="60" w:type="dxa"/>
              <w:end w:w="60" w:type="dxa"/>
            </w:tcMar>
          </w:tcPr>
          <w:p>
            <w:r>
              <w:rPr>
                <w:b/>
                <w:sz w:val="13"/>
              </w:rPr>
              <w:t>Specialty-pack capabilities</w:t>
            </w:r>
          </w:p>
        </w:tc>
      </w:tr>
      <w:tr>
        <w:tc>
          <w:tcPr>
            <w:tcW w:type="dxa" w:w="1800"/>
            <w:vAlign w:val="top"/>
            <w:tcMar>
              <w:top w:w="60" w:type="dxa"/>
              <w:start w:w="60" w:type="dxa"/>
              <w:bottom w:w="60" w:type="dxa"/>
              <w:end w:w="60" w:type="dxa"/>
            </w:tcMar>
          </w:tcPr>
          <w:p>
            <w:pPr>
              <w:spacing w:after="20"/>
            </w:pPr>
            <w:r>
              <w:rPr>
                <w:sz w:val="13"/>
              </w:rPr>
              <w:t>Cardiology</w:t>
            </w:r>
          </w:p>
        </w:tc>
        <w:tc>
          <w:tcPr>
            <w:tcW w:type="dxa" w:w="3600"/>
            <w:vAlign w:val="top"/>
            <w:tcMar>
              <w:top w:w="60" w:type="dxa"/>
              <w:start w:w="60" w:type="dxa"/>
              <w:bottom w:w="60" w:type="dxa"/>
              <w:end w:w="60" w:type="dxa"/>
            </w:tcMar>
          </w:tcPr>
          <w:p>
            <w:pPr>
              <w:spacing w:after="20"/>
            </w:pPr>
            <w:r>
              <w:rPr>
                <w:sz w:val="13"/>
              </w:rPr>
              <w:t>General cardiology; interventional cardiology; electrophysiology; heart failure; preventive cardiology; structural heart disease; cardiac imaging; pediatric cardiology; cardio-oncology.</w:t>
            </w:r>
          </w:p>
        </w:tc>
        <w:tc>
          <w:tcPr>
            <w:tcW w:type="dxa" w:w="5400"/>
            <w:vAlign w:val="top"/>
            <w:tcMar>
              <w:top w:w="60" w:type="dxa"/>
              <w:start w:w="60" w:type="dxa"/>
              <w:bottom w:w="60" w:type="dxa"/>
              <w:end w:w="60" w:type="dxa"/>
            </w:tcMar>
          </w:tcPr>
          <w:p>
            <w:pPr>
              <w:spacing w:after="20"/>
            </w:pPr>
            <w:r>
              <w:rPr>
                <w:sz w:val="13"/>
              </w:rPr>
              <w:t>ECG/echo/cath/EP integration; ACS/STEMI pathways; risk scores; anticoagulation; device registry; pacemaker/ICD; HF registry; cath lab inventory; cardiac rehab.</w:t>
            </w:r>
          </w:p>
        </w:tc>
      </w:tr>
      <w:tr>
        <w:tc>
          <w:tcPr>
            <w:tcW w:type="dxa" w:w="1800"/>
            <w:vAlign w:val="top"/>
            <w:tcMar>
              <w:top w:w="60" w:type="dxa"/>
              <w:start w:w="60" w:type="dxa"/>
              <w:bottom w:w="60" w:type="dxa"/>
              <w:end w:w="60" w:type="dxa"/>
            </w:tcMar>
          </w:tcPr>
          <w:p>
            <w:pPr>
              <w:spacing w:after="20"/>
            </w:pPr>
            <w:r>
              <w:rPr>
                <w:sz w:val="13"/>
              </w:rPr>
              <w:t>Cardiothoracic &amp; Vascular Surgery</w:t>
            </w:r>
          </w:p>
        </w:tc>
        <w:tc>
          <w:tcPr>
            <w:tcW w:type="dxa" w:w="3600"/>
            <w:vAlign w:val="top"/>
            <w:tcMar>
              <w:top w:w="60" w:type="dxa"/>
              <w:start w:w="60" w:type="dxa"/>
              <w:bottom w:w="60" w:type="dxa"/>
              <w:end w:w="60" w:type="dxa"/>
            </w:tcMar>
          </w:tcPr>
          <w:p>
            <w:pPr>
              <w:spacing w:after="20"/>
            </w:pPr>
            <w:r>
              <w:rPr>
                <w:sz w:val="13"/>
              </w:rPr>
              <w:t>Adult cardiac surgery; congenital cardiac surgery; thoracic surgery; vascular surgery.</w:t>
            </w:r>
          </w:p>
        </w:tc>
        <w:tc>
          <w:tcPr>
            <w:tcW w:type="dxa" w:w="5400"/>
            <w:vAlign w:val="top"/>
            <w:tcMar>
              <w:top w:w="60" w:type="dxa"/>
              <w:start w:w="60" w:type="dxa"/>
              <w:bottom w:w="60" w:type="dxa"/>
              <w:end w:w="60" w:type="dxa"/>
            </w:tcMar>
          </w:tcPr>
          <w:p>
            <w:pPr>
              <w:spacing w:after="20"/>
            </w:pPr>
            <w:r>
              <w:rPr>
                <w:sz w:val="13"/>
              </w:rPr>
              <w:t>Pre-op work-up; perfusion; bypass records; implants/grafts; ICU handoff; chest drains; post-op pathways; graft/device tracking.</w:t>
            </w:r>
          </w:p>
        </w:tc>
      </w:tr>
      <w:tr>
        <w:tc>
          <w:tcPr>
            <w:tcW w:type="dxa" w:w="1800"/>
            <w:vAlign w:val="top"/>
            <w:tcMar>
              <w:top w:w="60" w:type="dxa"/>
              <w:start w:w="60" w:type="dxa"/>
              <w:bottom w:w="60" w:type="dxa"/>
              <w:end w:w="60" w:type="dxa"/>
            </w:tcMar>
          </w:tcPr>
          <w:p>
            <w:pPr>
              <w:spacing w:after="20"/>
            </w:pPr>
            <w:r>
              <w:rPr>
                <w:sz w:val="13"/>
              </w:rPr>
              <w:t>Pediatrics</w:t>
            </w:r>
          </w:p>
        </w:tc>
        <w:tc>
          <w:tcPr>
            <w:tcW w:type="dxa" w:w="3600"/>
            <w:vAlign w:val="top"/>
            <w:tcMar>
              <w:top w:w="60" w:type="dxa"/>
              <w:start w:w="60" w:type="dxa"/>
              <w:bottom w:w="60" w:type="dxa"/>
              <w:end w:w="60" w:type="dxa"/>
            </w:tcMar>
          </w:tcPr>
          <w:p>
            <w:pPr>
              <w:spacing w:after="20"/>
            </w:pPr>
            <w:r>
              <w:rPr>
                <w:sz w:val="13"/>
              </w:rPr>
              <w:t>General pediatrics; adolescent medicine; developmental pediatrics; pediatric emergency; pediatric subspecialty clinics.</w:t>
            </w:r>
          </w:p>
        </w:tc>
        <w:tc>
          <w:tcPr>
            <w:tcW w:type="dxa" w:w="5400"/>
            <w:vAlign w:val="top"/>
            <w:tcMar>
              <w:top w:w="60" w:type="dxa"/>
              <w:start w:w="60" w:type="dxa"/>
              <w:bottom w:w="60" w:type="dxa"/>
              <w:end w:w="60" w:type="dxa"/>
            </w:tcMar>
          </w:tcPr>
          <w:p>
            <w:pPr>
              <w:spacing w:after="20"/>
            </w:pPr>
            <w:r>
              <w:rPr>
                <w:sz w:val="13"/>
              </w:rPr>
              <w:t>Growth charts/percentiles; age/weight/BSA dosing; immunization; developmental milestones; guardian consent; pediatric early warning scores.</w:t>
            </w:r>
          </w:p>
        </w:tc>
      </w:tr>
      <w:tr>
        <w:tc>
          <w:tcPr>
            <w:tcW w:type="dxa" w:w="1800"/>
            <w:vAlign w:val="top"/>
            <w:tcMar>
              <w:top w:w="60" w:type="dxa"/>
              <w:start w:w="60" w:type="dxa"/>
              <w:bottom w:w="60" w:type="dxa"/>
              <w:end w:w="60" w:type="dxa"/>
            </w:tcMar>
          </w:tcPr>
          <w:p>
            <w:pPr>
              <w:spacing w:after="20"/>
            </w:pPr>
            <w:r>
              <w:rPr>
                <w:sz w:val="13"/>
              </w:rPr>
              <w:t>Neonatology</w:t>
            </w:r>
          </w:p>
        </w:tc>
        <w:tc>
          <w:tcPr>
            <w:tcW w:type="dxa" w:w="3600"/>
            <w:vAlign w:val="top"/>
            <w:tcMar>
              <w:top w:w="60" w:type="dxa"/>
              <w:start w:w="60" w:type="dxa"/>
              <w:bottom w:w="60" w:type="dxa"/>
              <w:end w:w="60" w:type="dxa"/>
            </w:tcMar>
          </w:tcPr>
          <w:p>
            <w:pPr>
              <w:spacing w:after="20"/>
            </w:pPr>
            <w:r>
              <w:rPr>
                <w:sz w:val="13"/>
              </w:rPr>
              <w:t>NICU; high-risk newborn follow-up.</w:t>
            </w:r>
          </w:p>
        </w:tc>
        <w:tc>
          <w:tcPr>
            <w:tcW w:type="dxa" w:w="5400"/>
            <w:vAlign w:val="top"/>
            <w:tcMar>
              <w:top w:w="60" w:type="dxa"/>
              <w:start w:w="60" w:type="dxa"/>
              <w:bottom w:w="60" w:type="dxa"/>
              <w:end w:w="60" w:type="dxa"/>
            </w:tcMar>
          </w:tcPr>
          <w:p>
            <w:pPr>
              <w:spacing w:after="20"/>
            </w:pPr>
            <w:r>
              <w:rPr>
                <w:sz w:val="13"/>
              </w:rPr>
              <w:t>Birth record; APGAR; gestational age; feeds; incubator/ventilator monitoring; neonatal dosing; phototherapy; sepsis bundles; newborn screening.</w:t>
            </w:r>
          </w:p>
        </w:tc>
      </w:tr>
      <w:tr>
        <w:tc>
          <w:tcPr>
            <w:tcW w:type="dxa" w:w="1800"/>
            <w:vAlign w:val="top"/>
            <w:tcMar>
              <w:top w:w="60" w:type="dxa"/>
              <w:start w:w="60" w:type="dxa"/>
              <w:bottom w:w="60" w:type="dxa"/>
              <w:end w:w="60" w:type="dxa"/>
            </w:tcMar>
          </w:tcPr>
          <w:p>
            <w:pPr>
              <w:spacing w:after="20"/>
            </w:pPr>
            <w:r>
              <w:rPr>
                <w:sz w:val="13"/>
              </w:rPr>
              <w:t>Nephrology</w:t>
            </w:r>
          </w:p>
        </w:tc>
        <w:tc>
          <w:tcPr>
            <w:tcW w:type="dxa" w:w="3600"/>
            <w:vAlign w:val="top"/>
            <w:tcMar>
              <w:top w:w="60" w:type="dxa"/>
              <w:start w:w="60" w:type="dxa"/>
              <w:bottom w:w="60" w:type="dxa"/>
              <w:end w:w="60" w:type="dxa"/>
            </w:tcMar>
          </w:tcPr>
          <w:p>
            <w:pPr>
              <w:spacing w:after="20"/>
            </w:pPr>
            <w:r>
              <w:rPr>
                <w:sz w:val="13"/>
              </w:rPr>
              <w:t>General nephrology; CKD; glomerular disease; transplant nephrology; hypertension; electrolyte disorders.</w:t>
            </w:r>
          </w:p>
        </w:tc>
        <w:tc>
          <w:tcPr>
            <w:tcW w:type="dxa" w:w="5400"/>
            <w:vAlign w:val="top"/>
            <w:tcMar>
              <w:top w:w="60" w:type="dxa"/>
              <w:start w:w="60" w:type="dxa"/>
              <w:bottom w:w="60" w:type="dxa"/>
              <w:end w:w="60" w:type="dxa"/>
            </w:tcMar>
          </w:tcPr>
          <w:p>
            <w:pPr>
              <w:spacing w:after="20"/>
            </w:pPr>
            <w:r>
              <w:rPr>
                <w:sz w:val="13"/>
              </w:rPr>
              <w:t>eGFR/CKD staging; AKI alerts; dialysis adequacy; fluid balance; access registry; renal biopsy; transplant follow-up; dose adjustment.</w:t>
            </w:r>
          </w:p>
        </w:tc>
      </w:tr>
      <w:tr>
        <w:tc>
          <w:tcPr>
            <w:tcW w:type="dxa" w:w="1800"/>
            <w:vAlign w:val="top"/>
            <w:tcMar>
              <w:top w:w="60" w:type="dxa"/>
              <w:start w:w="60" w:type="dxa"/>
              <w:bottom w:w="60" w:type="dxa"/>
              <w:end w:w="60" w:type="dxa"/>
            </w:tcMar>
          </w:tcPr>
          <w:p>
            <w:pPr>
              <w:spacing w:after="20"/>
            </w:pPr>
            <w:r>
              <w:rPr>
                <w:sz w:val="13"/>
              </w:rPr>
              <w:t>Dialysis</w:t>
            </w:r>
          </w:p>
        </w:tc>
        <w:tc>
          <w:tcPr>
            <w:tcW w:type="dxa" w:w="3600"/>
            <w:vAlign w:val="top"/>
            <w:tcMar>
              <w:top w:w="60" w:type="dxa"/>
              <w:start w:w="60" w:type="dxa"/>
              <w:bottom w:w="60" w:type="dxa"/>
              <w:end w:w="60" w:type="dxa"/>
            </w:tcMar>
          </w:tcPr>
          <w:p>
            <w:pPr>
              <w:spacing w:after="20"/>
            </w:pPr>
            <w:r>
              <w:rPr>
                <w:sz w:val="13"/>
              </w:rPr>
              <w:t>Hemodialysis; peritoneal dialysis; CRRT/acute dialysis.</w:t>
            </w:r>
          </w:p>
        </w:tc>
        <w:tc>
          <w:tcPr>
            <w:tcW w:type="dxa" w:w="5400"/>
            <w:vAlign w:val="top"/>
            <w:tcMar>
              <w:top w:w="60" w:type="dxa"/>
              <w:start w:w="60" w:type="dxa"/>
              <w:bottom w:w="60" w:type="dxa"/>
              <w:end w:w="60" w:type="dxa"/>
            </w:tcMar>
          </w:tcPr>
          <w:p>
            <w:pPr>
              <w:spacing w:after="20"/>
            </w:pPr>
            <w:r>
              <w:rPr>
                <w:sz w:val="13"/>
              </w:rPr>
              <w:t>Machine/session capture; prescription; pre/post weight; UF; vascular access; dialyzer reuse policy configurable; adequacy; adverse events; consumables.</w:t>
            </w:r>
          </w:p>
        </w:tc>
      </w:tr>
      <w:tr>
        <w:tc>
          <w:tcPr>
            <w:tcW w:type="dxa" w:w="1800"/>
            <w:vAlign w:val="top"/>
            <w:tcMar>
              <w:top w:w="60" w:type="dxa"/>
              <w:start w:w="60" w:type="dxa"/>
              <w:bottom w:w="60" w:type="dxa"/>
              <w:end w:w="60" w:type="dxa"/>
            </w:tcMar>
          </w:tcPr>
          <w:p>
            <w:pPr>
              <w:spacing w:after="20"/>
            </w:pPr>
            <w:r>
              <w:rPr>
                <w:sz w:val="13"/>
              </w:rPr>
              <w:t>Medical Oncology</w:t>
            </w:r>
          </w:p>
        </w:tc>
        <w:tc>
          <w:tcPr>
            <w:tcW w:type="dxa" w:w="3600"/>
            <w:vAlign w:val="top"/>
            <w:tcMar>
              <w:top w:w="60" w:type="dxa"/>
              <w:start w:w="60" w:type="dxa"/>
              <w:bottom w:w="60" w:type="dxa"/>
              <w:end w:w="60" w:type="dxa"/>
            </w:tcMar>
          </w:tcPr>
          <w:p>
            <w:pPr>
              <w:spacing w:after="20"/>
            </w:pPr>
            <w:r>
              <w:rPr>
                <w:sz w:val="13"/>
              </w:rPr>
              <w:t>Solid tumors; hematologic coordination; systemic therapy.</w:t>
            </w:r>
          </w:p>
        </w:tc>
        <w:tc>
          <w:tcPr>
            <w:tcW w:type="dxa" w:w="5400"/>
            <w:vAlign w:val="top"/>
            <w:tcMar>
              <w:top w:w="60" w:type="dxa"/>
              <w:start w:w="60" w:type="dxa"/>
              <w:bottom w:w="60" w:type="dxa"/>
              <w:end w:w="60" w:type="dxa"/>
            </w:tcMar>
          </w:tcPr>
          <w:p>
            <w:pPr>
              <w:spacing w:after="20"/>
            </w:pPr>
            <w:r>
              <w:rPr>
                <w:sz w:val="13"/>
              </w:rPr>
              <w:t>Cancer diagnosis/staging; regimen protocols; cycle scheduling; BSA/AUC dosing; pre-chemo validation; toxicity grading; response; survivorship.</w:t>
            </w:r>
          </w:p>
        </w:tc>
      </w:tr>
      <w:tr>
        <w:tc>
          <w:tcPr>
            <w:tcW w:type="dxa" w:w="1800"/>
            <w:vAlign w:val="top"/>
            <w:tcMar>
              <w:top w:w="60" w:type="dxa"/>
              <w:start w:w="60" w:type="dxa"/>
              <w:bottom w:w="60" w:type="dxa"/>
              <w:end w:w="60" w:type="dxa"/>
            </w:tcMar>
          </w:tcPr>
          <w:p>
            <w:pPr>
              <w:spacing w:after="20"/>
            </w:pPr>
            <w:r>
              <w:rPr>
                <w:sz w:val="13"/>
              </w:rPr>
              <w:t>Surgical Oncology</w:t>
            </w:r>
          </w:p>
        </w:tc>
        <w:tc>
          <w:tcPr>
            <w:tcW w:type="dxa" w:w="3600"/>
            <w:vAlign w:val="top"/>
            <w:tcMar>
              <w:top w:w="60" w:type="dxa"/>
              <w:start w:w="60" w:type="dxa"/>
              <w:bottom w:w="60" w:type="dxa"/>
              <w:end w:w="60" w:type="dxa"/>
            </w:tcMar>
          </w:tcPr>
          <w:p>
            <w:pPr>
              <w:spacing w:after="20"/>
            </w:pPr>
            <w:r>
              <w:rPr>
                <w:sz w:val="13"/>
              </w:rPr>
              <w:t>Site-specific oncologic surgery; tumor boards.</w:t>
            </w:r>
          </w:p>
        </w:tc>
        <w:tc>
          <w:tcPr>
            <w:tcW w:type="dxa" w:w="5400"/>
            <w:vAlign w:val="top"/>
            <w:tcMar>
              <w:top w:w="60" w:type="dxa"/>
              <w:start w:w="60" w:type="dxa"/>
              <w:bottom w:w="60" w:type="dxa"/>
              <w:end w:w="60" w:type="dxa"/>
            </w:tcMar>
          </w:tcPr>
          <w:p>
            <w:pPr>
              <w:spacing w:after="20"/>
            </w:pPr>
            <w:r>
              <w:rPr>
                <w:sz w:val="13"/>
              </w:rPr>
              <w:t>Tumor board; staging; neoadjuvant/adjuvant plan; margin/pathology linkage; procedure templates; drains/stoma; follow-up.</w:t>
            </w:r>
          </w:p>
        </w:tc>
      </w:tr>
      <w:tr>
        <w:tc>
          <w:tcPr>
            <w:tcW w:type="dxa" w:w="1800"/>
            <w:vAlign w:val="top"/>
            <w:tcMar>
              <w:top w:w="60" w:type="dxa"/>
              <w:start w:w="60" w:type="dxa"/>
              <w:bottom w:w="60" w:type="dxa"/>
              <w:end w:w="60" w:type="dxa"/>
            </w:tcMar>
          </w:tcPr>
          <w:p>
            <w:pPr>
              <w:spacing w:after="20"/>
            </w:pPr>
            <w:r>
              <w:rPr>
                <w:sz w:val="13"/>
              </w:rPr>
              <w:t>Radiation Oncology</w:t>
            </w:r>
          </w:p>
        </w:tc>
        <w:tc>
          <w:tcPr>
            <w:tcW w:type="dxa" w:w="3600"/>
            <w:vAlign w:val="top"/>
            <w:tcMar>
              <w:top w:w="60" w:type="dxa"/>
              <w:start w:w="60" w:type="dxa"/>
              <w:bottom w:w="60" w:type="dxa"/>
              <w:end w:w="60" w:type="dxa"/>
            </w:tcMar>
          </w:tcPr>
          <w:p>
            <w:pPr>
              <w:spacing w:after="20"/>
            </w:pPr>
            <w:r>
              <w:rPr>
                <w:sz w:val="13"/>
              </w:rPr>
              <w:t>External beam; brachytherapy; stereotactic workflows.</w:t>
            </w:r>
          </w:p>
        </w:tc>
        <w:tc>
          <w:tcPr>
            <w:tcW w:type="dxa" w:w="5400"/>
            <w:vAlign w:val="top"/>
            <w:tcMar>
              <w:top w:w="60" w:type="dxa"/>
              <w:start w:w="60" w:type="dxa"/>
              <w:bottom w:w="60" w:type="dxa"/>
              <w:end w:w="60" w:type="dxa"/>
            </w:tcMar>
          </w:tcPr>
          <w:p>
            <w:pPr>
              <w:spacing w:after="20"/>
            </w:pPr>
            <w:r>
              <w:rPr>
                <w:sz w:val="13"/>
              </w:rPr>
              <w:t>Simulation; contour/planning links; prescription/fractions; machine schedule; on-treatment review; toxicity; completion summary.</w:t>
            </w:r>
          </w:p>
        </w:tc>
      </w:tr>
      <w:tr>
        <w:tc>
          <w:tcPr>
            <w:tcW w:type="dxa" w:w="1800"/>
            <w:vAlign w:val="top"/>
            <w:tcMar>
              <w:top w:w="60" w:type="dxa"/>
              <w:start w:w="60" w:type="dxa"/>
              <w:bottom w:w="60" w:type="dxa"/>
              <w:end w:w="60" w:type="dxa"/>
            </w:tcMar>
          </w:tcPr>
          <w:p>
            <w:pPr>
              <w:spacing w:after="20"/>
            </w:pPr>
            <w:r>
              <w:rPr>
                <w:sz w:val="13"/>
              </w:rPr>
              <w:t>Hematology &amp; Hemato-Oncology</w:t>
            </w:r>
          </w:p>
        </w:tc>
        <w:tc>
          <w:tcPr>
            <w:tcW w:type="dxa" w:w="3600"/>
            <w:vAlign w:val="top"/>
            <w:tcMar>
              <w:top w:w="60" w:type="dxa"/>
              <w:start w:w="60" w:type="dxa"/>
              <w:bottom w:w="60" w:type="dxa"/>
              <w:end w:w="60" w:type="dxa"/>
            </w:tcMar>
          </w:tcPr>
          <w:p>
            <w:pPr>
              <w:spacing w:after="20"/>
            </w:pPr>
            <w:r>
              <w:rPr>
                <w:sz w:val="13"/>
              </w:rPr>
              <w:t>Benign hematology; leukemia; lymphoma; myeloma; transplant coordination.</w:t>
            </w:r>
          </w:p>
        </w:tc>
        <w:tc>
          <w:tcPr>
            <w:tcW w:type="dxa" w:w="5400"/>
            <w:vAlign w:val="top"/>
            <w:tcMar>
              <w:top w:w="60" w:type="dxa"/>
              <w:start w:w="60" w:type="dxa"/>
              <w:bottom w:w="60" w:type="dxa"/>
              <w:end w:w="60" w:type="dxa"/>
            </w:tcMar>
          </w:tcPr>
          <w:p>
            <w:pPr>
              <w:spacing w:after="20"/>
            </w:pPr>
            <w:r>
              <w:rPr>
                <w:sz w:val="13"/>
              </w:rPr>
              <w:t>Blood counts/trends; protocols; transfusion; marrow procedures; chemotherapy; infection prophylaxis; cellular therapy/transplant workflows.</w:t>
            </w:r>
          </w:p>
        </w:tc>
      </w:tr>
      <w:tr>
        <w:tc>
          <w:tcPr>
            <w:tcW w:type="dxa" w:w="1800"/>
            <w:vAlign w:val="top"/>
            <w:tcMar>
              <w:top w:w="60" w:type="dxa"/>
              <w:start w:w="60" w:type="dxa"/>
              <w:bottom w:w="60" w:type="dxa"/>
              <w:end w:w="60" w:type="dxa"/>
            </w:tcMar>
          </w:tcPr>
          <w:p>
            <w:pPr>
              <w:spacing w:after="20"/>
            </w:pPr>
            <w:r>
              <w:rPr>
                <w:sz w:val="13"/>
              </w:rPr>
              <w:t>Neurology</w:t>
            </w:r>
          </w:p>
        </w:tc>
        <w:tc>
          <w:tcPr>
            <w:tcW w:type="dxa" w:w="3600"/>
            <w:vAlign w:val="top"/>
            <w:tcMar>
              <w:top w:w="60" w:type="dxa"/>
              <w:start w:w="60" w:type="dxa"/>
              <w:bottom w:w="60" w:type="dxa"/>
              <w:end w:w="60" w:type="dxa"/>
            </w:tcMar>
          </w:tcPr>
          <w:p>
            <w:pPr>
              <w:spacing w:after="20"/>
            </w:pPr>
            <w:r>
              <w:rPr>
                <w:sz w:val="13"/>
              </w:rPr>
              <w:t>Stroke; epilepsy; movement disorders; headache; neuromuscular; neuroimmunology; cognitive neurology.</w:t>
            </w:r>
          </w:p>
        </w:tc>
        <w:tc>
          <w:tcPr>
            <w:tcW w:type="dxa" w:w="5400"/>
            <w:vAlign w:val="top"/>
            <w:tcMar>
              <w:top w:w="60" w:type="dxa"/>
              <w:start w:w="60" w:type="dxa"/>
              <w:bottom w:w="60" w:type="dxa"/>
              <w:end w:w="60" w:type="dxa"/>
            </w:tcMar>
          </w:tcPr>
          <w:p>
            <w:pPr>
              <w:spacing w:after="20"/>
            </w:pPr>
            <w:r>
              <w:rPr>
                <w:sz w:val="13"/>
              </w:rPr>
              <w:t>NIHSS/GCS/mRS; seizure diary; thrombolysis/thrombectomy pathway; EEG/EMG; infusion protocols; disability scales.</w:t>
            </w:r>
          </w:p>
        </w:tc>
      </w:tr>
      <w:tr>
        <w:tc>
          <w:tcPr>
            <w:tcW w:type="dxa" w:w="1800"/>
            <w:vAlign w:val="top"/>
            <w:tcMar>
              <w:top w:w="60" w:type="dxa"/>
              <w:start w:w="60" w:type="dxa"/>
              <w:bottom w:w="60" w:type="dxa"/>
              <w:end w:w="60" w:type="dxa"/>
            </w:tcMar>
          </w:tcPr>
          <w:p>
            <w:pPr>
              <w:spacing w:after="20"/>
            </w:pPr>
            <w:r>
              <w:rPr>
                <w:sz w:val="13"/>
              </w:rPr>
              <w:t>Neurosurgery</w:t>
            </w:r>
          </w:p>
        </w:tc>
        <w:tc>
          <w:tcPr>
            <w:tcW w:type="dxa" w:w="3600"/>
            <w:vAlign w:val="top"/>
            <w:tcMar>
              <w:top w:w="60" w:type="dxa"/>
              <w:start w:w="60" w:type="dxa"/>
              <w:bottom w:w="60" w:type="dxa"/>
              <w:end w:w="60" w:type="dxa"/>
            </w:tcMar>
          </w:tcPr>
          <w:p>
            <w:pPr>
              <w:spacing w:after="20"/>
            </w:pPr>
            <w:r>
              <w:rPr>
                <w:sz w:val="13"/>
              </w:rPr>
              <w:t>Cranial; spine; neurovascular; functional neurosurgery.</w:t>
            </w:r>
          </w:p>
        </w:tc>
        <w:tc>
          <w:tcPr>
            <w:tcW w:type="dxa" w:w="5400"/>
            <w:vAlign w:val="top"/>
            <w:tcMar>
              <w:top w:w="60" w:type="dxa"/>
              <w:start w:w="60" w:type="dxa"/>
              <w:bottom w:w="60" w:type="dxa"/>
              <w:end w:w="60" w:type="dxa"/>
            </w:tcMar>
          </w:tcPr>
          <w:p>
            <w:pPr>
              <w:spacing w:after="20"/>
            </w:pPr>
            <w:r>
              <w:rPr>
                <w:sz w:val="13"/>
              </w:rPr>
              <w:t>Surgical planning; neuronavigation links; implants; drains/ICP; perioperative neuro checks; outcome scales.</w:t>
            </w:r>
          </w:p>
        </w:tc>
      </w:tr>
      <w:tr>
        <w:tc>
          <w:tcPr>
            <w:tcW w:type="dxa" w:w="1800"/>
            <w:vAlign w:val="top"/>
            <w:tcMar>
              <w:top w:w="60" w:type="dxa"/>
              <w:start w:w="60" w:type="dxa"/>
              <w:bottom w:w="60" w:type="dxa"/>
              <w:end w:w="60" w:type="dxa"/>
            </w:tcMar>
          </w:tcPr>
          <w:p>
            <w:pPr>
              <w:spacing w:after="20"/>
            </w:pPr>
            <w:r>
              <w:rPr>
                <w:sz w:val="13"/>
              </w:rPr>
              <w:t>Gastroenterology</w:t>
            </w:r>
          </w:p>
        </w:tc>
        <w:tc>
          <w:tcPr>
            <w:tcW w:type="dxa" w:w="3600"/>
            <w:vAlign w:val="top"/>
            <w:tcMar>
              <w:top w:w="60" w:type="dxa"/>
              <w:start w:w="60" w:type="dxa"/>
              <w:bottom w:w="60" w:type="dxa"/>
              <w:end w:w="60" w:type="dxa"/>
            </w:tcMar>
          </w:tcPr>
          <w:p>
            <w:pPr>
              <w:spacing w:after="20"/>
            </w:pPr>
            <w:r>
              <w:rPr>
                <w:sz w:val="13"/>
              </w:rPr>
              <w:t>Luminal GI; hepatology; pancreatobiliary; IBD; motility; endoscopy.</w:t>
            </w:r>
          </w:p>
        </w:tc>
        <w:tc>
          <w:tcPr>
            <w:tcW w:type="dxa" w:w="5400"/>
            <w:vAlign w:val="top"/>
            <w:tcMar>
              <w:top w:w="60" w:type="dxa"/>
              <w:start w:w="60" w:type="dxa"/>
              <w:bottom w:w="60" w:type="dxa"/>
              <w:end w:w="60" w:type="dxa"/>
            </w:tcMar>
          </w:tcPr>
          <w:p>
            <w:pPr>
              <w:spacing w:after="20"/>
            </w:pPr>
            <w:r>
              <w:rPr>
                <w:sz w:val="13"/>
              </w:rPr>
              <w:t>Endoscopy workflow/images; MELD/Child-Pugh; IBD scores; ERCP/EUS; biopsy linkage; liver surveillance.</w:t>
            </w:r>
          </w:p>
        </w:tc>
      </w:tr>
      <w:tr>
        <w:tc>
          <w:tcPr>
            <w:tcW w:type="dxa" w:w="1800"/>
            <w:vAlign w:val="top"/>
            <w:tcMar>
              <w:top w:w="60" w:type="dxa"/>
              <w:start w:w="60" w:type="dxa"/>
              <w:bottom w:w="60" w:type="dxa"/>
              <w:end w:w="60" w:type="dxa"/>
            </w:tcMar>
          </w:tcPr>
          <w:p>
            <w:pPr>
              <w:spacing w:after="20"/>
            </w:pPr>
            <w:r>
              <w:rPr>
                <w:sz w:val="13"/>
              </w:rPr>
              <w:t>Hepatology &amp; Transplant</w:t>
            </w:r>
          </w:p>
        </w:tc>
        <w:tc>
          <w:tcPr>
            <w:tcW w:type="dxa" w:w="3600"/>
            <w:vAlign w:val="top"/>
            <w:tcMar>
              <w:top w:w="60" w:type="dxa"/>
              <w:start w:w="60" w:type="dxa"/>
              <w:bottom w:w="60" w:type="dxa"/>
              <w:end w:w="60" w:type="dxa"/>
            </w:tcMar>
          </w:tcPr>
          <w:p>
            <w:pPr>
              <w:spacing w:after="20"/>
            </w:pPr>
            <w:r>
              <w:rPr>
                <w:sz w:val="13"/>
              </w:rPr>
              <w:t>Chronic liver disease; liver transplant.</w:t>
            </w:r>
          </w:p>
        </w:tc>
        <w:tc>
          <w:tcPr>
            <w:tcW w:type="dxa" w:w="5400"/>
            <w:vAlign w:val="top"/>
            <w:tcMar>
              <w:top w:w="60" w:type="dxa"/>
              <w:start w:w="60" w:type="dxa"/>
              <w:bottom w:w="60" w:type="dxa"/>
              <w:end w:w="60" w:type="dxa"/>
            </w:tcMar>
          </w:tcPr>
          <w:p>
            <w:pPr>
              <w:spacing w:after="20"/>
            </w:pPr>
            <w:r>
              <w:rPr>
                <w:sz w:val="13"/>
              </w:rPr>
              <w:t>Transplant evaluation; donor/recipient work-up; MELD; wait-list; immunosuppression; rejection/infection monitoring.</w:t>
            </w:r>
          </w:p>
        </w:tc>
      </w:tr>
      <w:tr>
        <w:tc>
          <w:tcPr>
            <w:tcW w:type="dxa" w:w="1800"/>
            <w:vAlign w:val="top"/>
            <w:tcMar>
              <w:top w:w="60" w:type="dxa"/>
              <w:start w:w="60" w:type="dxa"/>
              <w:bottom w:w="60" w:type="dxa"/>
              <w:end w:w="60" w:type="dxa"/>
            </w:tcMar>
          </w:tcPr>
          <w:p>
            <w:pPr>
              <w:spacing w:after="20"/>
            </w:pPr>
            <w:r>
              <w:rPr>
                <w:sz w:val="13"/>
              </w:rPr>
              <w:t>Pulmonology</w:t>
            </w:r>
          </w:p>
        </w:tc>
        <w:tc>
          <w:tcPr>
            <w:tcW w:type="dxa" w:w="3600"/>
            <w:vAlign w:val="top"/>
            <w:tcMar>
              <w:top w:w="60" w:type="dxa"/>
              <w:start w:w="60" w:type="dxa"/>
              <w:bottom w:w="60" w:type="dxa"/>
              <w:end w:w="60" w:type="dxa"/>
            </w:tcMar>
          </w:tcPr>
          <w:p>
            <w:pPr>
              <w:spacing w:after="20"/>
            </w:pPr>
            <w:r>
              <w:rPr>
                <w:sz w:val="13"/>
              </w:rPr>
              <w:t>Airway disease; ILD; sleep; pulmonary hypertension; interventional pulmonology.</w:t>
            </w:r>
          </w:p>
        </w:tc>
        <w:tc>
          <w:tcPr>
            <w:tcW w:type="dxa" w:w="5400"/>
            <w:vAlign w:val="top"/>
            <w:tcMar>
              <w:top w:w="60" w:type="dxa"/>
              <w:start w:w="60" w:type="dxa"/>
              <w:bottom w:w="60" w:type="dxa"/>
              <w:end w:w="60" w:type="dxa"/>
            </w:tcMar>
          </w:tcPr>
          <w:p>
            <w:pPr>
              <w:spacing w:after="20"/>
            </w:pPr>
            <w:r>
              <w:rPr>
                <w:sz w:val="13"/>
              </w:rPr>
              <w:t>PFT; spirometry; oxygen; sleep studies; bronchoscopy; COPD/asthma scores; 6MWT; ventilatory support.</w:t>
            </w:r>
          </w:p>
        </w:tc>
      </w:tr>
      <w:tr>
        <w:tc>
          <w:tcPr>
            <w:tcW w:type="dxa" w:w="1800"/>
            <w:vAlign w:val="top"/>
            <w:tcMar>
              <w:top w:w="60" w:type="dxa"/>
              <w:start w:w="60" w:type="dxa"/>
              <w:bottom w:w="60" w:type="dxa"/>
              <w:end w:w="60" w:type="dxa"/>
            </w:tcMar>
          </w:tcPr>
          <w:p>
            <w:pPr>
              <w:spacing w:after="20"/>
            </w:pPr>
            <w:r>
              <w:rPr>
                <w:sz w:val="13"/>
              </w:rPr>
              <w:t>Critical Care</w:t>
            </w:r>
          </w:p>
        </w:tc>
        <w:tc>
          <w:tcPr>
            <w:tcW w:type="dxa" w:w="3600"/>
            <w:vAlign w:val="top"/>
            <w:tcMar>
              <w:top w:w="60" w:type="dxa"/>
              <w:start w:w="60" w:type="dxa"/>
              <w:bottom w:w="60" w:type="dxa"/>
              <w:end w:w="60" w:type="dxa"/>
            </w:tcMar>
          </w:tcPr>
          <w:p>
            <w:pPr>
              <w:spacing w:after="20"/>
            </w:pPr>
            <w:r>
              <w:rPr>
                <w:sz w:val="13"/>
              </w:rPr>
              <w:t>Medical ICU; surgical ICU; cardiac ICU; neuro ICU; PICU/NICU interfaces.</w:t>
            </w:r>
          </w:p>
        </w:tc>
        <w:tc>
          <w:tcPr>
            <w:tcW w:type="dxa" w:w="5400"/>
            <w:vAlign w:val="top"/>
            <w:tcMar>
              <w:top w:w="60" w:type="dxa"/>
              <w:start w:w="60" w:type="dxa"/>
              <w:bottom w:w="60" w:type="dxa"/>
              <w:end w:w="60" w:type="dxa"/>
            </w:tcMar>
          </w:tcPr>
          <w:p>
            <w:pPr>
              <w:spacing w:after="20"/>
            </w:pPr>
            <w:r>
              <w:rPr>
                <w:sz w:val="13"/>
              </w:rPr>
              <w:t>High-frequency flowsheets; ventilator; vasopressors; sedation; SOFA/APACHE-configurable; bundles; device days; fluid balance; rounds.</w:t>
            </w:r>
          </w:p>
        </w:tc>
      </w:tr>
      <w:tr>
        <w:tc>
          <w:tcPr>
            <w:tcW w:type="dxa" w:w="1800"/>
            <w:vAlign w:val="top"/>
            <w:tcMar>
              <w:top w:w="60" w:type="dxa"/>
              <w:start w:w="60" w:type="dxa"/>
              <w:bottom w:w="60" w:type="dxa"/>
              <w:end w:w="60" w:type="dxa"/>
            </w:tcMar>
          </w:tcPr>
          <w:p>
            <w:pPr>
              <w:spacing w:after="20"/>
            </w:pPr>
            <w:r>
              <w:rPr>
                <w:sz w:val="13"/>
              </w:rPr>
              <w:t>Emergency Medicine</w:t>
            </w:r>
          </w:p>
        </w:tc>
        <w:tc>
          <w:tcPr>
            <w:tcW w:type="dxa" w:w="3600"/>
            <w:vAlign w:val="top"/>
            <w:tcMar>
              <w:top w:w="60" w:type="dxa"/>
              <w:start w:w="60" w:type="dxa"/>
              <w:bottom w:w="60" w:type="dxa"/>
              <w:end w:w="60" w:type="dxa"/>
            </w:tcMar>
          </w:tcPr>
          <w:p>
            <w:pPr>
              <w:spacing w:after="20"/>
            </w:pPr>
            <w:r>
              <w:rPr>
                <w:sz w:val="13"/>
              </w:rPr>
              <w:t>Triage; resuscitation; trauma; observation.</w:t>
            </w:r>
          </w:p>
        </w:tc>
        <w:tc>
          <w:tcPr>
            <w:tcW w:type="dxa" w:w="5400"/>
            <w:vAlign w:val="top"/>
            <w:tcMar>
              <w:top w:w="60" w:type="dxa"/>
              <w:start w:w="60" w:type="dxa"/>
              <w:bottom w:w="60" w:type="dxa"/>
              <w:end w:w="60" w:type="dxa"/>
            </w:tcMar>
          </w:tcPr>
          <w:p>
            <w:pPr>
              <w:spacing w:after="20"/>
            </w:pPr>
            <w:r>
              <w:rPr>
                <w:sz w:val="13"/>
              </w:rPr>
              <w:t>Triage acuity; ambulance pre-arrival; resus flowsheet; trauma activation; rapid orders; MLC workflow; disposition timers.</w:t>
            </w:r>
          </w:p>
        </w:tc>
      </w:tr>
      <w:tr>
        <w:tc>
          <w:tcPr>
            <w:tcW w:type="dxa" w:w="1800"/>
            <w:vAlign w:val="top"/>
            <w:tcMar>
              <w:top w:w="60" w:type="dxa"/>
              <w:start w:w="60" w:type="dxa"/>
              <w:bottom w:w="60" w:type="dxa"/>
              <w:end w:w="60" w:type="dxa"/>
            </w:tcMar>
          </w:tcPr>
          <w:p>
            <w:pPr>
              <w:spacing w:after="20"/>
            </w:pPr>
            <w:r>
              <w:rPr>
                <w:sz w:val="13"/>
              </w:rPr>
              <w:t>Internal Medicine</w:t>
            </w:r>
          </w:p>
        </w:tc>
        <w:tc>
          <w:tcPr>
            <w:tcW w:type="dxa" w:w="3600"/>
            <w:vAlign w:val="top"/>
            <w:tcMar>
              <w:top w:w="60" w:type="dxa"/>
              <w:start w:w="60" w:type="dxa"/>
              <w:bottom w:w="60" w:type="dxa"/>
              <w:end w:w="60" w:type="dxa"/>
            </w:tcMar>
          </w:tcPr>
          <w:p>
            <w:pPr>
              <w:spacing w:after="20"/>
            </w:pPr>
            <w:r>
              <w:rPr>
                <w:sz w:val="13"/>
              </w:rPr>
              <w:t>General medicine; multisystem disease; infectious disease coordination.</w:t>
            </w:r>
          </w:p>
        </w:tc>
        <w:tc>
          <w:tcPr>
            <w:tcW w:type="dxa" w:w="5400"/>
            <w:vAlign w:val="top"/>
            <w:tcMar>
              <w:top w:w="60" w:type="dxa"/>
              <w:start w:w="60" w:type="dxa"/>
              <w:bottom w:w="60" w:type="dxa"/>
              <w:end w:w="60" w:type="dxa"/>
            </w:tcMar>
          </w:tcPr>
          <w:p>
            <w:pPr>
              <w:spacing w:after="20"/>
            </w:pPr>
            <w:r>
              <w:rPr>
                <w:sz w:val="13"/>
              </w:rPr>
              <w:t>Problem-oriented chart; chronic disease management; sepsis pathways; medication reconciliation; comprehensive discharge.</w:t>
            </w:r>
          </w:p>
        </w:tc>
      </w:tr>
      <w:tr>
        <w:tc>
          <w:tcPr>
            <w:tcW w:type="dxa" w:w="1800"/>
            <w:vAlign w:val="top"/>
            <w:tcMar>
              <w:top w:w="60" w:type="dxa"/>
              <w:start w:w="60" w:type="dxa"/>
              <w:bottom w:w="60" w:type="dxa"/>
              <w:end w:w="60" w:type="dxa"/>
            </w:tcMar>
          </w:tcPr>
          <w:p>
            <w:pPr>
              <w:spacing w:after="20"/>
            </w:pPr>
            <w:r>
              <w:rPr>
                <w:sz w:val="13"/>
              </w:rPr>
              <w:t>Endocrinology</w:t>
            </w:r>
          </w:p>
        </w:tc>
        <w:tc>
          <w:tcPr>
            <w:tcW w:type="dxa" w:w="3600"/>
            <w:vAlign w:val="top"/>
            <w:tcMar>
              <w:top w:w="60" w:type="dxa"/>
              <w:start w:w="60" w:type="dxa"/>
              <w:bottom w:w="60" w:type="dxa"/>
              <w:end w:w="60" w:type="dxa"/>
            </w:tcMar>
          </w:tcPr>
          <w:p>
            <w:pPr>
              <w:spacing w:after="20"/>
            </w:pPr>
            <w:r>
              <w:rPr>
                <w:sz w:val="13"/>
              </w:rPr>
              <w:t>Diabetes; thyroid; pituitary; adrenal; metabolic bone; obesity.</w:t>
            </w:r>
          </w:p>
        </w:tc>
        <w:tc>
          <w:tcPr>
            <w:tcW w:type="dxa" w:w="5400"/>
            <w:vAlign w:val="top"/>
            <w:tcMar>
              <w:top w:w="60" w:type="dxa"/>
              <w:start w:w="60" w:type="dxa"/>
              <w:bottom w:w="60" w:type="dxa"/>
              <w:end w:w="60" w:type="dxa"/>
            </w:tcMar>
          </w:tcPr>
          <w:p>
            <w:pPr>
              <w:spacing w:after="20"/>
            </w:pPr>
            <w:r>
              <w:rPr>
                <w:sz w:val="13"/>
              </w:rPr>
              <w:t>Glucose/CGM trends; insulin titration; HbA1c; thyroid/pituitary panels; endocrine testing; complication registry.</w:t>
            </w:r>
          </w:p>
        </w:tc>
      </w:tr>
      <w:tr>
        <w:tc>
          <w:tcPr>
            <w:tcW w:type="dxa" w:w="1800"/>
            <w:vAlign w:val="top"/>
            <w:tcMar>
              <w:top w:w="60" w:type="dxa"/>
              <w:start w:w="60" w:type="dxa"/>
              <w:bottom w:w="60" w:type="dxa"/>
              <w:end w:w="60" w:type="dxa"/>
            </w:tcMar>
          </w:tcPr>
          <w:p>
            <w:pPr>
              <w:spacing w:after="20"/>
            </w:pPr>
            <w:r>
              <w:rPr>
                <w:sz w:val="13"/>
              </w:rPr>
              <w:t>Rheumatology</w:t>
            </w:r>
          </w:p>
        </w:tc>
        <w:tc>
          <w:tcPr>
            <w:tcW w:type="dxa" w:w="3600"/>
            <w:vAlign w:val="top"/>
            <w:tcMar>
              <w:top w:w="60" w:type="dxa"/>
              <w:start w:w="60" w:type="dxa"/>
              <w:bottom w:w="60" w:type="dxa"/>
              <w:end w:w="60" w:type="dxa"/>
            </w:tcMar>
          </w:tcPr>
          <w:p>
            <w:pPr>
              <w:spacing w:after="20"/>
            </w:pPr>
            <w:r>
              <w:rPr>
                <w:sz w:val="13"/>
              </w:rPr>
              <w:t>Inflammatory arthritis; connective tissue; vasculitis.</w:t>
            </w:r>
          </w:p>
        </w:tc>
        <w:tc>
          <w:tcPr>
            <w:tcW w:type="dxa" w:w="5400"/>
            <w:vAlign w:val="top"/>
            <w:tcMar>
              <w:top w:w="60" w:type="dxa"/>
              <w:start w:w="60" w:type="dxa"/>
              <w:bottom w:w="60" w:type="dxa"/>
              <w:end w:w="60" w:type="dxa"/>
            </w:tcMar>
          </w:tcPr>
          <w:p>
            <w:pPr>
              <w:spacing w:after="20"/>
            </w:pPr>
            <w:r>
              <w:rPr>
                <w:sz w:val="13"/>
              </w:rPr>
              <w:t>Disease activity scores; biologic screening; infusion; joint counts; imaging/lab trends; adverse-event monitoring.</w:t>
            </w:r>
          </w:p>
        </w:tc>
      </w:tr>
      <w:tr>
        <w:tc>
          <w:tcPr>
            <w:tcW w:type="dxa" w:w="1800"/>
            <w:vAlign w:val="top"/>
            <w:tcMar>
              <w:top w:w="60" w:type="dxa"/>
              <w:start w:w="60" w:type="dxa"/>
              <w:bottom w:w="60" w:type="dxa"/>
              <w:end w:w="60" w:type="dxa"/>
            </w:tcMar>
          </w:tcPr>
          <w:p>
            <w:pPr>
              <w:spacing w:after="20"/>
            </w:pPr>
            <w:r>
              <w:rPr>
                <w:sz w:val="13"/>
              </w:rPr>
              <w:t>Dermatology</w:t>
            </w:r>
          </w:p>
        </w:tc>
        <w:tc>
          <w:tcPr>
            <w:tcW w:type="dxa" w:w="3600"/>
            <w:vAlign w:val="top"/>
            <w:tcMar>
              <w:top w:w="60" w:type="dxa"/>
              <w:start w:w="60" w:type="dxa"/>
              <w:bottom w:w="60" w:type="dxa"/>
              <w:end w:w="60" w:type="dxa"/>
            </w:tcMar>
          </w:tcPr>
          <w:p>
            <w:pPr>
              <w:spacing w:after="20"/>
            </w:pPr>
            <w:r>
              <w:rPr>
                <w:sz w:val="13"/>
              </w:rPr>
              <w:t>Medical; procedural; dermatopathology coordination.</w:t>
            </w:r>
          </w:p>
        </w:tc>
        <w:tc>
          <w:tcPr>
            <w:tcW w:type="dxa" w:w="5400"/>
            <w:vAlign w:val="top"/>
            <w:tcMar>
              <w:top w:w="60" w:type="dxa"/>
              <w:start w:w="60" w:type="dxa"/>
              <w:bottom w:w="60" w:type="dxa"/>
              <w:end w:w="60" w:type="dxa"/>
            </w:tcMar>
          </w:tcPr>
          <w:p>
            <w:pPr>
              <w:spacing w:after="20"/>
            </w:pPr>
            <w:r>
              <w:rPr>
                <w:sz w:val="13"/>
              </w:rPr>
              <w:t>Body maps; lesion photography consent; severity indices; dermoscopy link; biologics; procedural notes.</w:t>
            </w:r>
          </w:p>
        </w:tc>
      </w:tr>
      <w:tr>
        <w:tc>
          <w:tcPr>
            <w:tcW w:type="dxa" w:w="1800"/>
            <w:vAlign w:val="top"/>
            <w:tcMar>
              <w:top w:w="60" w:type="dxa"/>
              <w:start w:w="60" w:type="dxa"/>
              <w:bottom w:w="60" w:type="dxa"/>
              <w:end w:w="60" w:type="dxa"/>
            </w:tcMar>
          </w:tcPr>
          <w:p>
            <w:pPr>
              <w:spacing w:after="20"/>
            </w:pPr>
            <w:r>
              <w:rPr>
                <w:sz w:val="13"/>
              </w:rPr>
              <w:t>Orthopedics</w:t>
            </w:r>
          </w:p>
        </w:tc>
        <w:tc>
          <w:tcPr>
            <w:tcW w:type="dxa" w:w="3600"/>
            <w:vAlign w:val="top"/>
            <w:tcMar>
              <w:top w:w="60" w:type="dxa"/>
              <w:start w:w="60" w:type="dxa"/>
              <w:bottom w:w="60" w:type="dxa"/>
              <w:end w:w="60" w:type="dxa"/>
            </w:tcMar>
          </w:tcPr>
          <w:p>
            <w:pPr>
              <w:spacing w:after="20"/>
            </w:pPr>
            <w:r>
              <w:rPr>
                <w:sz w:val="13"/>
              </w:rPr>
              <w:t>Trauma; arthroplasty; sports medicine; spine; pediatric orthopedics; hand; foot/ankle.</w:t>
            </w:r>
          </w:p>
        </w:tc>
        <w:tc>
          <w:tcPr>
            <w:tcW w:type="dxa" w:w="5400"/>
            <w:vAlign w:val="top"/>
            <w:tcMar>
              <w:top w:w="60" w:type="dxa"/>
              <w:start w:w="60" w:type="dxa"/>
              <w:bottom w:w="60" w:type="dxa"/>
              <w:end w:w="60" w:type="dxa"/>
            </w:tcMar>
          </w:tcPr>
          <w:p>
            <w:pPr>
              <w:spacing w:after="20"/>
            </w:pPr>
            <w:r>
              <w:rPr>
                <w:sz w:val="13"/>
              </w:rPr>
              <w:t>Fracture classification; implants; templating links; PROMs; physiotherapy; cast/splint; surgical registry.</w:t>
            </w:r>
          </w:p>
        </w:tc>
      </w:tr>
      <w:tr>
        <w:tc>
          <w:tcPr>
            <w:tcW w:type="dxa" w:w="1800"/>
            <w:vAlign w:val="top"/>
            <w:tcMar>
              <w:top w:w="60" w:type="dxa"/>
              <w:start w:w="60" w:type="dxa"/>
              <w:bottom w:w="60" w:type="dxa"/>
              <w:end w:w="60" w:type="dxa"/>
            </w:tcMar>
          </w:tcPr>
          <w:p>
            <w:pPr>
              <w:spacing w:after="20"/>
            </w:pPr>
            <w:r>
              <w:rPr>
                <w:sz w:val="13"/>
              </w:rPr>
              <w:t>Physical Medicine &amp; Rehabilitation</w:t>
            </w:r>
          </w:p>
        </w:tc>
        <w:tc>
          <w:tcPr>
            <w:tcW w:type="dxa" w:w="3600"/>
            <w:vAlign w:val="top"/>
            <w:tcMar>
              <w:top w:w="60" w:type="dxa"/>
              <w:start w:w="60" w:type="dxa"/>
              <w:bottom w:w="60" w:type="dxa"/>
              <w:end w:w="60" w:type="dxa"/>
            </w:tcMar>
          </w:tcPr>
          <w:p>
            <w:pPr>
              <w:spacing w:after="20"/>
            </w:pPr>
            <w:r>
              <w:rPr>
                <w:sz w:val="13"/>
              </w:rPr>
              <w:t>Neuro rehab; musculoskeletal rehab; prosthetics/orthotics.</w:t>
            </w:r>
          </w:p>
        </w:tc>
        <w:tc>
          <w:tcPr>
            <w:tcW w:type="dxa" w:w="5400"/>
            <w:vAlign w:val="top"/>
            <w:tcMar>
              <w:top w:w="60" w:type="dxa"/>
              <w:start w:w="60" w:type="dxa"/>
              <w:bottom w:w="60" w:type="dxa"/>
              <w:end w:w="60" w:type="dxa"/>
            </w:tcMar>
          </w:tcPr>
          <w:p>
            <w:pPr>
              <w:spacing w:after="20"/>
            </w:pPr>
            <w:r>
              <w:rPr>
                <w:sz w:val="13"/>
              </w:rPr>
              <w:t>Functional scores; therapy goals; PT/OT/speech plans; assistive device tracking; outcomes.</w:t>
            </w:r>
          </w:p>
        </w:tc>
      </w:tr>
      <w:tr>
        <w:tc>
          <w:tcPr>
            <w:tcW w:type="dxa" w:w="1800"/>
            <w:vAlign w:val="top"/>
            <w:tcMar>
              <w:top w:w="60" w:type="dxa"/>
              <w:start w:w="60" w:type="dxa"/>
              <w:bottom w:w="60" w:type="dxa"/>
              <w:end w:w="60" w:type="dxa"/>
            </w:tcMar>
          </w:tcPr>
          <w:p>
            <w:pPr>
              <w:spacing w:after="20"/>
            </w:pPr>
            <w:r>
              <w:rPr>
                <w:sz w:val="13"/>
              </w:rPr>
              <w:t>Obstetrics</w:t>
            </w:r>
          </w:p>
        </w:tc>
        <w:tc>
          <w:tcPr>
            <w:tcW w:type="dxa" w:w="3600"/>
            <w:vAlign w:val="top"/>
            <w:tcMar>
              <w:top w:w="60" w:type="dxa"/>
              <w:start w:w="60" w:type="dxa"/>
              <w:bottom w:w="60" w:type="dxa"/>
              <w:end w:w="60" w:type="dxa"/>
            </w:tcMar>
          </w:tcPr>
          <w:p>
            <w:pPr>
              <w:spacing w:after="20"/>
            </w:pPr>
            <w:r>
              <w:rPr>
                <w:sz w:val="13"/>
              </w:rPr>
              <w:t>Antenatal; fetal medicine; labor/delivery; high-risk obstetrics.</w:t>
            </w:r>
          </w:p>
        </w:tc>
        <w:tc>
          <w:tcPr>
            <w:tcW w:type="dxa" w:w="5400"/>
            <w:vAlign w:val="top"/>
            <w:tcMar>
              <w:top w:w="60" w:type="dxa"/>
              <w:start w:w="60" w:type="dxa"/>
              <w:bottom w:w="60" w:type="dxa"/>
              <w:end w:w="60" w:type="dxa"/>
            </w:tcMar>
          </w:tcPr>
          <w:p>
            <w:pPr>
              <w:spacing w:after="20"/>
            </w:pPr>
            <w:r>
              <w:rPr>
                <w:sz w:val="13"/>
              </w:rPr>
              <w:t>Gravida/para; ANC; fetal growth; CTG integration; partograph; labor; delivery; postpartum; maternal early-warning.</w:t>
            </w:r>
          </w:p>
        </w:tc>
      </w:tr>
      <w:tr>
        <w:tc>
          <w:tcPr>
            <w:tcW w:type="dxa" w:w="1800"/>
            <w:vAlign w:val="top"/>
            <w:tcMar>
              <w:top w:w="60" w:type="dxa"/>
              <w:start w:w="60" w:type="dxa"/>
              <w:bottom w:w="60" w:type="dxa"/>
              <w:end w:w="60" w:type="dxa"/>
            </w:tcMar>
          </w:tcPr>
          <w:p>
            <w:pPr>
              <w:spacing w:after="20"/>
            </w:pPr>
            <w:r>
              <w:rPr>
                <w:sz w:val="13"/>
              </w:rPr>
              <w:t>Gynecology</w:t>
            </w:r>
          </w:p>
        </w:tc>
        <w:tc>
          <w:tcPr>
            <w:tcW w:type="dxa" w:w="3600"/>
            <w:vAlign w:val="top"/>
            <w:tcMar>
              <w:top w:w="60" w:type="dxa"/>
              <w:start w:w="60" w:type="dxa"/>
              <w:bottom w:w="60" w:type="dxa"/>
              <w:end w:w="60" w:type="dxa"/>
            </w:tcMar>
          </w:tcPr>
          <w:p>
            <w:pPr>
              <w:spacing w:after="20"/>
            </w:pPr>
            <w:r>
              <w:rPr>
                <w:sz w:val="13"/>
              </w:rPr>
              <w:t>General; reproductive; urogynecology; gynecologic oncology coordination.</w:t>
            </w:r>
          </w:p>
        </w:tc>
        <w:tc>
          <w:tcPr>
            <w:tcW w:type="dxa" w:w="5400"/>
            <w:vAlign w:val="top"/>
            <w:tcMar>
              <w:top w:w="60" w:type="dxa"/>
              <w:start w:w="60" w:type="dxa"/>
              <w:bottom w:w="60" w:type="dxa"/>
              <w:end w:w="60" w:type="dxa"/>
            </w:tcMar>
          </w:tcPr>
          <w:p>
            <w:pPr>
              <w:spacing w:after="20"/>
            </w:pPr>
            <w:r>
              <w:rPr>
                <w:sz w:val="13"/>
              </w:rPr>
              <w:t>Menstrual/reproductive history; procedures; fertility links; cervical screening; surgery; pelvic-floor assessments.</w:t>
            </w:r>
          </w:p>
        </w:tc>
      </w:tr>
      <w:tr>
        <w:tc>
          <w:tcPr>
            <w:tcW w:type="dxa" w:w="1800"/>
            <w:vAlign w:val="top"/>
            <w:tcMar>
              <w:top w:w="60" w:type="dxa"/>
              <w:start w:w="60" w:type="dxa"/>
              <w:bottom w:w="60" w:type="dxa"/>
              <w:end w:w="60" w:type="dxa"/>
            </w:tcMar>
          </w:tcPr>
          <w:p>
            <w:pPr>
              <w:spacing w:after="20"/>
            </w:pPr>
            <w:r>
              <w:rPr>
                <w:sz w:val="13"/>
              </w:rPr>
              <w:t>Fertility / ART</w:t>
            </w:r>
          </w:p>
        </w:tc>
        <w:tc>
          <w:tcPr>
            <w:tcW w:type="dxa" w:w="3600"/>
            <w:vAlign w:val="top"/>
            <w:tcMar>
              <w:top w:w="60" w:type="dxa"/>
              <w:start w:w="60" w:type="dxa"/>
              <w:bottom w:w="60" w:type="dxa"/>
              <w:end w:w="60" w:type="dxa"/>
            </w:tcMar>
          </w:tcPr>
          <w:p>
            <w:pPr>
              <w:spacing w:after="20"/>
            </w:pPr>
            <w:r>
              <w:rPr>
                <w:sz w:val="13"/>
              </w:rPr>
              <w:t>Infertility; IVF/ICSI; embryology.</w:t>
            </w:r>
          </w:p>
        </w:tc>
        <w:tc>
          <w:tcPr>
            <w:tcW w:type="dxa" w:w="5400"/>
            <w:vAlign w:val="top"/>
            <w:tcMar>
              <w:top w:w="60" w:type="dxa"/>
              <w:start w:w="60" w:type="dxa"/>
              <w:bottom w:w="60" w:type="dxa"/>
              <w:end w:w="60" w:type="dxa"/>
            </w:tcMar>
          </w:tcPr>
          <w:p>
            <w:pPr>
              <w:spacing w:after="20"/>
            </w:pPr>
            <w:r>
              <w:rPr>
                <w:sz w:val="13"/>
              </w:rPr>
              <w:t>Cycle plan; stimulation; follicle monitoring; gamete/embryo chain-of-custody; cryostorage; outcomes; consent.</w:t>
            </w:r>
          </w:p>
        </w:tc>
      </w:tr>
      <w:tr>
        <w:tc>
          <w:tcPr>
            <w:tcW w:type="dxa" w:w="1800"/>
            <w:vAlign w:val="top"/>
            <w:tcMar>
              <w:top w:w="60" w:type="dxa"/>
              <w:start w:w="60" w:type="dxa"/>
              <w:bottom w:w="60" w:type="dxa"/>
              <w:end w:w="60" w:type="dxa"/>
            </w:tcMar>
          </w:tcPr>
          <w:p>
            <w:pPr>
              <w:spacing w:after="20"/>
            </w:pPr>
            <w:r>
              <w:rPr>
                <w:sz w:val="13"/>
              </w:rPr>
              <w:t>Urology</w:t>
            </w:r>
          </w:p>
        </w:tc>
        <w:tc>
          <w:tcPr>
            <w:tcW w:type="dxa" w:w="3600"/>
            <w:vAlign w:val="top"/>
            <w:tcMar>
              <w:top w:w="60" w:type="dxa"/>
              <w:start w:w="60" w:type="dxa"/>
              <w:bottom w:w="60" w:type="dxa"/>
              <w:end w:w="60" w:type="dxa"/>
            </w:tcMar>
          </w:tcPr>
          <w:p>
            <w:pPr>
              <w:spacing w:after="20"/>
            </w:pPr>
            <w:r>
              <w:rPr>
                <w:sz w:val="13"/>
              </w:rPr>
              <w:t>Endourology; uro-oncology; reconstructive; andrology; functional urology.</w:t>
            </w:r>
          </w:p>
        </w:tc>
        <w:tc>
          <w:tcPr>
            <w:tcW w:type="dxa" w:w="5400"/>
            <w:vAlign w:val="top"/>
            <w:tcMar>
              <w:top w:w="60" w:type="dxa"/>
              <w:start w:w="60" w:type="dxa"/>
              <w:bottom w:w="60" w:type="dxa"/>
              <w:end w:w="60" w:type="dxa"/>
            </w:tcMar>
          </w:tcPr>
          <w:p>
            <w:pPr>
              <w:spacing w:after="20"/>
            </w:pPr>
            <w:r>
              <w:rPr>
                <w:sz w:val="13"/>
              </w:rPr>
              <w:t>Urinary symptom scores; stone pathway; uroflow/urodynamics; procedure; stent/catheter tracking; oncology linkage.</w:t>
            </w:r>
          </w:p>
        </w:tc>
      </w:tr>
      <w:tr>
        <w:tc>
          <w:tcPr>
            <w:tcW w:type="dxa" w:w="1800"/>
            <w:vAlign w:val="top"/>
            <w:tcMar>
              <w:top w:w="60" w:type="dxa"/>
              <w:start w:w="60" w:type="dxa"/>
              <w:bottom w:w="60" w:type="dxa"/>
              <w:end w:w="60" w:type="dxa"/>
            </w:tcMar>
          </w:tcPr>
          <w:p>
            <w:pPr>
              <w:spacing w:after="20"/>
            </w:pPr>
            <w:r>
              <w:rPr>
                <w:sz w:val="13"/>
              </w:rPr>
              <w:t>ENT</w:t>
            </w:r>
          </w:p>
        </w:tc>
        <w:tc>
          <w:tcPr>
            <w:tcW w:type="dxa" w:w="3600"/>
            <w:vAlign w:val="top"/>
            <w:tcMar>
              <w:top w:w="60" w:type="dxa"/>
              <w:start w:w="60" w:type="dxa"/>
              <w:bottom w:w="60" w:type="dxa"/>
              <w:end w:w="60" w:type="dxa"/>
            </w:tcMar>
          </w:tcPr>
          <w:p>
            <w:pPr>
              <w:spacing w:after="20"/>
            </w:pPr>
            <w:r>
              <w:rPr>
                <w:sz w:val="13"/>
              </w:rPr>
              <w:t>Otology; rhinology; laryngology; head &amp; neck; audiology.</w:t>
            </w:r>
          </w:p>
        </w:tc>
        <w:tc>
          <w:tcPr>
            <w:tcW w:type="dxa" w:w="5400"/>
            <w:vAlign w:val="top"/>
            <w:tcMar>
              <w:top w:w="60" w:type="dxa"/>
              <w:start w:w="60" w:type="dxa"/>
              <w:bottom w:w="60" w:type="dxa"/>
              <w:end w:w="60" w:type="dxa"/>
            </w:tcMar>
          </w:tcPr>
          <w:p>
            <w:pPr>
              <w:spacing w:after="20"/>
            </w:pPr>
            <w:r>
              <w:rPr>
                <w:sz w:val="13"/>
              </w:rPr>
              <w:t>Audiogram; endoscopy; hearing devices; vestibular tests; operative templates; oncology pathway.</w:t>
            </w:r>
          </w:p>
        </w:tc>
      </w:tr>
      <w:tr>
        <w:tc>
          <w:tcPr>
            <w:tcW w:type="dxa" w:w="1800"/>
            <w:vAlign w:val="top"/>
            <w:tcMar>
              <w:top w:w="60" w:type="dxa"/>
              <w:start w:w="60" w:type="dxa"/>
              <w:bottom w:w="60" w:type="dxa"/>
              <w:end w:w="60" w:type="dxa"/>
            </w:tcMar>
          </w:tcPr>
          <w:p>
            <w:pPr>
              <w:spacing w:after="20"/>
            </w:pPr>
            <w:r>
              <w:rPr>
                <w:sz w:val="13"/>
              </w:rPr>
              <w:t>Ophthalmology</w:t>
            </w:r>
          </w:p>
        </w:tc>
        <w:tc>
          <w:tcPr>
            <w:tcW w:type="dxa" w:w="3600"/>
            <w:vAlign w:val="top"/>
            <w:tcMar>
              <w:top w:w="60" w:type="dxa"/>
              <w:start w:w="60" w:type="dxa"/>
              <w:bottom w:w="60" w:type="dxa"/>
              <w:end w:w="60" w:type="dxa"/>
            </w:tcMar>
          </w:tcPr>
          <w:p>
            <w:pPr>
              <w:spacing w:after="20"/>
            </w:pPr>
            <w:r>
              <w:rPr>
                <w:sz w:val="13"/>
              </w:rPr>
              <w:t>Cataract; retina; glaucoma; cornea; pediatric; neuro-ophthalmology.</w:t>
            </w:r>
          </w:p>
        </w:tc>
        <w:tc>
          <w:tcPr>
            <w:tcW w:type="dxa" w:w="5400"/>
            <w:vAlign w:val="top"/>
            <w:tcMar>
              <w:top w:w="60" w:type="dxa"/>
              <w:start w:w="60" w:type="dxa"/>
              <w:bottom w:w="60" w:type="dxa"/>
              <w:end w:w="60" w:type="dxa"/>
            </w:tcMar>
          </w:tcPr>
          <w:p>
            <w:pPr>
              <w:spacing w:after="20"/>
            </w:pPr>
            <w:r>
              <w:rPr>
                <w:sz w:val="13"/>
              </w:rPr>
              <w:t>Visual acuity; refraction; IOP; OCT/fundus integration; laterality; intravitreal therapy; surgery/lens registry.</w:t>
            </w:r>
          </w:p>
        </w:tc>
      </w:tr>
      <w:tr>
        <w:tc>
          <w:tcPr>
            <w:tcW w:type="dxa" w:w="1800"/>
            <w:vAlign w:val="top"/>
            <w:tcMar>
              <w:top w:w="60" w:type="dxa"/>
              <w:start w:w="60" w:type="dxa"/>
              <w:bottom w:w="60" w:type="dxa"/>
              <w:end w:w="60" w:type="dxa"/>
            </w:tcMar>
          </w:tcPr>
          <w:p>
            <w:pPr>
              <w:spacing w:after="20"/>
            </w:pPr>
            <w:r>
              <w:rPr>
                <w:sz w:val="13"/>
              </w:rPr>
              <w:t>Dentistry</w:t>
            </w:r>
          </w:p>
        </w:tc>
        <w:tc>
          <w:tcPr>
            <w:tcW w:type="dxa" w:w="3600"/>
            <w:vAlign w:val="top"/>
            <w:tcMar>
              <w:top w:w="60" w:type="dxa"/>
              <w:start w:w="60" w:type="dxa"/>
              <w:bottom w:w="60" w:type="dxa"/>
              <w:end w:w="60" w:type="dxa"/>
            </w:tcMar>
          </w:tcPr>
          <w:p>
            <w:pPr>
              <w:spacing w:after="20"/>
            </w:pPr>
            <w:r>
              <w:rPr>
                <w:sz w:val="13"/>
              </w:rPr>
              <w:t>General; oral surgery; orthodontics; periodontics; prosthodontics; endodontics; pediatric dentistry.</w:t>
            </w:r>
          </w:p>
        </w:tc>
        <w:tc>
          <w:tcPr>
            <w:tcW w:type="dxa" w:w="5400"/>
            <w:vAlign w:val="top"/>
            <w:tcMar>
              <w:top w:w="60" w:type="dxa"/>
              <w:start w:w="60" w:type="dxa"/>
              <w:bottom w:w="60" w:type="dxa"/>
              <w:end w:w="60" w:type="dxa"/>
            </w:tcMar>
          </w:tcPr>
          <w:p>
            <w:pPr>
              <w:spacing w:after="20"/>
            </w:pPr>
            <w:r>
              <w:rPr>
                <w:sz w:val="13"/>
              </w:rPr>
              <w:t>Odontogram; tooth surfaces; imaging; treatment plan; prosthesis; materials; procedure charting; recall.</w:t>
            </w:r>
          </w:p>
        </w:tc>
      </w:tr>
      <w:tr>
        <w:tc>
          <w:tcPr>
            <w:tcW w:type="dxa" w:w="1800"/>
            <w:vAlign w:val="top"/>
            <w:tcMar>
              <w:top w:w="60" w:type="dxa"/>
              <w:start w:w="60" w:type="dxa"/>
              <w:bottom w:w="60" w:type="dxa"/>
              <w:end w:w="60" w:type="dxa"/>
            </w:tcMar>
          </w:tcPr>
          <w:p>
            <w:pPr>
              <w:spacing w:after="20"/>
            </w:pPr>
            <w:r>
              <w:rPr>
                <w:sz w:val="13"/>
              </w:rPr>
              <w:t>Psychiatry</w:t>
            </w:r>
          </w:p>
        </w:tc>
        <w:tc>
          <w:tcPr>
            <w:tcW w:type="dxa" w:w="3600"/>
            <w:vAlign w:val="top"/>
            <w:tcMar>
              <w:top w:w="60" w:type="dxa"/>
              <w:start w:w="60" w:type="dxa"/>
              <w:bottom w:w="60" w:type="dxa"/>
              <w:end w:w="60" w:type="dxa"/>
            </w:tcMar>
          </w:tcPr>
          <w:p>
            <w:pPr>
              <w:spacing w:after="20"/>
            </w:pPr>
            <w:r>
              <w:rPr>
                <w:sz w:val="13"/>
              </w:rPr>
              <w:t>Adult; child/adolescent; addiction; geriatric; consultation-liaison.</w:t>
            </w:r>
          </w:p>
        </w:tc>
        <w:tc>
          <w:tcPr>
            <w:tcW w:type="dxa" w:w="5400"/>
            <w:vAlign w:val="top"/>
            <w:tcMar>
              <w:top w:w="60" w:type="dxa"/>
              <w:start w:w="60" w:type="dxa"/>
              <w:bottom w:w="60" w:type="dxa"/>
              <w:end w:w="60" w:type="dxa"/>
            </w:tcMar>
          </w:tcPr>
          <w:p>
            <w:pPr>
              <w:spacing w:after="20"/>
            </w:pPr>
            <w:r>
              <w:rPr>
                <w:sz w:val="13"/>
              </w:rPr>
              <w:t>Mental status exam; validated scales; risk assessment; capacity/consent; psychotherapy plan; controlled access; follow-up.</w:t>
            </w:r>
          </w:p>
        </w:tc>
      </w:tr>
      <w:tr>
        <w:tc>
          <w:tcPr>
            <w:tcW w:type="dxa" w:w="1800"/>
            <w:vAlign w:val="top"/>
            <w:tcMar>
              <w:top w:w="60" w:type="dxa"/>
              <w:start w:w="60" w:type="dxa"/>
              <w:bottom w:w="60" w:type="dxa"/>
              <w:end w:w="60" w:type="dxa"/>
            </w:tcMar>
          </w:tcPr>
          <w:p>
            <w:pPr>
              <w:spacing w:after="20"/>
            </w:pPr>
            <w:r>
              <w:rPr>
                <w:sz w:val="13"/>
              </w:rPr>
              <w:t>Clinical Psychology</w:t>
            </w:r>
          </w:p>
        </w:tc>
        <w:tc>
          <w:tcPr>
            <w:tcW w:type="dxa" w:w="3600"/>
            <w:vAlign w:val="top"/>
            <w:tcMar>
              <w:top w:w="60" w:type="dxa"/>
              <w:start w:w="60" w:type="dxa"/>
              <w:bottom w:w="60" w:type="dxa"/>
              <w:end w:w="60" w:type="dxa"/>
            </w:tcMar>
          </w:tcPr>
          <w:p>
            <w:pPr>
              <w:spacing w:after="20"/>
            </w:pPr>
            <w:r>
              <w:rPr>
                <w:sz w:val="13"/>
              </w:rPr>
              <w:t>Assessment; psychotherapy; neuropsychology.</w:t>
            </w:r>
          </w:p>
        </w:tc>
        <w:tc>
          <w:tcPr>
            <w:tcW w:type="dxa" w:w="5400"/>
            <w:vAlign w:val="top"/>
            <w:tcMar>
              <w:top w:w="60" w:type="dxa"/>
              <w:start w:w="60" w:type="dxa"/>
              <w:bottom w:w="60" w:type="dxa"/>
              <w:end w:w="60" w:type="dxa"/>
            </w:tcMar>
          </w:tcPr>
          <w:p>
            <w:pPr>
              <w:spacing w:after="20"/>
            </w:pPr>
            <w:r>
              <w:rPr>
                <w:sz w:val="13"/>
              </w:rPr>
              <w:t>Psychometric instruments; session plans; outcome scales; confidential note segmentation where policy permits.</w:t>
            </w:r>
          </w:p>
        </w:tc>
      </w:tr>
      <w:tr>
        <w:tc>
          <w:tcPr>
            <w:tcW w:type="dxa" w:w="1800"/>
            <w:vAlign w:val="top"/>
            <w:tcMar>
              <w:top w:w="60" w:type="dxa"/>
              <w:start w:w="60" w:type="dxa"/>
              <w:bottom w:w="60" w:type="dxa"/>
              <w:end w:w="60" w:type="dxa"/>
            </w:tcMar>
          </w:tcPr>
          <w:p>
            <w:pPr>
              <w:spacing w:after="20"/>
            </w:pPr>
            <w:r>
              <w:rPr>
                <w:sz w:val="13"/>
              </w:rPr>
              <w:t>Anesthesiology</w:t>
            </w:r>
          </w:p>
        </w:tc>
        <w:tc>
          <w:tcPr>
            <w:tcW w:type="dxa" w:w="3600"/>
            <w:vAlign w:val="top"/>
            <w:tcMar>
              <w:top w:w="60" w:type="dxa"/>
              <w:start w:w="60" w:type="dxa"/>
              <w:bottom w:w="60" w:type="dxa"/>
              <w:end w:w="60" w:type="dxa"/>
            </w:tcMar>
          </w:tcPr>
          <w:p>
            <w:pPr>
              <w:spacing w:after="20"/>
            </w:pPr>
            <w:r>
              <w:rPr>
                <w:sz w:val="13"/>
              </w:rPr>
              <w:t>Pre-anesthesia; intraoperative; pain medicine.</w:t>
            </w:r>
          </w:p>
        </w:tc>
        <w:tc>
          <w:tcPr>
            <w:tcW w:type="dxa" w:w="5400"/>
            <w:vAlign w:val="top"/>
            <w:tcMar>
              <w:top w:w="60" w:type="dxa"/>
              <w:start w:w="60" w:type="dxa"/>
              <w:bottom w:w="60" w:type="dxa"/>
              <w:end w:w="60" w:type="dxa"/>
            </w:tcMar>
          </w:tcPr>
          <w:p>
            <w:pPr>
              <w:spacing w:after="20"/>
            </w:pPr>
            <w:r>
              <w:rPr>
                <w:sz w:val="13"/>
              </w:rPr>
              <w:t>PAC; airway; ASA; anesthesia record; agent/device capture; medications/fluids; recovery score; acute/chronic pain.</w:t>
            </w:r>
          </w:p>
        </w:tc>
      </w:tr>
      <w:tr>
        <w:tc>
          <w:tcPr>
            <w:tcW w:type="dxa" w:w="1800"/>
            <w:vAlign w:val="top"/>
            <w:tcMar>
              <w:top w:w="60" w:type="dxa"/>
              <w:start w:w="60" w:type="dxa"/>
              <w:bottom w:w="60" w:type="dxa"/>
              <w:end w:w="60" w:type="dxa"/>
            </w:tcMar>
          </w:tcPr>
          <w:p>
            <w:pPr>
              <w:spacing w:after="20"/>
            </w:pPr>
            <w:r>
              <w:rPr>
                <w:sz w:val="13"/>
              </w:rPr>
              <w:t>General Surgery</w:t>
            </w:r>
          </w:p>
        </w:tc>
        <w:tc>
          <w:tcPr>
            <w:tcW w:type="dxa" w:w="3600"/>
            <w:vAlign w:val="top"/>
            <w:tcMar>
              <w:top w:w="60" w:type="dxa"/>
              <w:start w:w="60" w:type="dxa"/>
              <w:bottom w:w="60" w:type="dxa"/>
              <w:end w:w="60" w:type="dxa"/>
            </w:tcMar>
          </w:tcPr>
          <w:p>
            <w:pPr>
              <w:spacing w:after="20"/>
            </w:pPr>
            <w:r>
              <w:rPr>
                <w:sz w:val="13"/>
              </w:rPr>
              <w:t>GI; breast; endocrine; hernia; colorectal; minimally invasive.</w:t>
            </w:r>
          </w:p>
        </w:tc>
        <w:tc>
          <w:tcPr>
            <w:tcW w:type="dxa" w:w="5400"/>
            <w:vAlign w:val="top"/>
            <w:tcMar>
              <w:top w:w="60" w:type="dxa"/>
              <w:start w:w="60" w:type="dxa"/>
              <w:bottom w:w="60" w:type="dxa"/>
              <w:end w:w="60" w:type="dxa"/>
            </w:tcMar>
          </w:tcPr>
          <w:p>
            <w:pPr>
              <w:spacing w:after="20"/>
            </w:pPr>
            <w:r>
              <w:rPr>
                <w:sz w:val="13"/>
              </w:rPr>
              <w:t>Surgical assessment; consent; OT; implants; pathology linkage; drain/wound; enhanced recovery pathways.</w:t>
            </w:r>
          </w:p>
        </w:tc>
      </w:tr>
      <w:tr>
        <w:tc>
          <w:tcPr>
            <w:tcW w:type="dxa" w:w="1800"/>
            <w:vAlign w:val="top"/>
            <w:tcMar>
              <w:top w:w="60" w:type="dxa"/>
              <w:start w:w="60" w:type="dxa"/>
              <w:bottom w:w="60" w:type="dxa"/>
              <w:end w:w="60" w:type="dxa"/>
            </w:tcMar>
          </w:tcPr>
          <w:p>
            <w:pPr>
              <w:spacing w:after="20"/>
            </w:pPr>
            <w:r>
              <w:rPr>
                <w:sz w:val="13"/>
              </w:rPr>
              <w:t>Plastic &amp; Reconstructive Surgery</w:t>
            </w:r>
          </w:p>
        </w:tc>
        <w:tc>
          <w:tcPr>
            <w:tcW w:type="dxa" w:w="3600"/>
            <w:vAlign w:val="top"/>
            <w:tcMar>
              <w:top w:w="60" w:type="dxa"/>
              <w:start w:w="60" w:type="dxa"/>
              <w:bottom w:w="60" w:type="dxa"/>
              <w:end w:w="60" w:type="dxa"/>
            </w:tcMar>
          </w:tcPr>
          <w:p>
            <w:pPr>
              <w:spacing w:after="20"/>
            </w:pPr>
            <w:r>
              <w:rPr>
                <w:sz w:val="13"/>
              </w:rPr>
              <w:t>Reconstructive; burns; hand; craniofacial; aesthetic.</w:t>
            </w:r>
          </w:p>
        </w:tc>
        <w:tc>
          <w:tcPr>
            <w:tcW w:type="dxa" w:w="5400"/>
            <w:vAlign w:val="top"/>
            <w:tcMar>
              <w:top w:w="60" w:type="dxa"/>
              <w:start w:w="60" w:type="dxa"/>
              <w:bottom w:w="60" w:type="dxa"/>
              <w:end w:w="60" w:type="dxa"/>
            </w:tcMar>
          </w:tcPr>
          <w:p>
            <w:pPr>
              <w:spacing w:after="20"/>
            </w:pPr>
            <w:r>
              <w:rPr>
                <w:sz w:val="13"/>
              </w:rPr>
              <w:t>Burn charts/TBSA; wound photos; graft/flap monitoring; staged procedures; outcome tracking.</w:t>
            </w:r>
          </w:p>
        </w:tc>
      </w:tr>
      <w:tr>
        <w:tc>
          <w:tcPr>
            <w:tcW w:type="dxa" w:w="1800"/>
            <w:vAlign w:val="top"/>
            <w:tcMar>
              <w:top w:w="60" w:type="dxa"/>
              <w:start w:w="60" w:type="dxa"/>
              <w:bottom w:w="60" w:type="dxa"/>
              <w:end w:w="60" w:type="dxa"/>
            </w:tcMar>
          </w:tcPr>
          <w:p>
            <w:pPr>
              <w:spacing w:after="20"/>
            </w:pPr>
            <w:r>
              <w:rPr>
                <w:sz w:val="13"/>
              </w:rPr>
              <w:t>Burns</w:t>
            </w:r>
          </w:p>
        </w:tc>
        <w:tc>
          <w:tcPr>
            <w:tcW w:type="dxa" w:w="3600"/>
            <w:vAlign w:val="top"/>
            <w:tcMar>
              <w:top w:w="60" w:type="dxa"/>
              <w:start w:w="60" w:type="dxa"/>
              <w:bottom w:w="60" w:type="dxa"/>
              <w:end w:w="60" w:type="dxa"/>
            </w:tcMar>
          </w:tcPr>
          <w:p>
            <w:pPr>
              <w:spacing w:after="20"/>
            </w:pPr>
            <w:r>
              <w:rPr>
                <w:sz w:val="13"/>
              </w:rPr>
              <w:t>Acute burns; reconstructive follow-up.</w:t>
            </w:r>
          </w:p>
        </w:tc>
        <w:tc>
          <w:tcPr>
            <w:tcW w:type="dxa" w:w="5400"/>
            <w:vAlign w:val="top"/>
            <w:tcMar>
              <w:top w:w="60" w:type="dxa"/>
              <w:start w:w="60" w:type="dxa"/>
              <w:bottom w:w="60" w:type="dxa"/>
              <w:end w:w="60" w:type="dxa"/>
            </w:tcMar>
          </w:tcPr>
          <w:p>
            <w:pPr>
              <w:spacing w:after="20"/>
            </w:pPr>
            <w:r>
              <w:rPr>
                <w:sz w:val="13"/>
              </w:rPr>
              <w:t>TBSA; fluid resuscitation; wound maps; infection; grafting; nutrition; rehab.</w:t>
            </w:r>
          </w:p>
        </w:tc>
      </w:tr>
      <w:tr>
        <w:tc>
          <w:tcPr>
            <w:tcW w:type="dxa" w:w="1800"/>
            <w:vAlign w:val="top"/>
            <w:tcMar>
              <w:top w:w="60" w:type="dxa"/>
              <w:start w:w="60" w:type="dxa"/>
              <w:bottom w:w="60" w:type="dxa"/>
              <w:end w:w="60" w:type="dxa"/>
            </w:tcMar>
          </w:tcPr>
          <w:p>
            <w:pPr>
              <w:spacing w:after="20"/>
            </w:pPr>
            <w:r>
              <w:rPr>
                <w:sz w:val="13"/>
              </w:rPr>
              <w:t>Infectious Diseases</w:t>
            </w:r>
          </w:p>
        </w:tc>
        <w:tc>
          <w:tcPr>
            <w:tcW w:type="dxa" w:w="3600"/>
            <w:vAlign w:val="top"/>
            <w:tcMar>
              <w:top w:w="60" w:type="dxa"/>
              <w:start w:w="60" w:type="dxa"/>
              <w:bottom w:w="60" w:type="dxa"/>
              <w:end w:w="60" w:type="dxa"/>
            </w:tcMar>
          </w:tcPr>
          <w:p>
            <w:pPr>
              <w:spacing w:after="20"/>
            </w:pPr>
            <w:r>
              <w:rPr>
                <w:sz w:val="13"/>
              </w:rPr>
              <w:t>Complex infection; antimicrobial stewardship; HIV/TB coordination.</w:t>
            </w:r>
          </w:p>
        </w:tc>
        <w:tc>
          <w:tcPr>
            <w:tcW w:type="dxa" w:w="5400"/>
            <w:vAlign w:val="top"/>
            <w:tcMar>
              <w:top w:w="60" w:type="dxa"/>
              <w:start w:w="60" w:type="dxa"/>
              <w:bottom w:w="60" w:type="dxa"/>
              <w:end w:w="60" w:type="dxa"/>
            </w:tcMar>
          </w:tcPr>
          <w:p>
            <w:pPr>
              <w:spacing w:after="20"/>
            </w:pPr>
            <w:r>
              <w:rPr>
                <w:sz w:val="13"/>
              </w:rPr>
              <w:t>Cultures; antimicrobial plan; stewardship approval; isolation; exposure; public-health reporting configuration.</w:t>
            </w:r>
          </w:p>
        </w:tc>
      </w:tr>
      <w:tr>
        <w:tc>
          <w:tcPr>
            <w:tcW w:type="dxa" w:w="1800"/>
            <w:vAlign w:val="top"/>
            <w:tcMar>
              <w:top w:w="60" w:type="dxa"/>
              <w:start w:w="60" w:type="dxa"/>
              <w:bottom w:w="60" w:type="dxa"/>
              <w:end w:w="60" w:type="dxa"/>
            </w:tcMar>
          </w:tcPr>
          <w:p>
            <w:pPr>
              <w:spacing w:after="20"/>
            </w:pPr>
            <w:r>
              <w:rPr>
                <w:sz w:val="13"/>
              </w:rPr>
              <w:t>Geriatrics</w:t>
            </w:r>
          </w:p>
        </w:tc>
        <w:tc>
          <w:tcPr>
            <w:tcW w:type="dxa" w:w="3600"/>
            <w:vAlign w:val="top"/>
            <w:tcMar>
              <w:top w:w="60" w:type="dxa"/>
              <w:start w:w="60" w:type="dxa"/>
              <w:bottom w:w="60" w:type="dxa"/>
              <w:end w:w="60" w:type="dxa"/>
            </w:tcMar>
          </w:tcPr>
          <w:p>
            <w:pPr>
              <w:spacing w:after="20"/>
            </w:pPr>
            <w:r>
              <w:rPr>
                <w:sz w:val="13"/>
              </w:rPr>
              <w:t>Comprehensive geriatric assessment; frailty; dementia; polypharmacy.</w:t>
            </w:r>
          </w:p>
        </w:tc>
        <w:tc>
          <w:tcPr>
            <w:tcW w:type="dxa" w:w="5400"/>
            <w:vAlign w:val="top"/>
            <w:tcMar>
              <w:top w:w="60" w:type="dxa"/>
              <w:start w:w="60" w:type="dxa"/>
              <w:bottom w:w="60" w:type="dxa"/>
              <w:end w:w="60" w:type="dxa"/>
            </w:tcMar>
          </w:tcPr>
          <w:p>
            <w:pPr>
              <w:spacing w:after="20"/>
            </w:pPr>
            <w:r>
              <w:rPr>
                <w:sz w:val="13"/>
              </w:rPr>
              <w:t>Frailty/falls/cognition; medication review; functional status; caregiver; advanced-care planning.</w:t>
            </w:r>
          </w:p>
        </w:tc>
      </w:tr>
      <w:tr>
        <w:tc>
          <w:tcPr>
            <w:tcW w:type="dxa" w:w="1800"/>
            <w:vAlign w:val="top"/>
            <w:tcMar>
              <w:top w:w="60" w:type="dxa"/>
              <w:start w:w="60" w:type="dxa"/>
              <w:bottom w:w="60" w:type="dxa"/>
              <w:end w:w="60" w:type="dxa"/>
            </w:tcMar>
          </w:tcPr>
          <w:p>
            <w:pPr>
              <w:spacing w:after="20"/>
            </w:pPr>
            <w:r>
              <w:rPr>
                <w:sz w:val="13"/>
              </w:rPr>
              <w:t>Pain &amp; Palliative Care</w:t>
            </w:r>
          </w:p>
        </w:tc>
        <w:tc>
          <w:tcPr>
            <w:tcW w:type="dxa" w:w="3600"/>
            <w:vAlign w:val="top"/>
            <w:tcMar>
              <w:top w:w="60" w:type="dxa"/>
              <w:start w:w="60" w:type="dxa"/>
              <w:bottom w:w="60" w:type="dxa"/>
              <w:end w:w="60" w:type="dxa"/>
            </w:tcMar>
          </w:tcPr>
          <w:p>
            <w:pPr>
              <w:spacing w:after="20"/>
            </w:pPr>
            <w:r>
              <w:rPr>
                <w:sz w:val="13"/>
              </w:rPr>
              <w:t>Acute/chronic pain; palliative medicine; hospice interfaces.</w:t>
            </w:r>
          </w:p>
        </w:tc>
        <w:tc>
          <w:tcPr>
            <w:tcW w:type="dxa" w:w="5400"/>
            <w:vAlign w:val="top"/>
            <w:tcMar>
              <w:top w:w="60" w:type="dxa"/>
              <w:start w:w="60" w:type="dxa"/>
              <w:bottom w:w="60" w:type="dxa"/>
              <w:end w:w="60" w:type="dxa"/>
            </w:tcMar>
          </w:tcPr>
          <w:p>
            <w:pPr>
              <w:spacing w:after="20"/>
            </w:pPr>
            <w:r>
              <w:rPr>
                <w:sz w:val="13"/>
              </w:rPr>
              <w:t>Pain scores; opioid stewardship; symptom burden; goals-of-care; family meetings; home-care plan.</w:t>
            </w:r>
          </w:p>
        </w:tc>
      </w:tr>
      <w:tr>
        <w:tc>
          <w:tcPr>
            <w:tcW w:type="dxa" w:w="1800"/>
            <w:vAlign w:val="top"/>
            <w:tcMar>
              <w:top w:w="60" w:type="dxa"/>
              <w:start w:w="60" w:type="dxa"/>
              <w:bottom w:w="60" w:type="dxa"/>
              <w:end w:w="60" w:type="dxa"/>
            </w:tcMar>
          </w:tcPr>
          <w:p>
            <w:pPr>
              <w:spacing w:after="20"/>
            </w:pPr>
            <w:r>
              <w:rPr>
                <w:sz w:val="13"/>
              </w:rPr>
              <w:t>Transplant Program</w:t>
            </w:r>
          </w:p>
        </w:tc>
        <w:tc>
          <w:tcPr>
            <w:tcW w:type="dxa" w:w="3600"/>
            <w:vAlign w:val="top"/>
            <w:tcMar>
              <w:top w:w="60" w:type="dxa"/>
              <w:start w:w="60" w:type="dxa"/>
              <w:bottom w:w="60" w:type="dxa"/>
              <w:end w:w="60" w:type="dxa"/>
            </w:tcMar>
          </w:tcPr>
          <w:p>
            <w:pPr>
              <w:spacing w:after="20"/>
            </w:pPr>
            <w:r>
              <w:rPr>
                <w:sz w:val="13"/>
              </w:rPr>
              <w:t>Kidney; liver; heart/lung; bone marrow coordination.</w:t>
            </w:r>
          </w:p>
        </w:tc>
        <w:tc>
          <w:tcPr>
            <w:tcW w:type="dxa" w:w="5400"/>
            <w:vAlign w:val="top"/>
            <w:tcMar>
              <w:top w:w="60" w:type="dxa"/>
              <w:start w:w="60" w:type="dxa"/>
              <w:bottom w:w="60" w:type="dxa"/>
              <w:end w:w="60" w:type="dxa"/>
            </w:tcMar>
          </w:tcPr>
          <w:p>
            <w:pPr>
              <w:spacing w:after="20"/>
            </w:pPr>
            <w:r>
              <w:rPr>
                <w:sz w:val="13"/>
              </w:rPr>
              <w:t>Evaluation; donor/recipient; compatibility; committee; waiting list; organ logistics; surgery; immunosuppression; surveillance.</w:t>
            </w:r>
          </w:p>
        </w:tc>
      </w:tr>
      <w:tr>
        <w:tc>
          <w:tcPr>
            <w:tcW w:type="dxa" w:w="1800"/>
            <w:vAlign w:val="top"/>
            <w:tcMar>
              <w:top w:w="60" w:type="dxa"/>
              <w:start w:w="60" w:type="dxa"/>
              <w:bottom w:w="60" w:type="dxa"/>
              <w:end w:w="60" w:type="dxa"/>
            </w:tcMar>
          </w:tcPr>
          <w:p>
            <w:pPr>
              <w:spacing w:after="20"/>
            </w:pPr>
            <w:r>
              <w:rPr>
                <w:sz w:val="13"/>
              </w:rPr>
              <w:t>Clinical Genetics</w:t>
            </w:r>
          </w:p>
        </w:tc>
        <w:tc>
          <w:tcPr>
            <w:tcW w:type="dxa" w:w="3600"/>
            <w:vAlign w:val="top"/>
            <w:tcMar>
              <w:top w:w="60" w:type="dxa"/>
              <w:start w:w="60" w:type="dxa"/>
              <w:bottom w:w="60" w:type="dxa"/>
              <w:end w:w="60" w:type="dxa"/>
            </w:tcMar>
          </w:tcPr>
          <w:p>
            <w:pPr>
              <w:spacing w:after="20"/>
            </w:pPr>
            <w:r>
              <w:rPr>
                <w:sz w:val="13"/>
              </w:rPr>
              <w:t>Genetic counseling; rare disease.</w:t>
            </w:r>
          </w:p>
        </w:tc>
        <w:tc>
          <w:tcPr>
            <w:tcW w:type="dxa" w:w="5400"/>
            <w:vAlign w:val="top"/>
            <w:tcMar>
              <w:top w:w="60" w:type="dxa"/>
              <w:start w:w="60" w:type="dxa"/>
              <w:bottom w:w="60" w:type="dxa"/>
              <w:end w:w="60" w:type="dxa"/>
            </w:tcMar>
          </w:tcPr>
          <w:p>
            <w:pPr>
              <w:spacing w:after="20"/>
            </w:pPr>
            <w:r>
              <w:rPr>
                <w:sz w:val="13"/>
              </w:rPr>
              <w:t>Pedigree; phenotype; consent; genomic test orders; variant report links; family cascade workflow.</w:t>
            </w:r>
          </w:p>
        </w:tc>
      </w:tr>
      <w:tr>
        <w:tc>
          <w:tcPr>
            <w:tcW w:type="dxa" w:w="1800"/>
            <w:vAlign w:val="top"/>
            <w:tcMar>
              <w:top w:w="60" w:type="dxa"/>
              <w:start w:w="60" w:type="dxa"/>
              <w:bottom w:w="60" w:type="dxa"/>
              <w:end w:w="60" w:type="dxa"/>
            </w:tcMar>
          </w:tcPr>
          <w:p>
            <w:pPr>
              <w:spacing w:after="20"/>
            </w:pPr>
            <w:r>
              <w:rPr>
                <w:sz w:val="13"/>
              </w:rPr>
              <w:t>Nutrition &amp; Dietetics</w:t>
            </w:r>
          </w:p>
        </w:tc>
        <w:tc>
          <w:tcPr>
            <w:tcW w:type="dxa" w:w="3600"/>
            <w:vAlign w:val="top"/>
            <w:tcMar>
              <w:top w:w="60" w:type="dxa"/>
              <w:start w:w="60" w:type="dxa"/>
              <w:bottom w:w="60" w:type="dxa"/>
              <w:end w:w="60" w:type="dxa"/>
            </w:tcMar>
          </w:tcPr>
          <w:p>
            <w:pPr>
              <w:spacing w:after="20"/>
            </w:pPr>
            <w:r>
              <w:rPr>
                <w:sz w:val="13"/>
              </w:rPr>
              <w:t>Clinical nutrition; renal; diabetes; oncology; pediatric; ICU.</w:t>
            </w:r>
          </w:p>
        </w:tc>
        <w:tc>
          <w:tcPr>
            <w:tcW w:type="dxa" w:w="5400"/>
            <w:vAlign w:val="top"/>
            <w:tcMar>
              <w:top w:w="60" w:type="dxa"/>
              <w:start w:w="60" w:type="dxa"/>
              <w:bottom w:w="60" w:type="dxa"/>
              <w:end w:w="60" w:type="dxa"/>
            </w:tcMar>
          </w:tcPr>
          <w:p>
            <w:pPr>
              <w:spacing w:after="20"/>
            </w:pPr>
            <w:r>
              <w:rPr>
                <w:sz w:val="13"/>
              </w:rPr>
              <w:t>Nutrition assessment; requirements; diet orders; enteral/parenteral plans; intake; outcomes.</w:t>
            </w:r>
          </w:p>
        </w:tc>
      </w:tr>
      <w:tr>
        <w:tc>
          <w:tcPr>
            <w:tcW w:type="dxa" w:w="1800"/>
            <w:vAlign w:val="top"/>
            <w:tcMar>
              <w:top w:w="60" w:type="dxa"/>
              <w:start w:w="60" w:type="dxa"/>
              <w:bottom w:w="60" w:type="dxa"/>
              <w:end w:w="60" w:type="dxa"/>
            </w:tcMar>
          </w:tcPr>
          <w:p>
            <w:pPr>
              <w:spacing w:after="20"/>
            </w:pPr>
            <w:r>
              <w:rPr>
                <w:sz w:val="13"/>
              </w:rPr>
              <w:t>Physiotherapy / OT / Speech</w:t>
            </w:r>
          </w:p>
        </w:tc>
        <w:tc>
          <w:tcPr>
            <w:tcW w:type="dxa" w:w="3600"/>
            <w:vAlign w:val="top"/>
            <w:tcMar>
              <w:top w:w="60" w:type="dxa"/>
              <w:start w:w="60" w:type="dxa"/>
              <w:bottom w:w="60" w:type="dxa"/>
              <w:end w:w="60" w:type="dxa"/>
            </w:tcMar>
          </w:tcPr>
          <w:p>
            <w:pPr>
              <w:spacing w:after="20"/>
            </w:pPr>
            <w:r>
              <w:rPr>
                <w:sz w:val="13"/>
              </w:rPr>
              <w:t>Inpatient/outpatient allied health.</w:t>
            </w:r>
          </w:p>
        </w:tc>
        <w:tc>
          <w:tcPr>
            <w:tcW w:type="dxa" w:w="5400"/>
            <w:vAlign w:val="top"/>
            <w:tcMar>
              <w:top w:w="60" w:type="dxa"/>
              <w:start w:w="60" w:type="dxa"/>
              <w:bottom w:w="60" w:type="dxa"/>
              <w:end w:w="60" w:type="dxa"/>
            </w:tcMar>
          </w:tcPr>
          <w:p>
            <w:pPr>
              <w:spacing w:after="20"/>
            </w:pPr>
            <w:r>
              <w:rPr>
                <w:sz w:val="13"/>
              </w:rPr>
              <w:t>Assessment; therapy session; goals; devices; home exercise; outcome measures.</w:t>
            </w:r>
          </w:p>
        </w:tc>
      </w:tr>
      <w:tr>
        <w:tc>
          <w:tcPr>
            <w:tcW w:type="dxa" w:w="1800"/>
            <w:vAlign w:val="top"/>
            <w:tcMar>
              <w:top w:w="60" w:type="dxa"/>
              <w:start w:w="60" w:type="dxa"/>
              <w:bottom w:w="60" w:type="dxa"/>
              <w:end w:w="60" w:type="dxa"/>
            </w:tcMar>
          </w:tcPr>
          <w:p>
            <w:pPr>
              <w:spacing w:after="20"/>
            </w:pPr>
            <w:r>
              <w:rPr>
                <w:sz w:val="13"/>
              </w:rPr>
              <w:t>Occupational Health</w:t>
            </w:r>
          </w:p>
        </w:tc>
        <w:tc>
          <w:tcPr>
            <w:tcW w:type="dxa" w:w="3600"/>
            <w:vAlign w:val="top"/>
            <w:tcMar>
              <w:top w:w="60" w:type="dxa"/>
              <w:start w:w="60" w:type="dxa"/>
              <w:bottom w:w="60" w:type="dxa"/>
              <w:end w:w="60" w:type="dxa"/>
            </w:tcMar>
          </w:tcPr>
          <w:p>
            <w:pPr>
              <w:spacing w:after="20"/>
            </w:pPr>
            <w:r>
              <w:rPr>
                <w:sz w:val="13"/>
              </w:rPr>
              <w:t>Pre-employment; periodic exams; workplace injury.</w:t>
            </w:r>
          </w:p>
        </w:tc>
        <w:tc>
          <w:tcPr>
            <w:tcW w:type="dxa" w:w="5400"/>
            <w:vAlign w:val="top"/>
            <w:tcMar>
              <w:top w:w="60" w:type="dxa"/>
              <w:start w:w="60" w:type="dxa"/>
              <w:bottom w:w="60" w:type="dxa"/>
              <w:end w:w="60" w:type="dxa"/>
            </w:tcMar>
          </w:tcPr>
          <w:p>
            <w:pPr>
              <w:spacing w:after="20"/>
            </w:pPr>
            <w:r>
              <w:rPr>
                <w:sz w:val="13"/>
              </w:rPr>
              <w:t>Employee health record; exposure; fitness; vaccination; surveillance; statutory reports.</w:t>
            </w:r>
          </w:p>
        </w:tc>
      </w:tr>
      <w:tr>
        <w:tc>
          <w:tcPr>
            <w:tcW w:type="dxa" w:w="1800"/>
            <w:vAlign w:val="top"/>
            <w:tcMar>
              <w:top w:w="60" w:type="dxa"/>
              <w:start w:w="60" w:type="dxa"/>
              <w:bottom w:w="60" w:type="dxa"/>
              <w:end w:w="60" w:type="dxa"/>
            </w:tcMar>
          </w:tcPr>
          <w:p>
            <w:pPr>
              <w:spacing w:after="20"/>
            </w:pPr>
            <w:r>
              <w:rPr>
                <w:sz w:val="13"/>
              </w:rPr>
              <w:t>Telemedicine</w:t>
            </w:r>
          </w:p>
        </w:tc>
        <w:tc>
          <w:tcPr>
            <w:tcW w:type="dxa" w:w="3600"/>
            <w:vAlign w:val="top"/>
            <w:tcMar>
              <w:top w:w="60" w:type="dxa"/>
              <w:start w:w="60" w:type="dxa"/>
              <w:bottom w:w="60" w:type="dxa"/>
              <w:end w:w="60" w:type="dxa"/>
            </w:tcMar>
          </w:tcPr>
          <w:p>
            <w:pPr>
              <w:spacing w:after="20"/>
            </w:pPr>
            <w:r>
              <w:rPr>
                <w:sz w:val="13"/>
              </w:rPr>
              <w:t>Cross-specialty virtual care.</w:t>
            </w:r>
          </w:p>
        </w:tc>
        <w:tc>
          <w:tcPr>
            <w:tcW w:type="dxa" w:w="5400"/>
            <w:vAlign w:val="top"/>
            <w:tcMar>
              <w:top w:w="60" w:type="dxa"/>
              <w:start w:w="60" w:type="dxa"/>
              <w:bottom w:w="60" w:type="dxa"/>
              <w:end w:w="60" w:type="dxa"/>
            </w:tcMar>
          </w:tcPr>
          <w:p>
            <w:pPr>
              <w:spacing w:after="20"/>
            </w:pPr>
            <w:r>
              <w:rPr>
                <w:sz w:val="13"/>
              </w:rPr>
              <w:t>Consent; identity; virtual waiting room; documentation; e-prescription; remote monitoring; escalation.</w:t>
            </w:r>
          </w:p>
        </w:tc>
      </w:tr>
    </w:tbl>
    <w:p>
      <w:pPr>
        <w:spacing w:after="20"/>
      </w:pPr>
    </w:p>
    <w:p>
      <w:pPr>
        <w:pStyle w:val="Heading2"/>
      </w:pPr>
      <w:r>
        <w:t>5.3 Specialty Configuration Framework</w:t>
      </w:r>
    </w:p>
    <w:p>
      <w:pPr>
        <w:pStyle w:val="ListBullet"/>
        <w:spacing w:after="30"/>
      </w:pPr>
      <w:r>
        <w:t>FHIR-aligned canonical clinical objects remain common; specialty-specific extensions are mapped through governed profiles/configuration rather than incompatible patient databases.</w:t>
      </w:r>
    </w:p>
    <w:p>
      <w:pPr>
        <w:pStyle w:val="ListBullet"/>
        <w:spacing w:after="30"/>
      </w:pPr>
      <w:r>
        <w:t>Form builder supports structured fields, calculations, conditional sections, repeating groups, body maps, images, signatures, mandatory/optional rules and effective-date versioning.</w:t>
      </w:r>
    </w:p>
    <w:p>
      <w:pPr>
        <w:pStyle w:val="ListBullet"/>
        <w:spacing w:after="30"/>
      </w:pPr>
      <w:r>
        <w:t>Order-set/pathway builder supports diagnoses, clinical conditions, time offsets, repeat schedules, approval requirements and safe defaults.</w:t>
      </w:r>
    </w:p>
    <w:p>
      <w:pPr>
        <w:pStyle w:val="ListBullet"/>
        <w:spacing w:after="30"/>
      </w:pPr>
      <w:r>
        <w:t>Calculator framework records input values, formula/version, output, units, interpretation, override and provenance.</w:t>
      </w:r>
    </w:p>
    <w:p>
      <w:pPr>
        <w:pStyle w:val="ListBullet"/>
        <w:spacing w:after="30"/>
      </w:pPr>
      <w:r>
        <w:t>Registry framework supports cohort definitions, staging, treatment episodes, longitudinal outcomes and reporting.</w:t>
      </w:r>
    </w:p>
    <w:p>
      <w:pPr>
        <w:pStyle w:val="ListBullet"/>
        <w:spacing w:after="30"/>
      </w:pPr>
      <w:r>
        <w:t>Device adapter framework ingests bedside, diagnostic and specialty-device measurements while retaining source device, timestamp, units, calibration/status and quality flags.</w:t>
      </w:r>
    </w:p>
    <w:p>
      <w:pPr>
        <w:pStyle w:val="Heading1"/>
      </w:pPr>
      <w:r>
        <w:t>6. Patient Administration, Scheduling and Revenue Cycle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AF7"/>
            <w:vAlign w:val="center"/>
            <w:tcMar>
              <w:top w:w="60" w:type="dxa"/>
              <w:start w:w="60" w:type="dxa"/>
              <w:bottom w:w="60" w:type="dxa"/>
              <w:end w:w="60" w:type="dxa"/>
            </w:tcMar>
          </w:tcPr>
          <w:p>
            <w:r>
              <w:rPr>
                <w:b/>
                <w:sz w:val="14"/>
              </w:rPr>
              <w:t>ID</w:t>
            </w:r>
          </w:p>
        </w:tc>
        <w:tc>
          <w:tcPr>
            <w:tcW w:type="dxa" w:w="9360"/>
            <w:shd w:fill="D9EAF7"/>
            <w:vAlign w:val="center"/>
            <w:tcMar>
              <w:top w:w="60" w:type="dxa"/>
              <w:start w:w="60" w:type="dxa"/>
              <w:bottom w:w="60" w:type="dxa"/>
              <w:end w:w="60" w:type="dxa"/>
            </w:tcMar>
          </w:tcPr>
          <w:p>
            <w:r>
              <w:rPr>
                <w:b/>
                <w:sz w:val="14"/>
              </w:rPr>
              <w:t>Requirement</w:t>
            </w:r>
          </w:p>
        </w:tc>
      </w:tr>
      <w:tr>
        <w:tc>
          <w:tcPr>
            <w:tcW w:type="dxa" w:w="1440"/>
            <w:vAlign w:val="top"/>
            <w:tcMar>
              <w:top w:w="60" w:type="dxa"/>
              <w:start w:w="60" w:type="dxa"/>
              <w:bottom w:w="60" w:type="dxa"/>
              <w:end w:w="60" w:type="dxa"/>
            </w:tcMar>
          </w:tcPr>
          <w:p>
            <w:pPr>
              <w:spacing w:after="20"/>
            </w:pPr>
            <w:r>
              <w:rPr>
                <w:sz w:val="14"/>
              </w:rPr>
              <w:t>PAS-001</w:t>
            </w:r>
          </w:p>
        </w:tc>
        <w:tc>
          <w:tcPr>
            <w:tcW w:type="dxa" w:w="9360"/>
            <w:vAlign w:val="top"/>
            <w:tcMar>
              <w:top w:w="60" w:type="dxa"/>
              <w:start w:w="60" w:type="dxa"/>
              <w:bottom w:w="60" w:type="dxa"/>
              <w:end w:w="60" w:type="dxa"/>
            </w:tcMar>
          </w:tcPr>
          <w:p>
            <w:pPr>
              <w:spacing w:after="20"/>
            </w:pPr>
            <w:r>
              <w:rPr>
                <w:sz w:val="14"/>
              </w:rPr>
              <w:t>Enterprise patient registration, MRN, identity verification, demographic history and duplicate merge/unmerge.</w:t>
            </w:r>
          </w:p>
        </w:tc>
      </w:tr>
      <w:tr>
        <w:tc>
          <w:tcPr>
            <w:tcW w:type="dxa" w:w="1440"/>
            <w:vAlign w:val="top"/>
            <w:tcMar>
              <w:top w:w="60" w:type="dxa"/>
              <w:start w:w="60" w:type="dxa"/>
              <w:bottom w:w="60" w:type="dxa"/>
              <w:end w:w="60" w:type="dxa"/>
            </w:tcMar>
          </w:tcPr>
          <w:p>
            <w:pPr>
              <w:spacing w:after="20"/>
            </w:pPr>
            <w:r>
              <w:rPr>
                <w:sz w:val="14"/>
              </w:rPr>
              <w:t>PAS-002</w:t>
            </w:r>
          </w:p>
        </w:tc>
        <w:tc>
          <w:tcPr>
            <w:tcW w:type="dxa" w:w="9360"/>
            <w:vAlign w:val="top"/>
            <w:tcMar>
              <w:top w:w="60" w:type="dxa"/>
              <w:start w:w="60" w:type="dxa"/>
              <w:bottom w:w="60" w:type="dxa"/>
              <w:end w:w="60" w:type="dxa"/>
            </w:tcMar>
          </w:tcPr>
          <w:p>
            <w:pPr>
              <w:spacing w:after="20"/>
            </w:pPr>
            <w:r>
              <w:rPr>
                <w:sz w:val="14"/>
              </w:rPr>
              <w:t>Appointment book by facility, specialty, provider, resource/equipment and visit type; recurrence and wait-list.</w:t>
            </w:r>
          </w:p>
        </w:tc>
      </w:tr>
      <w:tr>
        <w:tc>
          <w:tcPr>
            <w:tcW w:type="dxa" w:w="1440"/>
            <w:vAlign w:val="top"/>
            <w:tcMar>
              <w:top w:w="60" w:type="dxa"/>
              <w:start w:w="60" w:type="dxa"/>
              <w:bottom w:w="60" w:type="dxa"/>
              <w:end w:w="60" w:type="dxa"/>
            </w:tcMar>
          </w:tcPr>
          <w:p>
            <w:pPr>
              <w:spacing w:after="20"/>
            </w:pPr>
            <w:r>
              <w:rPr>
                <w:sz w:val="14"/>
              </w:rPr>
              <w:t>PAS-003</w:t>
            </w:r>
          </w:p>
        </w:tc>
        <w:tc>
          <w:tcPr>
            <w:tcW w:type="dxa" w:w="9360"/>
            <w:vAlign w:val="top"/>
            <w:tcMar>
              <w:top w:w="60" w:type="dxa"/>
              <w:start w:w="60" w:type="dxa"/>
              <w:bottom w:w="60" w:type="dxa"/>
              <w:end w:w="60" w:type="dxa"/>
            </w:tcMar>
          </w:tcPr>
          <w:p>
            <w:pPr>
              <w:spacing w:after="20"/>
            </w:pPr>
            <w:r>
              <w:rPr>
                <w:sz w:val="14"/>
              </w:rPr>
              <w:t>Digital check-in, token/queue, kiosk, QR arrival, virtual queue and estimated waiting time.</w:t>
            </w:r>
          </w:p>
        </w:tc>
      </w:tr>
      <w:tr>
        <w:tc>
          <w:tcPr>
            <w:tcW w:type="dxa" w:w="1440"/>
            <w:vAlign w:val="top"/>
            <w:tcMar>
              <w:top w:w="60" w:type="dxa"/>
              <w:start w:w="60" w:type="dxa"/>
              <w:bottom w:w="60" w:type="dxa"/>
              <w:end w:w="60" w:type="dxa"/>
            </w:tcMar>
          </w:tcPr>
          <w:p>
            <w:pPr>
              <w:spacing w:after="20"/>
            </w:pPr>
            <w:r>
              <w:rPr>
                <w:sz w:val="14"/>
              </w:rPr>
              <w:t>PAS-004</w:t>
            </w:r>
          </w:p>
        </w:tc>
        <w:tc>
          <w:tcPr>
            <w:tcW w:type="dxa" w:w="9360"/>
            <w:vAlign w:val="top"/>
            <w:tcMar>
              <w:top w:w="60" w:type="dxa"/>
              <w:start w:w="60" w:type="dxa"/>
              <w:bottom w:w="60" w:type="dxa"/>
              <w:end w:w="60" w:type="dxa"/>
            </w:tcMar>
          </w:tcPr>
          <w:p>
            <w:pPr>
              <w:spacing w:after="20"/>
            </w:pPr>
            <w:r>
              <w:rPr>
                <w:sz w:val="14"/>
              </w:rPr>
              <w:t>Referral management from internal/external providers, referral reason, attachments, triage and closed-loop response.</w:t>
            </w:r>
          </w:p>
        </w:tc>
      </w:tr>
      <w:tr>
        <w:tc>
          <w:tcPr>
            <w:tcW w:type="dxa" w:w="1440"/>
            <w:vAlign w:val="top"/>
            <w:tcMar>
              <w:top w:w="60" w:type="dxa"/>
              <w:start w:w="60" w:type="dxa"/>
              <w:bottom w:w="60" w:type="dxa"/>
              <w:end w:w="60" w:type="dxa"/>
            </w:tcMar>
          </w:tcPr>
          <w:p>
            <w:pPr>
              <w:spacing w:after="20"/>
            </w:pPr>
            <w:r>
              <w:rPr>
                <w:sz w:val="14"/>
              </w:rPr>
              <w:t>PAS-005</w:t>
            </w:r>
          </w:p>
        </w:tc>
        <w:tc>
          <w:tcPr>
            <w:tcW w:type="dxa" w:w="9360"/>
            <w:vAlign w:val="top"/>
            <w:tcMar>
              <w:top w:w="60" w:type="dxa"/>
              <w:start w:w="60" w:type="dxa"/>
              <w:bottom w:w="60" w:type="dxa"/>
              <w:end w:w="60" w:type="dxa"/>
            </w:tcMar>
          </w:tcPr>
          <w:p>
            <w:pPr>
              <w:spacing w:after="20"/>
            </w:pPr>
            <w:r>
              <w:rPr>
                <w:sz w:val="14"/>
              </w:rPr>
              <w:t>Admission, bed allocation, transfer, discharge, leave, bed cleaning/turnaround and virtual bed board.</w:t>
            </w:r>
          </w:p>
        </w:tc>
      </w:tr>
      <w:tr>
        <w:tc>
          <w:tcPr>
            <w:tcW w:type="dxa" w:w="1440"/>
            <w:vAlign w:val="top"/>
            <w:tcMar>
              <w:top w:w="60" w:type="dxa"/>
              <w:start w:w="60" w:type="dxa"/>
              <w:bottom w:w="60" w:type="dxa"/>
              <w:end w:w="60" w:type="dxa"/>
            </w:tcMar>
          </w:tcPr>
          <w:p>
            <w:pPr>
              <w:spacing w:after="20"/>
            </w:pPr>
            <w:r>
              <w:rPr>
                <w:sz w:val="14"/>
              </w:rPr>
              <w:t>PAS-006</w:t>
            </w:r>
          </w:p>
        </w:tc>
        <w:tc>
          <w:tcPr>
            <w:tcW w:type="dxa" w:w="9360"/>
            <w:vAlign w:val="top"/>
            <w:tcMar>
              <w:top w:w="60" w:type="dxa"/>
              <w:start w:w="60" w:type="dxa"/>
              <w:bottom w:w="60" w:type="dxa"/>
              <w:end w:w="60" w:type="dxa"/>
            </w:tcMar>
          </w:tcPr>
          <w:p>
            <w:pPr>
              <w:spacing w:after="20"/>
            </w:pPr>
            <w:r>
              <w:rPr>
                <w:sz w:val="14"/>
              </w:rPr>
              <w:t>Package/estimate, deposit, charge capture, interim/final billing, concessions, credit/authorization and refunds.</w:t>
            </w:r>
          </w:p>
        </w:tc>
      </w:tr>
      <w:tr>
        <w:tc>
          <w:tcPr>
            <w:tcW w:type="dxa" w:w="1440"/>
            <w:vAlign w:val="top"/>
            <w:tcMar>
              <w:top w:w="60" w:type="dxa"/>
              <w:start w:w="60" w:type="dxa"/>
              <w:bottom w:w="60" w:type="dxa"/>
              <w:end w:w="60" w:type="dxa"/>
            </w:tcMar>
          </w:tcPr>
          <w:p>
            <w:pPr>
              <w:spacing w:after="20"/>
            </w:pPr>
            <w:r>
              <w:rPr>
                <w:sz w:val="14"/>
              </w:rPr>
              <w:t>PAS-007</w:t>
            </w:r>
          </w:p>
        </w:tc>
        <w:tc>
          <w:tcPr>
            <w:tcW w:type="dxa" w:w="9360"/>
            <w:vAlign w:val="top"/>
            <w:tcMar>
              <w:top w:w="60" w:type="dxa"/>
              <w:start w:w="60" w:type="dxa"/>
              <w:bottom w:w="60" w:type="dxa"/>
              <w:end w:w="60" w:type="dxa"/>
            </w:tcMar>
          </w:tcPr>
          <w:p>
            <w:pPr>
              <w:spacing w:after="20"/>
            </w:pPr>
            <w:r>
              <w:rPr>
                <w:sz w:val="14"/>
              </w:rPr>
              <w:t>Contract/tariff engine by payer, corporate, plan, specialty, facility and effective date.</w:t>
            </w:r>
          </w:p>
        </w:tc>
      </w:tr>
      <w:tr>
        <w:tc>
          <w:tcPr>
            <w:tcW w:type="dxa" w:w="1440"/>
            <w:vAlign w:val="top"/>
            <w:tcMar>
              <w:top w:w="60" w:type="dxa"/>
              <w:start w:w="60" w:type="dxa"/>
              <w:bottom w:w="60" w:type="dxa"/>
              <w:end w:w="60" w:type="dxa"/>
            </w:tcMar>
          </w:tcPr>
          <w:p>
            <w:pPr>
              <w:spacing w:after="20"/>
            </w:pPr>
            <w:r>
              <w:rPr>
                <w:sz w:val="14"/>
              </w:rPr>
              <w:t>PAS-008</w:t>
            </w:r>
          </w:p>
        </w:tc>
        <w:tc>
          <w:tcPr>
            <w:tcW w:type="dxa" w:w="9360"/>
            <w:vAlign w:val="top"/>
            <w:tcMar>
              <w:top w:w="60" w:type="dxa"/>
              <w:start w:w="60" w:type="dxa"/>
              <w:bottom w:w="60" w:type="dxa"/>
              <w:end w:w="60" w:type="dxa"/>
            </w:tcMar>
          </w:tcPr>
          <w:p>
            <w:pPr>
              <w:spacing w:after="20"/>
            </w:pPr>
            <w:r>
              <w:rPr>
                <w:sz w:val="14"/>
              </w:rPr>
              <w:t>Revenue leakage controls: unbilled orders, undocumented consumables, cancelled-but-performed services, missing implants and discharge reconciliation.</w:t>
            </w:r>
          </w:p>
        </w:tc>
      </w:tr>
      <w:tr>
        <w:tc>
          <w:tcPr>
            <w:tcW w:type="dxa" w:w="1440"/>
            <w:vAlign w:val="top"/>
            <w:tcMar>
              <w:top w:w="60" w:type="dxa"/>
              <w:start w:w="60" w:type="dxa"/>
              <w:bottom w:w="60" w:type="dxa"/>
              <w:end w:w="60" w:type="dxa"/>
            </w:tcMar>
          </w:tcPr>
          <w:p>
            <w:pPr>
              <w:spacing w:after="20"/>
            </w:pPr>
            <w:r>
              <w:rPr>
                <w:sz w:val="14"/>
              </w:rPr>
              <w:t>PAS-009</w:t>
            </w:r>
          </w:p>
        </w:tc>
        <w:tc>
          <w:tcPr>
            <w:tcW w:type="dxa" w:w="9360"/>
            <w:vAlign w:val="top"/>
            <w:tcMar>
              <w:top w:w="60" w:type="dxa"/>
              <w:start w:w="60" w:type="dxa"/>
              <w:bottom w:w="60" w:type="dxa"/>
              <w:end w:w="60" w:type="dxa"/>
            </w:tcMar>
          </w:tcPr>
          <w:p>
            <w:pPr>
              <w:spacing w:after="20"/>
            </w:pPr>
            <w:r>
              <w:rPr>
                <w:sz w:val="14"/>
              </w:rPr>
              <w:t>Cash/card/UPI/payment-gateway/credit settlement interfaces; receipts and reconciliation.</w:t>
            </w:r>
          </w:p>
        </w:tc>
      </w:tr>
      <w:tr>
        <w:tc>
          <w:tcPr>
            <w:tcW w:type="dxa" w:w="1440"/>
            <w:vAlign w:val="top"/>
            <w:tcMar>
              <w:top w:w="60" w:type="dxa"/>
              <w:start w:w="60" w:type="dxa"/>
              <w:bottom w:w="60" w:type="dxa"/>
              <w:end w:w="60" w:type="dxa"/>
            </w:tcMar>
          </w:tcPr>
          <w:p>
            <w:pPr>
              <w:spacing w:after="20"/>
            </w:pPr>
            <w:r>
              <w:rPr>
                <w:sz w:val="14"/>
              </w:rPr>
              <w:t>PAS-010</w:t>
            </w:r>
          </w:p>
        </w:tc>
        <w:tc>
          <w:tcPr>
            <w:tcW w:type="dxa" w:w="9360"/>
            <w:vAlign w:val="top"/>
            <w:tcMar>
              <w:top w:w="60" w:type="dxa"/>
              <w:start w:w="60" w:type="dxa"/>
              <w:bottom w:w="60" w:type="dxa"/>
              <w:end w:w="60" w:type="dxa"/>
            </w:tcMar>
          </w:tcPr>
          <w:p>
            <w:pPr>
              <w:spacing w:after="20"/>
            </w:pPr>
            <w:r>
              <w:rPr>
                <w:sz w:val="14"/>
              </w:rPr>
              <w:t>Collections, AR aging, payer/corporate receivables, patient balance, write-off and recovery workflows.</w:t>
            </w:r>
          </w:p>
        </w:tc>
      </w:tr>
    </w:tbl>
    <w:p>
      <w:pPr>
        <w:spacing w:after="20"/>
      </w:pPr>
    </w:p>
    <w:p>
      <w:pPr>
        <w:pStyle w:val="Heading1"/>
      </w:pPr>
      <w:r>
        <w:t>7. OPD, IPD, Nursing, Emergency, ICU and OT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AF7"/>
            <w:vAlign w:val="center"/>
            <w:tcMar>
              <w:top w:w="60" w:type="dxa"/>
              <w:start w:w="60" w:type="dxa"/>
              <w:bottom w:w="60" w:type="dxa"/>
              <w:end w:w="60" w:type="dxa"/>
            </w:tcMar>
          </w:tcPr>
          <w:p>
            <w:r>
              <w:rPr>
                <w:b/>
                <w:sz w:val="14"/>
              </w:rPr>
              <w:t>ID</w:t>
            </w:r>
          </w:p>
        </w:tc>
        <w:tc>
          <w:tcPr>
            <w:tcW w:type="dxa" w:w="9360"/>
            <w:shd w:fill="D9EAF7"/>
            <w:vAlign w:val="center"/>
            <w:tcMar>
              <w:top w:w="60" w:type="dxa"/>
              <w:start w:w="60" w:type="dxa"/>
              <w:bottom w:w="60" w:type="dxa"/>
              <w:end w:w="60" w:type="dxa"/>
            </w:tcMar>
          </w:tcPr>
          <w:p>
            <w:r>
              <w:rPr>
                <w:b/>
                <w:sz w:val="14"/>
              </w:rPr>
              <w:t>Requirement</w:t>
            </w:r>
          </w:p>
        </w:tc>
      </w:tr>
      <w:tr>
        <w:tc>
          <w:tcPr>
            <w:tcW w:type="dxa" w:w="1440"/>
            <w:vAlign w:val="top"/>
            <w:tcMar>
              <w:top w:w="60" w:type="dxa"/>
              <w:start w:w="60" w:type="dxa"/>
              <w:bottom w:w="60" w:type="dxa"/>
              <w:end w:w="60" w:type="dxa"/>
            </w:tcMar>
          </w:tcPr>
          <w:p>
            <w:pPr>
              <w:spacing w:after="20"/>
            </w:pPr>
            <w:r>
              <w:rPr>
                <w:sz w:val="14"/>
              </w:rPr>
              <w:t>OPS-001</w:t>
            </w:r>
          </w:p>
        </w:tc>
        <w:tc>
          <w:tcPr>
            <w:tcW w:type="dxa" w:w="9360"/>
            <w:vAlign w:val="top"/>
            <w:tcMar>
              <w:top w:w="60" w:type="dxa"/>
              <w:start w:w="60" w:type="dxa"/>
              <w:bottom w:w="60" w:type="dxa"/>
              <w:end w:w="60" w:type="dxa"/>
            </w:tcMar>
          </w:tcPr>
          <w:p>
            <w:pPr>
              <w:spacing w:after="20"/>
            </w:pPr>
            <w:r>
              <w:rPr>
                <w:sz w:val="14"/>
              </w:rPr>
              <w:t>OPD encounter lifecycle with queue, triage, consultation, orders, follow-up and referral.</w:t>
            </w:r>
          </w:p>
        </w:tc>
      </w:tr>
      <w:tr>
        <w:tc>
          <w:tcPr>
            <w:tcW w:type="dxa" w:w="1440"/>
            <w:vAlign w:val="top"/>
            <w:tcMar>
              <w:top w:w="60" w:type="dxa"/>
              <w:start w:w="60" w:type="dxa"/>
              <w:bottom w:w="60" w:type="dxa"/>
              <w:end w:w="60" w:type="dxa"/>
            </w:tcMar>
          </w:tcPr>
          <w:p>
            <w:pPr>
              <w:spacing w:after="20"/>
            </w:pPr>
            <w:r>
              <w:rPr>
                <w:sz w:val="14"/>
              </w:rPr>
              <w:t>OPS-002</w:t>
            </w:r>
          </w:p>
        </w:tc>
        <w:tc>
          <w:tcPr>
            <w:tcW w:type="dxa" w:w="9360"/>
            <w:vAlign w:val="top"/>
            <w:tcMar>
              <w:top w:w="60" w:type="dxa"/>
              <w:start w:w="60" w:type="dxa"/>
              <w:bottom w:w="60" w:type="dxa"/>
              <w:end w:w="60" w:type="dxa"/>
            </w:tcMar>
          </w:tcPr>
          <w:p>
            <w:pPr>
              <w:spacing w:after="20"/>
            </w:pPr>
            <w:r>
              <w:rPr>
                <w:sz w:val="14"/>
              </w:rPr>
              <w:t>IPD admission assessment, daily progress, multidisciplinary rounding, transfer and discharge readiness.</w:t>
            </w:r>
          </w:p>
        </w:tc>
      </w:tr>
      <w:tr>
        <w:tc>
          <w:tcPr>
            <w:tcW w:type="dxa" w:w="1440"/>
            <w:vAlign w:val="top"/>
            <w:tcMar>
              <w:top w:w="60" w:type="dxa"/>
              <w:start w:w="60" w:type="dxa"/>
              <w:bottom w:w="60" w:type="dxa"/>
              <w:end w:w="60" w:type="dxa"/>
            </w:tcMar>
          </w:tcPr>
          <w:p>
            <w:pPr>
              <w:spacing w:after="20"/>
            </w:pPr>
            <w:r>
              <w:rPr>
                <w:sz w:val="14"/>
              </w:rPr>
              <w:t>OPS-003</w:t>
            </w:r>
          </w:p>
        </w:tc>
        <w:tc>
          <w:tcPr>
            <w:tcW w:type="dxa" w:w="9360"/>
            <w:vAlign w:val="top"/>
            <w:tcMar>
              <w:top w:w="60" w:type="dxa"/>
              <w:start w:w="60" w:type="dxa"/>
              <w:bottom w:w="60" w:type="dxa"/>
              <w:end w:w="60" w:type="dxa"/>
            </w:tcMar>
          </w:tcPr>
          <w:p>
            <w:pPr>
              <w:spacing w:after="20"/>
            </w:pPr>
            <w:r>
              <w:rPr>
                <w:sz w:val="14"/>
              </w:rPr>
              <w:t>Nursing care plans, MAR/eMAR, vitals/flowsheets, intake-output, pressure injury/fall assessments, handover and task lists.</w:t>
            </w:r>
          </w:p>
        </w:tc>
      </w:tr>
      <w:tr>
        <w:tc>
          <w:tcPr>
            <w:tcW w:type="dxa" w:w="1440"/>
            <w:vAlign w:val="top"/>
            <w:tcMar>
              <w:top w:w="60" w:type="dxa"/>
              <w:start w:w="60" w:type="dxa"/>
              <w:bottom w:w="60" w:type="dxa"/>
              <w:end w:w="60" w:type="dxa"/>
            </w:tcMar>
          </w:tcPr>
          <w:p>
            <w:pPr>
              <w:spacing w:after="20"/>
            </w:pPr>
            <w:r>
              <w:rPr>
                <w:sz w:val="14"/>
              </w:rPr>
              <w:t>OPS-004</w:t>
            </w:r>
          </w:p>
        </w:tc>
        <w:tc>
          <w:tcPr>
            <w:tcW w:type="dxa" w:w="9360"/>
            <w:vAlign w:val="top"/>
            <w:tcMar>
              <w:top w:w="60" w:type="dxa"/>
              <w:start w:w="60" w:type="dxa"/>
              <w:bottom w:w="60" w:type="dxa"/>
              <w:end w:w="60" w:type="dxa"/>
            </w:tcMar>
          </w:tcPr>
          <w:p>
            <w:pPr>
              <w:spacing w:after="20"/>
            </w:pPr>
            <w:r>
              <w:rPr>
                <w:sz w:val="14"/>
              </w:rPr>
              <w:t>Barcode/positive patient identification for specimen, medication and blood workflows.</w:t>
            </w:r>
          </w:p>
        </w:tc>
      </w:tr>
      <w:tr>
        <w:tc>
          <w:tcPr>
            <w:tcW w:type="dxa" w:w="1440"/>
            <w:vAlign w:val="top"/>
            <w:tcMar>
              <w:top w:w="60" w:type="dxa"/>
              <w:start w:w="60" w:type="dxa"/>
              <w:bottom w:w="60" w:type="dxa"/>
              <w:end w:w="60" w:type="dxa"/>
            </w:tcMar>
          </w:tcPr>
          <w:p>
            <w:pPr>
              <w:spacing w:after="20"/>
            </w:pPr>
            <w:r>
              <w:rPr>
                <w:sz w:val="14"/>
              </w:rPr>
              <w:t>OPS-005</w:t>
            </w:r>
          </w:p>
        </w:tc>
        <w:tc>
          <w:tcPr>
            <w:tcW w:type="dxa" w:w="9360"/>
            <w:vAlign w:val="top"/>
            <w:tcMar>
              <w:top w:w="60" w:type="dxa"/>
              <w:start w:w="60" w:type="dxa"/>
              <w:bottom w:w="60" w:type="dxa"/>
              <w:end w:w="60" w:type="dxa"/>
            </w:tcMar>
          </w:tcPr>
          <w:p>
            <w:pPr>
              <w:spacing w:after="20"/>
            </w:pPr>
            <w:r>
              <w:rPr>
                <w:sz w:val="14"/>
              </w:rPr>
              <w:t>ICU flowsheet with high-frequency observations, ventilator/device parameters, infusions, lines/tubes/drains and organ-support timeline.</w:t>
            </w:r>
          </w:p>
        </w:tc>
      </w:tr>
      <w:tr>
        <w:tc>
          <w:tcPr>
            <w:tcW w:type="dxa" w:w="1440"/>
            <w:vAlign w:val="top"/>
            <w:tcMar>
              <w:top w:w="60" w:type="dxa"/>
              <w:start w:w="60" w:type="dxa"/>
              <w:bottom w:w="60" w:type="dxa"/>
              <w:end w:w="60" w:type="dxa"/>
            </w:tcMar>
          </w:tcPr>
          <w:p>
            <w:pPr>
              <w:spacing w:after="20"/>
            </w:pPr>
            <w:r>
              <w:rPr>
                <w:sz w:val="14"/>
              </w:rPr>
              <w:t>OPS-006</w:t>
            </w:r>
          </w:p>
        </w:tc>
        <w:tc>
          <w:tcPr>
            <w:tcW w:type="dxa" w:w="9360"/>
            <w:vAlign w:val="top"/>
            <w:tcMar>
              <w:top w:w="60" w:type="dxa"/>
              <w:start w:w="60" w:type="dxa"/>
              <w:bottom w:w="60" w:type="dxa"/>
              <w:end w:w="60" w:type="dxa"/>
            </w:tcMar>
          </w:tcPr>
          <w:p>
            <w:pPr>
              <w:spacing w:after="20"/>
            </w:pPr>
            <w:r>
              <w:rPr>
                <w:sz w:val="14"/>
              </w:rPr>
              <w:t>Emergency triage, resuscitation chart, trauma workflow, time-critical pathway timestamps, observation and disposition.</w:t>
            </w:r>
          </w:p>
        </w:tc>
      </w:tr>
      <w:tr>
        <w:tc>
          <w:tcPr>
            <w:tcW w:type="dxa" w:w="1440"/>
            <w:vAlign w:val="top"/>
            <w:tcMar>
              <w:top w:w="60" w:type="dxa"/>
              <w:start w:w="60" w:type="dxa"/>
              <w:bottom w:w="60" w:type="dxa"/>
              <w:end w:w="60" w:type="dxa"/>
            </w:tcMar>
          </w:tcPr>
          <w:p>
            <w:pPr>
              <w:spacing w:after="20"/>
            </w:pPr>
            <w:r>
              <w:rPr>
                <w:sz w:val="14"/>
              </w:rPr>
              <w:t>OPS-007</w:t>
            </w:r>
          </w:p>
        </w:tc>
        <w:tc>
          <w:tcPr>
            <w:tcW w:type="dxa" w:w="9360"/>
            <w:vAlign w:val="top"/>
            <w:tcMar>
              <w:top w:w="60" w:type="dxa"/>
              <w:start w:w="60" w:type="dxa"/>
              <w:bottom w:w="60" w:type="dxa"/>
              <w:end w:w="60" w:type="dxa"/>
            </w:tcMar>
          </w:tcPr>
          <w:p>
            <w:pPr>
              <w:spacing w:after="20"/>
            </w:pPr>
            <w:r>
              <w:rPr>
                <w:sz w:val="14"/>
              </w:rPr>
              <w:t>OT scheduling, surgeon/anesthetist team, pre-op checklist, consent, implants, instrument/consumables, anesthesia record, operative note and PACU.</w:t>
            </w:r>
          </w:p>
        </w:tc>
      </w:tr>
      <w:tr>
        <w:tc>
          <w:tcPr>
            <w:tcW w:type="dxa" w:w="1440"/>
            <w:vAlign w:val="top"/>
            <w:tcMar>
              <w:top w:w="60" w:type="dxa"/>
              <w:start w:w="60" w:type="dxa"/>
              <w:bottom w:w="60" w:type="dxa"/>
              <w:end w:w="60" w:type="dxa"/>
            </w:tcMar>
          </w:tcPr>
          <w:p>
            <w:pPr>
              <w:spacing w:after="20"/>
            </w:pPr>
            <w:r>
              <w:rPr>
                <w:sz w:val="14"/>
              </w:rPr>
              <w:t>OPS-008</w:t>
            </w:r>
          </w:p>
        </w:tc>
        <w:tc>
          <w:tcPr>
            <w:tcW w:type="dxa" w:w="9360"/>
            <w:vAlign w:val="top"/>
            <w:tcMar>
              <w:top w:w="60" w:type="dxa"/>
              <w:start w:w="60" w:type="dxa"/>
              <w:bottom w:w="60" w:type="dxa"/>
              <w:end w:w="60" w:type="dxa"/>
            </w:tcMar>
          </w:tcPr>
          <w:p>
            <w:pPr>
              <w:spacing w:after="20"/>
            </w:pPr>
            <w:r>
              <w:rPr>
                <w:sz w:val="14"/>
              </w:rPr>
              <w:t>CSSD linkage for instrument sets, sterilization cycles, tray traceability and recall.</w:t>
            </w:r>
          </w:p>
        </w:tc>
      </w:tr>
      <w:tr>
        <w:tc>
          <w:tcPr>
            <w:tcW w:type="dxa" w:w="1440"/>
            <w:vAlign w:val="top"/>
            <w:tcMar>
              <w:top w:w="60" w:type="dxa"/>
              <w:start w:w="60" w:type="dxa"/>
              <w:bottom w:w="60" w:type="dxa"/>
              <w:end w:w="60" w:type="dxa"/>
            </w:tcMar>
          </w:tcPr>
          <w:p>
            <w:pPr>
              <w:spacing w:after="20"/>
            </w:pPr>
            <w:r>
              <w:rPr>
                <w:sz w:val="14"/>
              </w:rPr>
              <w:t>OPS-009</w:t>
            </w:r>
          </w:p>
        </w:tc>
        <w:tc>
          <w:tcPr>
            <w:tcW w:type="dxa" w:w="9360"/>
            <w:vAlign w:val="top"/>
            <w:tcMar>
              <w:top w:w="60" w:type="dxa"/>
              <w:start w:w="60" w:type="dxa"/>
              <w:bottom w:w="60" w:type="dxa"/>
              <w:end w:w="60" w:type="dxa"/>
            </w:tcMar>
          </w:tcPr>
          <w:p>
            <w:pPr>
              <w:spacing w:after="20"/>
            </w:pPr>
            <w:r>
              <w:rPr>
                <w:sz w:val="14"/>
              </w:rPr>
              <w:t>Blood bank/transfusion orders and compatibility integration; bedside verification and reaction workflow.</w:t>
            </w:r>
          </w:p>
        </w:tc>
      </w:tr>
      <w:tr>
        <w:tc>
          <w:tcPr>
            <w:tcW w:type="dxa" w:w="1440"/>
            <w:vAlign w:val="top"/>
            <w:tcMar>
              <w:top w:w="60" w:type="dxa"/>
              <w:start w:w="60" w:type="dxa"/>
              <w:bottom w:w="60" w:type="dxa"/>
              <w:end w:w="60" w:type="dxa"/>
            </w:tcMar>
          </w:tcPr>
          <w:p>
            <w:pPr>
              <w:spacing w:after="20"/>
            </w:pPr>
            <w:r>
              <w:rPr>
                <w:sz w:val="14"/>
              </w:rPr>
              <w:t>OPS-010</w:t>
            </w:r>
          </w:p>
        </w:tc>
        <w:tc>
          <w:tcPr>
            <w:tcW w:type="dxa" w:w="9360"/>
            <w:vAlign w:val="top"/>
            <w:tcMar>
              <w:top w:w="60" w:type="dxa"/>
              <w:start w:w="60" w:type="dxa"/>
              <w:bottom w:w="60" w:type="dxa"/>
              <w:end w:w="60" w:type="dxa"/>
            </w:tcMar>
          </w:tcPr>
          <w:p>
            <w:pPr>
              <w:spacing w:after="20"/>
            </w:pPr>
            <w:r>
              <w:rPr>
                <w:sz w:val="14"/>
              </w:rPr>
              <w:t>Mortuary/death documentation workflow with access-controlled statutory forms and release tracking.</w:t>
            </w:r>
          </w:p>
        </w:tc>
      </w:tr>
    </w:tbl>
    <w:p>
      <w:pPr>
        <w:spacing w:after="20"/>
      </w:pPr>
    </w:p>
    <w:p>
      <w:pPr>
        <w:pStyle w:val="Heading1"/>
      </w:pPr>
      <w:r>
        <w:t>8. Pharmaceutical Network and Order-to-Cash Automation</w:t>
      </w:r>
    </w:p>
    <w:p>
      <w:r>
        <w:t>The pharma domain is designed as both an enterprise distribution system and a healthcare network platform. Each participant can operate its own books/inventory while transacting digitally with upstream and downstream partners.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AF7"/>
            <w:vAlign w:val="center"/>
            <w:tcMar>
              <w:top w:w="60" w:type="dxa"/>
              <w:start w:w="60" w:type="dxa"/>
              <w:bottom w:w="60" w:type="dxa"/>
              <w:end w:w="60" w:type="dxa"/>
            </w:tcMar>
          </w:tcPr>
          <w:p>
            <w:r>
              <w:rPr>
                <w:b/>
                <w:sz w:val="14"/>
              </w:rPr>
              <w:t>ID</w:t>
            </w:r>
          </w:p>
        </w:tc>
        <w:tc>
          <w:tcPr>
            <w:tcW w:type="dxa" w:w="9360"/>
            <w:shd w:fill="D9EAF7"/>
            <w:vAlign w:val="center"/>
            <w:tcMar>
              <w:top w:w="60" w:type="dxa"/>
              <w:start w:w="60" w:type="dxa"/>
              <w:bottom w:w="60" w:type="dxa"/>
              <w:end w:w="60" w:type="dxa"/>
            </w:tcMar>
          </w:tcPr>
          <w:p>
            <w:r>
              <w:rPr>
                <w:b/>
                <w:sz w:val="14"/>
              </w:rPr>
              <w:t>Requirement</w:t>
            </w:r>
          </w:p>
        </w:tc>
      </w:tr>
      <w:tr>
        <w:tc>
          <w:tcPr>
            <w:tcW w:type="dxa" w:w="1440"/>
            <w:vAlign w:val="top"/>
            <w:tcMar>
              <w:top w:w="60" w:type="dxa"/>
              <w:start w:w="60" w:type="dxa"/>
              <w:bottom w:w="60" w:type="dxa"/>
              <w:end w:w="60" w:type="dxa"/>
            </w:tcMar>
          </w:tcPr>
          <w:p>
            <w:pPr>
              <w:spacing w:after="20"/>
            </w:pPr>
            <w:r>
              <w:rPr>
                <w:sz w:val="14"/>
              </w:rPr>
              <w:t>PHA-001</w:t>
            </w:r>
          </w:p>
        </w:tc>
        <w:tc>
          <w:tcPr>
            <w:tcW w:type="dxa" w:w="9360"/>
            <w:vAlign w:val="top"/>
            <w:tcMar>
              <w:top w:w="60" w:type="dxa"/>
              <w:start w:w="60" w:type="dxa"/>
              <w:bottom w:w="60" w:type="dxa"/>
              <w:end w:w="60" w:type="dxa"/>
            </w:tcMar>
          </w:tcPr>
          <w:p>
            <w:pPr>
              <w:spacing w:after="20"/>
            </w:pPr>
            <w:r>
              <w:rPr>
                <w:sz w:val="14"/>
              </w:rPr>
              <w:t>Organization onboarding and hierarchy for manufacturer, marketer, C&amp;F, depot, super-stockist, distributor, stockist, hospital pharmacy and retail pharmacy.</w:t>
            </w:r>
          </w:p>
        </w:tc>
      </w:tr>
      <w:tr>
        <w:tc>
          <w:tcPr>
            <w:tcW w:type="dxa" w:w="1440"/>
            <w:vAlign w:val="top"/>
            <w:tcMar>
              <w:top w:w="60" w:type="dxa"/>
              <w:start w:w="60" w:type="dxa"/>
              <w:bottom w:w="60" w:type="dxa"/>
              <w:end w:w="60" w:type="dxa"/>
            </w:tcMar>
          </w:tcPr>
          <w:p>
            <w:pPr>
              <w:spacing w:after="20"/>
            </w:pPr>
            <w:r>
              <w:rPr>
                <w:sz w:val="14"/>
              </w:rPr>
              <w:t>PHA-002</w:t>
            </w:r>
          </w:p>
        </w:tc>
        <w:tc>
          <w:tcPr>
            <w:tcW w:type="dxa" w:w="9360"/>
            <w:vAlign w:val="top"/>
            <w:tcMar>
              <w:top w:w="60" w:type="dxa"/>
              <w:start w:w="60" w:type="dxa"/>
              <w:bottom w:w="60" w:type="dxa"/>
              <w:end w:w="60" w:type="dxa"/>
            </w:tcMar>
          </w:tcPr>
          <w:p>
            <w:pPr>
              <w:spacing w:after="20"/>
            </w:pPr>
            <w:r>
              <w:rPr>
                <w:sz w:val="14"/>
              </w:rPr>
              <w:t>Drug/SKU master with brand, generic, strength, form, pack, HSN/tax configuration, manufacturer/marketer, schedules/handling flags and barcode identifiers.</w:t>
            </w:r>
          </w:p>
        </w:tc>
      </w:tr>
      <w:tr>
        <w:tc>
          <w:tcPr>
            <w:tcW w:type="dxa" w:w="1440"/>
            <w:vAlign w:val="top"/>
            <w:tcMar>
              <w:top w:w="60" w:type="dxa"/>
              <w:start w:w="60" w:type="dxa"/>
              <w:bottom w:w="60" w:type="dxa"/>
              <w:end w:w="60" w:type="dxa"/>
            </w:tcMar>
          </w:tcPr>
          <w:p>
            <w:pPr>
              <w:spacing w:after="20"/>
            </w:pPr>
            <w:r>
              <w:rPr>
                <w:sz w:val="14"/>
              </w:rPr>
              <w:t>PHA-003</w:t>
            </w:r>
          </w:p>
        </w:tc>
        <w:tc>
          <w:tcPr>
            <w:tcW w:type="dxa" w:w="9360"/>
            <w:vAlign w:val="top"/>
            <w:tcMar>
              <w:top w:w="60" w:type="dxa"/>
              <w:start w:w="60" w:type="dxa"/>
              <w:bottom w:w="60" w:type="dxa"/>
              <w:end w:w="60" w:type="dxa"/>
            </w:tcMar>
          </w:tcPr>
          <w:p>
            <w:pPr>
              <w:spacing w:after="20"/>
            </w:pPr>
            <w:r>
              <w:rPr>
                <w:sz w:val="14"/>
              </w:rPr>
              <w:t>Party master: licenses/documents, territory, route, credit limit, payment terms, price list, tax profile and serviceability.</w:t>
            </w:r>
          </w:p>
        </w:tc>
      </w:tr>
      <w:tr>
        <w:tc>
          <w:tcPr>
            <w:tcW w:type="dxa" w:w="1440"/>
            <w:vAlign w:val="top"/>
            <w:tcMar>
              <w:top w:w="60" w:type="dxa"/>
              <w:start w:w="60" w:type="dxa"/>
              <w:bottom w:w="60" w:type="dxa"/>
              <w:end w:w="60" w:type="dxa"/>
            </w:tcMar>
          </w:tcPr>
          <w:p>
            <w:pPr>
              <w:spacing w:after="20"/>
            </w:pPr>
            <w:r>
              <w:rPr>
                <w:sz w:val="14"/>
              </w:rPr>
              <w:t>PHA-004</w:t>
            </w:r>
          </w:p>
        </w:tc>
        <w:tc>
          <w:tcPr>
            <w:tcW w:type="dxa" w:w="9360"/>
            <w:vAlign w:val="top"/>
            <w:tcMar>
              <w:top w:w="60" w:type="dxa"/>
              <w:start w:w="60" w:type="dxa"/>
              <w:bottom w:w="60" w:type="dxa"/>
              <w:end w:w="60" w:type="dxa"/>
            </w:tcMar>
          </w:tcPr>
          <w:p>
            <w:pPr>
              <w:spacing w:after="20"/>
            </w:pPr>
            <w:r>
              <w:rPr>
                <w:sz w:val="14"/>
              </w:rPr>
              <w:t>Multi-channel order capture: web/mobile cart, API/EDI, spreadsheet import, PDF/image/email ingestion and assisted entry.</w:t>
            </w:r>
          </w:p>
        </w:tc>
      </w:tr>
      <w:tr>
        <w:tc>
          <w:tcPr>
            <w:tcW w:type="dxa" w:w="1440"/>
            <w:vAlign w:val="top"/>
            <w:tcMar>
              <w:top w:w="60" w:type="dxa"/>
              <w:start w:w="60" w:type="dxa"/>
              <w:bottom w:w="60" w:type="dxa"/>
              <w:end w:w="60" w:type="dxa"/>
            </w:tcMar>
          </w:tcPr>
          <w:p>
            <w:pPr>
              <w:spacing w:after="20"/>
            </w:pPr>
            <w:r>
              <w:rPr>
                <w:sz w:val="14"/>
              </w:rPr>
              <w:t>PHA-005</w:t>
            </w:r>
          </w:p>
        </w:tc>
        <w:tc>
          <w:tcPr>
            <w:tcW w:type="dxa" w:w="9360"/>
            <w:vAlign w:val="top"/>
            <w:tcMar>
              <w:top w:w="60" w:type="dxa"/>
              <w:start w:w="60" w:type="dxa"/>
              <w:bottom w:w="60" w:type="dxa"/>
              <w:end w:w="60" w:type="dxa"/>
            </w:tcMar>
          </w:tcPr>
          <w:p>
            <w:pPr>
              <w:spacing w:after="20"/>
            </w:pPr>
            <w:r>
              <w:rPr>
                <w:sz w:val="14"/>
              </w:rPr>
              <w:t>Automated order document extraction: OCR → layout/line detection → customer mapping → SKU candidate matching → quantity/UOM normalization → confidence/exception queue.</w:t>
            </w:r>
          </w:p>
        </w:tc>
      </w:tr>
      <w:tr>
        <w:tc>
          <w:tcPr>
            <w:tcW w:type="dxa" w:w="1440"/>
            <w:vAlign w:val="top"/>
            <w:tcMar>
              <w:top w:w="60" w:type="dxa"/>
              <w:start w:w="60" w:type="dxa"/>
              <w:bottom w:w="60" w:type="dxa"/>
              <w:end w:w="60" w:type="dxa"/>
            </w:tcMar>
          </w:tcPr>
          <w:p>
            <w:pPr>
              <w:spacing w:after="20"/>
            </w:pPr>
            <w:r>
              <w:rPr>
                <w:sz w:val="14"/>
              </w:rPr>
              <w:t>PHA-006</w:t>
            </w:r>
          </w:p>
        </w:tc>
        <w:tc>
          <w:tcPr>
            <w:tcW w:type="dxa" w:w="9360"/>
            <w:vAlign w:val="top"/>
            <w:tcMar>
              <w:top w:w="60" w:type="dxa"/>
              <w:start w:w="60" w:type="dxa"/>
              <w:bottom w:w="60" w:type="dxa"/>
              <w:end w:w="60" w:type="dxa"/>
            </w:tcMar>
          </w:tcPr>
          <w:p>
            <w:pPr>
              <w:spacing w:after="20"/>
            </w:pPr>
            <w:r>
              <w:rPr>
                <w:sz w:val="14"/>
              </w:rPr>
              <w:t>Deterministic order validation after extraction: customer status, license validity, price/scheme, credit, minimum order, restricted SKU rules, serviceability and duplicate detection.</w:t>
            </w:r>
          </w:p>
        </w:tc>
      </w:tr>
      <w:tr>
        <w:tc>
          <w:tcPr>
            <w:tcW w:type="dxa" w:w="1440"/>
            <w:vAlign w:val="top"/>
            <w:tcMar>
              <w:top w:w="60" w:type="dxa"/>
              <w:start w:w="60" w:type="dxa"/>
              <w:bottom w:w="60" w:type="dxa"/>
              <w:end w:w="60" w:type="dxa"/>
            </w:tcMar>
          </w:tcPr>
          <w:p>
            <w:pPr>
              <w:spacing w:after="20"/>
            </w:pPr>
            <w:r>
              <w:rPr>
                <w:sz w:val="14"/>
              </w:rPr>
              <w:t>PHA-007</w:t>
            </w:r>
          </w:p>
        </w:tc>
        <w:tc>
          <w:tcPr>
            <w:tcW w:type="dxa" w:w="9360"/>
            <w:vAlign w:val="top"/>
            <w:tcMar>
              <w:top w:w="60" w:type="dxa"/>
              <w:start w:w="60" w:type="dxa"/>
              <w:bottom w:w="60" w:type="dxa"/>
              <w:end w:w="60" w:type="dxa"/>
            </w:tcMar>
          </w:tcPr>
          <w:p>
            <w:pPr>
              <w:spacing w:after="20"/>
            </w:pPr>
            <w:r>
              <w:rPr>
                <w:sz w:val="14"/>
              </w:rPr>
              <w:t>Scheme/promotion engine: slab, free goods, combo, value/quantity discount, customer/channel/territory-specific rules, precedence and effective dates.</w:t>
            </w:r>
          </w:p>
        </w:tc>
      </w:tr>
      <w:tr>
        <w:tc>
          <w:tcPr>
            <w:tcW w:type="dxa" w:w="1440"/>
            <w:vAlign w:val="top"/>
            <w:tcMar>
              <w:top w:w="60" w:type="dxa"/>
              <w:start w:w="60" w:type="dxa"/>
              <w:bottom w:w="60" w:type="dxa"/>
              <w:end w:w="60" w:type="dxa"/>
            </w:tcMar>
          </w:tcPr>
          <w:p>
            <w:pPr>
              <w:spacing w:after="20"/>
            </w:pPr>
            <w:r>
              <w:rPr>
                <w:sz w:val="14"/>
              </w:rPr>
              <w:t>PHA-008</w:t>
            </w:r>
          </w:p>
        </w:tc>
        <w:tc>
          <w:tcPr>
            <w:tcW w:type="dxa" w:w="9360"/>
            <w:vAlign w:val="top"/>
            <w:tcMar>
              <w:top w:w="60" w:type="dxa"/>
              <w:start w:w="60" w:type="dxa"/>
              <w:bottom w:w="60" w:type="dxa"/>
              <w:end w:w="60" w:type="dxa"/>
            </w:tcMar>
          </w:tcPr>
          <w:p>
            <w:pPr>
              <w:spacing w:after="20"/>
            </w:pPr>
            <w:r>
              <w:rPr>
                <w:sz w:val="14"/>
              </w:rPr>
              <w:t>ATP/ATS inventory and allocation; FEFO; batch/expiry; reserved stock; backorder; split shipment; substitution policy.</w:t>
            </w:r>
          </w:p>
        </w:tc>
      </w:tr>
      <w:tr>
        <w:tc>
          <w:tcPr>
            <w:tcW w:type="dxa" w:w="1440"/>
            <w:vAlign w:val="top"/>
            <w:tcMar>
              <w:top w:w="60" w:type="dxa"/>
              <w:start w:w="60" w:type="dxa"/>
              <w:bottom w:w="60" w:type="dxa"/>
              <w:end w:w="60" w:type="dxa"/>
            </w:tcMar>
          </w:tcPr>
          <w:p>
            <w:pPr>
              <w:spacing w:after="20"/>
            </w:pPr>
            <w:r>
              <w:rPr>
                <w:sz w:val="14"/>
              </w:rPr>
              <w:t>PHA-009</w:t>
            </w:r>
          </w:p>
        </w:tc>
        <w:tc>
          <w:tcPr>
            <w:tcW w:type="dxa" w:w="9360"/>
            <w:vAlign w:val="top"/>
            <w:tcMar>
              <w:top w:w="60" w:type="dxa"/>
              <w:start w:w="60" w:type="dxa"/>
              <w:bottom w:w="60" w:type="dxa"/>
              <w:end w:w="60" w:type="dxa"/>
            </w:tcMar>
          </w:tcPr>
          <w:p>
            <w:pPr>
              <w:spacing w:after="20"/>
            </w:pPr>
            <w:r>
              <w:rPr>
                <w:sz w:val="14"/>
              </w:rPr>
              <w:t>Warehouse operations: GRN, put-away, bin, replenishment, wave/pick, scan verification, pack, invoice, dispatch, POD and shortage/damage.</w:t>
            </w:r>
          </w:p>
        </w:tc>
      </w:tr>
      <w:tr>
        <w:tc>
          <w:tcPr>
            <w:tcW w:type="dxa" w:w="1440"/>
            <w:vAlign w:val="top"/>
            <w:tcMar>
              <w:top w:w="60" w:type="dxa"/>
              <w:start w:w="60" w:type="dxa"/>
              <w:bottom w:w="60" w:type="dxa"/>
              <w:end w:w="60" w:type="dxa"/>
            </w:tcMar>
          </w:tcPr>
          <w:p>
            <w:pPr>
              <w:spacing w:after="20"/>
            </w:pPr>
            <w:r>
              <w:rPr>
                <w:sz w:val="14"/>
              </w:rPr>
              <w:t>PHA-010</w:t>
            </w:r>
          </w:p>
        </w:tc>
        <w:tc>
          <w:tcPr>
            <w:tcW w:type="dxa" w:w="9360"/>
            <w:vAlign w:val="top"/>
            <w:tcMar>
              <w:top w:w="60" w:type="dxa"/>
              <w:start w:w="60" w:type="dxa"/>
              <w:bottom w:w="60" w:type="dxa"/>
              <w:end w:w="60" w:type="dxa"/>
            </w:tcMar>
          </w:tcPr>
          <w:p>
            <w:pPr>
              <w:spacing w:after="20"/>
            </w:pPr>
            <w:r>
              <w:rPr>
                <w:sz w:val="14"/>
              </w:rPr>
              <w:t>Cold-chain/controlled-temperature product flags, data-logger integration and excursion exception workflow.</w:t>
            </w:r>
          </w:p>
        </w:tc>
      </w:tr>
      <w:tr>
        <w:tc>
          <w:tcPr>
            <w:tcW w:type="dxa" w:w="1440"/>
            <w:vAlign w:val="top"/>
            <w:tcMar>
              <w:top w:w="60" w:type="dxa"/>
              <w:start w:w="60" w:type="dxa"/>
              <w:bottom w:w="60" w:type="dxa"/>
              <w:end w:w="60" w:type="dxa"/>
            </w:tcMar>
          </w:tcPr>
          <w:p>
            <w:pPr>
              <w:spacing w:after="20"/>
            </w:pPr>
            <w:r>
              <w:rPr>
                <w:sz w:val="14"/>
              </w:rPr>
              <w:t>PHA-011</w:t>
            </w:r>
          </w:p>
        </w:tc>
        <w:tc>
          <w:tcPr>
            <w:tcW w:type="dxa" w:w="9360"/>
            <w:vAlign w:val="top"/>
            <w:tcMar>
              <w:top w:w="60" w:type="dxa"/>
              <w:start w:w="60" w:type="dxa"/>
              <w:bottom w:w="60" w:type="dxa"/>
              <w:end w:w="60" w:type="dxa"/>
            </w:tcMar>
          </w:tcPr>
          <w:p>
            <w:pPr>
              <w:spacing w:after="20"/>
            </w:pPr>
            <w:r>
              <w:rPr>
                <w:sz w:val="14"/>
              </w:rPr>
              <w:t>Returns: saleable/non-saleable, expiry, damage, recall, short supply, wrong supply, near-expiry, claim and credit note.</w:t>
            </w:r>
          </w:p>
        </w:tc>
      </w:tr>
      <w:tr>
        <w:tc>
          <w:tcPr>
            <w:tcW w:type="dxa" w:w="1440"/>
            <w:vAlign w:val="top"/>
            <w:tcMar>
              <w:top w:w="60" w:type="dxa"/>
              <w:start w:w="60" w:type="dxa"/>
              <w:bottom w:w="60" w:type="dxa"/>
              <w:end w:w="60" w:type="dxa"/>
            </w:tcMar>
          </w:tcPr>
          <w:p>
            <w:pPr>
              <w:spacing w:after="20"/>
            </w:pPr>
            <w:r>
              <w:rPr>
                <w:sz w:val="14"/>
              </w:rPr>
              <w:t>PHA-012</w:t>
            </w:r>
          </w:p>
        </w:tc>
        <w:tc>
          <w:tcPr>
            <w:tcW w:type="dxa" w:w="9360"/>
            <w:vAlign w:val="top"/>
            <w:tcMar>
              <w:top w:w="60" w:type="dxa"/>
              <w:start w:w="60" w:type="dxa"/>
              <w:bottom w:w="60" w:type="dxa"/>
              <w:end w:w="60" w:type="dxa"/>
            </w:tcMar>
          </w:tcPr>
          <w:p>
            <w:pPr>
              <w:spacing w:after="20"/>
            </w:pPr>
            <w:r>
              <w:rPr>
                <w:sz w:val="14"/>
              </w:rPr>
              <w:t>Recall traceability manufacturer batch → depot → distributor → pharmacy/hospital → patient-dispense where legally permitted and available.</w:t>
            </w:r>
          </w:p>
        </w:tc>
      </w:tr>
      <w:tr>
        <w:tc>
          <w:tcPr>
            <w:tcW w:type="dxa" w:w="1440"/>
            <w:vAlign w:val="top"/>
            <w:tcMar>
              <w:top w:w="60" w:type="dxa"/>
              <w:start w:w="60" w:type="dxa"/>
              <w:bottom w:w="60" w:type="dxa"/>
              <w:end w:w="60" w:type="dxa"/>
            </w:tcMar>
          </w:tcPr>
          <w:p>
            <w:pPr>
              <w:spacing w:after="20"/>
            </w:pPr>
            <w:r>
              <w:rPr>
                <w:sz w:val="14"/>
              </w:rPr>
              <w:t>PHA-013</w:t>
            </w:r>
          </w:p>
        </w:tc>
        <w:tc>
          <w:tcPr>
            <w:tcW w:type="dxa" w:w="9360"/>
            <w:vAlign w:val="top"/>
            <w:tcMar>
              <w:top w:w="60" w:type="dxa"/>
              <w:start w:w="60" w:type="dxa"/>
              <w:bottom w:w="60" w:type="dxa"/>
              <w:end w:w="60" w:type="dxa"/>
            </w:tcMar>
          </w:tcPr>
          <w:p>
            <w:pPr>
              <w:spacing w:after="20"/>
            </w:pPr>
            <w:r>
              <w:rPr>
                <w:sz w:val="14"/>
              </w:rPr>
              <w:t>Primary/secondary sales analytics, channel inventory, days of inventory, fill rate, forecast, expiry exposure and lost-sales reason.</w:t>
            </w:r>
          </w:p>
        </w:tc>
      </w:tr>
      <w:tr>
        <w:tc>
          <w:tcPr>
            <w:tcW w:type="dxa" w:w="1440"/>
            <w:vAlign w:val="top"/>
            <w:tcMar>
              <w:top w:w="60" w:type="dxa"/>
              <w:start w:w="60" w:type="dxa"/>
              <w:bottom w:w="60" w:type="dxa"/>
              <w:end w:w="60" w:type="dxa"/>
            </w:tcMar>
          </w:tcPr>
          <w:p>
            <w:pPr>
              <w:spacing w:after="20"/>
            </w:pPr>
            <w:r>
              <w:rPr>
                <w:sz w:val="14"/>
              </w:rPr>
              <w:t>PHA-014</w:t>
            </w:r>
          </w:p>
        </w:tc>
        <w:tc>
          <w:tcPr>
            <w:tcW w:type="dxa" w:w="9360"/>
            <w:vAlign w:val="top"/>
            <w:tcMar>
              <w:top w:w="60" w:type="dxa"/>
              <w:start w:w="60" w:type="dxa"/>
              <w:bottom w:w="60" w:type="dxa"/>
              <w:end w:w="60" w:type="dxa"/>
            </w:tcMar>
          </w:tcPr>
          <w:p>
            <w:pPr>
              <w:spacing w:after="20"/>
            </w:pPr>
            <w:r>
              <w:rPr>
                <w:sz w:val="14"/>
              </w:rPr>
              <w:t>Receivables/collections, credit blocks, payment allocation, deductions, claims, rate difference, scheme claims and ledger integration.</w:t>
            </w:r>
          </w:p>
        </w:tc>
      </w:tr>
      <w:tr>
        <w:tc>
          <w:tcPr>
            <w:tcW w:type="dxa" w:w="1440"/>
            <w:vAlign w:val="top"/>
            <w:tcMar>
              <w:top w:w="60" w:type="dxa"/>
              <w:start w:w="60" w:type="dxa"/>
              <w:bottom w:w="60" w:type="dxa"/>
              <w:end w:w="60" w:type="dxa"/>
            </w:tcMar>
          </w:tcPr>
          <w:p>
            <w:pPr>
              <w:spacing w:after="20"/>
            </w:pPr>
            <w:r>
              <w:rPr>
                <w:sz w:val="14"/>
              </w:rPr>
              <w:t>PHA-015</w:t>
            </w:r>
          </w:p>
        </w:tc>
        <w:tc>
          <w:tcPr>
            <w:tcW w:type="dxa" w:w="9360"/>
            <w:vAlign w:val="top"/>
            <w:tcMar>
              <w:top w:w="60" w:type="dxa"/>
              <w:start w:w="60" w:type="dxa"/>
              <w:bottom w:w="60" w:type="dxa"/>
              <w:end w:w="60" w:type="dxa"/>
            </w:tcMar>
          </w:tcPr>
          <w:p>
            <w:pPr>
              <w:spacing w:after="20"/>
            </w:pPr>
            <w:r>
              <w:rPr>
                <w:sz w:val="14"/>
              </w:rPr>
              <w:t>Transport assignment, manifests, e-way/e-invoice connectors where applicable, tracking, POD and freight reconciliation.</w:t>
            </w:r>
          </w:p>
        </w:tc>
      </w:tr>
      <w:tr>
        <w:tc>
          <w:tcPr>
            <w:tcW w:type="dxa" w:w="1440"/>
            <w:vAlign w:val="top"/>
            <w:tcMar>
              <w:top w:w="60" w:type="dxa"/>
              <w:start w:w="60" w:type="dxa"/>
              <w:bottom w:w="60" w:type="dxa"/>
              <w:end w:w="60" w:type="dxa"/>
            </w:tcMar>
          </w:tcPr>
          <w:p>
            <w:pPr>
              <w:spacing w:after="20"/>
            </w:pPr>
            <w:r>
              <w:rPr>
                <w:sz w:val="14"/>
              </w:rPr>
              <w:t>PHA-016</w:t>
            </w:r>
          </w:p>
        </w:tc>
        <w:tc>
          <w:tcPr>
            <w:tcW w:type="dxa" w:w="9360"/>
            <w:vAlign w:val="top"/>
            <w:tcMar>
              <w:top w:w="60" w:type="dxa"/>
              <w:start w:w="60" w:type="dxa"/>
              <w:bottom w:w="60" w:type="dxa"/>
              <w:end w:w="60" w:type="dxa"/>
            </w:tcMar>
          </w:tcPr>
          <w:p>
            <w:pPr>
              <w:spacing w:after="20"/>
            </w:pPr>
            <w:r>
              <w:rPr>
                <w:sz w:val="14"/>
              </w:rPr>
              <w:t>Procure-to-pay for each channel participant with supplier purchase order, inward, debit/credit, reconciliation and landed cost.</w:t>
            </w:r>
          </w:p>
        </w:tc>
      </w:tr>
    </w:tbl>
    <w:p>
      <w:pPr>
        <w:spacing w:after="20"/>
      </w:pPr>
    </w:p>
    <w:p>
      <w:pPr>
        <w:pStyle w:val="Heading2"/>
      </w:pPr>
      <w:r>
        <w:t>8.1 Retail &amp; Hospital Pharmacy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AF7"/>
            <w:vAlign w:val="center"/>
            <w:tcMar>
              <w:top w:w="60" w:type="dxa"/>
              <w:start w:w="60" w:type="dxa"/>
              <w:bottom w:w="60" w:type="dxa"/>
              <w:end w:w="60" w:type="dxa"/>
            </w:tcMar>
          </w:tcPr>
          <w:p>
            <w:r>
              <w:rPr>
                <w:b/>
                <w:sz w:val="14"/>
              </w:rPr>
              <w:t>ID</w:t>
            </w:r>
          </w:p>
        </w:tc>
        <w:tc>
          <w:tcPr>
            <w:tcW w:type="dxa" w:w="9360"/>
            <w:shd w:fill="D9EAF7"/>
            <w:vAlign w:val="center"/>
            <w:tcMar>
              <w:top w:w="60" w:type="dxa"/>
              <w:start w:w="60" w:type="dxa"/>
              <w:bottom w:w="60" w:type="dxa"/>
              <w:end w:w="60" w:type="dxa"/>
            </w:tcMar>
          </w:tcPr>
          <w:p>
            <w:r>
              <w:rPr>
                <w:b/>
                <w:sz w:val="14"/>
              </w:rPr>
              <w:t>Requirement</w:t>
            </w:r>
          </w:p>
        </w:tc>
      </w:tr>
      <w:tr>
        <w:tc>
          <w:tcPr>
            <w:tcW w:type="dxa" w:w="1440"/>
            <w:vAlign w:val="top"/>
            <w:tcMar>
              <w:top w:w="60" w:type="dxa"/>
              <w:start w:w="60" w:type="dxa"/>
              <w:bottom w:w="60" w:type="dxa"/>
              <w:end w:w="60" w:type="dxa"/>
            </w:tcMar>
          </w:tcPr>
          <w:p>
            <w:pPr>
              <w:spacing w:after="20"/>
            </w:pPr>
            <w:r>
              <w:rPr>
                <w:sz w:val="14"/>
              </w:rPr>
              <w:t>RPH-001</w:t>
            </w:r>
          </w:p>
        </w:tc>
        <w:tc>
          <w:tcPr>
            <w:tcW w:type="dxa" w:w="9360"/>
            <w:vAlign w:val="top"/>
            <w:tcMar>
              <w:top w:w="60" w:type="dxa"/>
              <w:start w:w="60" w:type="dxa"/>
              <w:bottom w:w="60" w:type="dxa"/>
              <w:end w:w="60" w:type="dxa"/>
            </w:tcMar>
          </w:tcPr>
          <w:p>
            <w:pPr>
              <w:spacing w:after="20"/>
            </w:pPr>
            <w:r>
              <w:rPr>
                <w:sz w:val="14"/>
              </w:rPr>
              <w:t>Prescription work queue sourced from hospital EMR, patient upload or external e-prescription.</w:t>
            </w:r>
          </w:p>
        </w:tc>
      </w:tr>
      <w:tr>
        <w:tc>
          <w:tcPr>
            <w:tcW w:type="dxa" w:w="1440"/>
            <w:vAlign w:val="top"/>
            <w:tcMar>
              <w:top w:w="60" w:type="dxa"/>
              <w:start w:w="60" w:type="dxa"/>
              <w:bottom w:w="60" w:type="dxa"/>
              <w:end w:w="60" w:type="dxa"/>
            </w:tcMar>
          </w:tcPr>
          <w:p>
            <w:pPr>
              <w:spacing w:after="20"/>
            </w:pPr>
            <w:r>
              <w:rPr>
                <w:sz w:val="14"/>
              </w:rPr>
              <w:t>RPH-002</w:t>
            </w:r>
          </w:p>
        </w:tc>
        <w:tc>
          <w:tcPr>
            <w:tcW w:type="dxa" w:w="9360"/>
            <w:vAlign w:val="top"/>
            <w:tcMar>
              <w:top w:w="60" w:type="dxa"/>
              <w:start w:w="60" w:type="dxa"/>
              <w:bottom w:w="60" w:type="dxa"/>
              <w:end w:w="60" w:type="dxa"/>
            </w:tcMar>
          </w:tcPr>
          <w:p>
            <w:pPr>
              <w:spacing w:after="20"/>
            </w:pPr>
            <w:r>
              <w:rPr>
                <w:sz w:val="14"/>
              </w:rPr>
              <w:t>Pharmacist validation, formulary, generic/brand alternatives, interaction/allergy/duplicate therapy warnings and prescriber clarification.</w:t>
            </w:r>
          </w:p>
        </w:tc>
      </w:tr>
      <w:tr>
        <w:tc>
          <w:tcPr>
            <w:tcW w:type="dxa" w:w="1440"/>
            <w:vAlign w:val="top"/>
            <w:tcMar>
              <w:top w:w="60" w:type="dxa"/>
              <w:start w:w="60" w:type="dxa"/>
              <w:bottom w:w="60" w:type="dxa"/>
              <w:end w:w="60" w:type="dxa"/>
            </w:tcMar>
          </w:tcPr>
          <w:p>
            <w:pPr>
              <w:spacing w:after="20"/>
            </w:pPr>
            <w:r>
              <w:rPr>
                <w:sz w:val="14"/>
              </w:rPr>
              <w:t>RPH-003</w:t>
            </w:r>
          </w:p>
        </w:tc>
        <w:tc>
          <w:tcPr>
            <w:tcW w:type="dxa" w:w="9360"/>
            <w:vAlign w:val="top"/>
            <w:tcMar>
              <w:top w:w="60" w:type="dxa"/>
              <w:start w:w="60" w:type="dxa"/>
              <w:bottom w:w="60" w:type="dxa"/>
              <w:end w:w="60" w:type="dxa"/>
            </w:tcMar>
          </w:tcPr>
          <w:p>
            <w:pPr>
              <w:spacing w:after="20"/>
            </w:pPr>
            <w:r>
              <w:rPr>
                <w:sz w:val="14"/>
              </w:rPr>
              <w:t>Batch-level dispensing with FEFO, barcode, quantity split, substitutions, partial fills and repeat/refill policy.</w:t>
            </w:r>
          </w:p>
        </w:tc>
      </w:tr>
      <w:tr>
        <w:tc>
          <w:tcPr>
            <w:tcW w:type="dxa" w:w="1440"/>
            <w:vAlign w:val="top"/>
            <w:tcMar>
              <w:top w:w="60" w:type="dxa"/>
              <w:start w:w="60" w:type="dxa"/>
              <w:bottom w:w="60" w:type="dxa"/>
              <w:end w:w="60" w:type="dxa"/>
            </w:tcMar>
          </w:tcPr>
          <w:p>
            <w:pPr>
              <w:spacing w:after="20"/>
            </w:pPr>
            <w:r>
              <w:rPr>
                <w:sz w:val="14"/>
              </w:rPr>
              <w:t>RPH-004</w:t>
            </w:r>
          </w:p>
        </w:tc>
        <w:tc>
          <w:tcPr>
            <w:tcW w:type="dxa" w:w="9360"/>
            <w:vAlign w:val="top"/>
            <w:tcMar>
              <w:top w:w="60" w:type="dxa"/>
              <w:start w:w="60" w:type="dxa"/>
              <w:bottom w:w="60" w:type="dxa"/>
              <w:end w:w="60" w:type="dxa"/>
            </w:tcMar>
          </w:tcPr>
          <w:p>
            <w:pPr>
              <w:spacing w:after="20"/>
            </w:pPr>
            <w:r>
              <w:rPr>
                <w:sz w:val="14"/>
              </w:rPr>
              <w:t>POS, tax invoice, insurance/corporate billing, discounts, payments, returns and home-delivery order.</w:t>
            </w:r>
          </w:p>
        </w:tc>
      </w:tr>
      <w:tr>
        <w:tc>
          <w:tcPr>
            <w:tcW w:type="dxa" w:w="1440"/>
            <w:vAlign w:val="top"/>
            <w:tcMar>
              <w:top w:w="60" w:type="dxa"/>
              <w:start w:w="60" w:type="dxa"/>
              <w:bottom w:w="60" w:type="dxa"/>
              <w:end w:w="60" w:type="dxa"/>
            </w:tcMar>
          </w:tcPr>
          <w:p>
            <w:pPr>
              <w:spacing w:after="20"/>
            </w:pPr>
            <w:r>
              <w:rPr>
                <w:sz w:val="14"/>
              </w:rPr>
              <w:t>RPH-005</w:t>
            </w:r>
          </w:p>
        </w:tc>
        <w:tc>
          <w:tcPr>
            <w:tcW w:type="dxa" w:w="9360"/>
            <w:vAlign w:val="top"/>
            <w:tcMar>
              <w:top w:w="60" w:type="dxa"/>
              <w:start w:w="60" w:type="dxa"/>
              <w:bottom w:w="60" w:type="dxa"/>
              <w:end w:w="60" w:type="dxa"/>
            </w:tcMar>
          </w:tcPr>
          <w:p>
            <w:pPr>
              <w:spacing w:after="20"/>
            </w:pPr>
            <w:r>
              <w:rPr>
                <w:sz w:val="14"/>
              </w:rPr>
              <w:t>Near-expiry, dead stock, stock-out, reorder, purchase suggestion and inter-store transfer.</w:t>
            </w:r>
          </w:p>
        </w:tc>
      </w:tr>
      <w:tr>
        <w:tc>
          <w:tcPr>
            <w:tcW w:type="dxa" w:w="1440"/>
            <w:vAlign w:val="top"/>
            <w:tcMar>
              <w:top w:w="60" w:type="dxa"/>
              <w:start w:w="60" w:type="dxa"/>
              <w:bottom w:w="60" w:type="dxa"/>
              <w:end w:w="60" w:type="dxa"/>
            </w:tcMar>
          </w:tcPr>
          <w:p>
            <w:pPr>
              <w:spacing w:after="20"/>
            </w:pPr>
            <w:r>
              <w:rPr>
                <w:sz w:val="14"/>
              </w:rPr>
              <w:t>RPH-006</w:t>
            </w:r>
          </w:p>
        </w:tc>
        <w:tc>
          <w:tcPr>
            <w:tcW w:type="dxa" w:w="9360"/>
            <w:vAlign w:val="top"/>
            <w:tcMar>
              <w:top w:w="60" w:type="dxa"/>
              <w:start w:w="60" w:type="dxa"/>
              <w:bottom w:w="60" w:type="dxa"/>
              <w:end w:w="60" w:type="dxa"/>
            </w:tcMar>
          </w:tcPr>
          <w:p>
            <w:pPr>
              <w:spacing w:after="20"/>
            </w:pPr>
            <w:r>
              <w:rPr>
                <w:sz w:val="14"/>
              </w:rPr>
              <w:t>Home delivery orchestration: slot, address, prescription validation, pick-pack, rider assignment, OTP/POD and refund/failed delivery.</w:t>
            </w:r>
          </w:p>
        </w:tc>
      </w:tr>
      <w:tr>
        <w:tc>
          <w:tcPr>
            <w:tcW w:type="dxa" w:w="1440"/>
            <w:vAlign w:val="top"/>
            <w:tcMar>
              <w:top w:w="60" w:type="dxa"/>
              <w:start w:w="60" w:type="dxa"/>
              <w:bottom w:w="60" w:type="dxa"/>
              <w:end w:w="60" w:type="dxa"/>
            </w:tcMar>
          </w:tcPr>
          <w:p>
            <w:pPr>
              <w:spacing w:after="20"/>
            </w:pPr>
            <w:r>
              <w:rPr>
                <w:sz w:val="14"/>
              </w:rPr>
              <w:t>RPH-007</w:t>
            </w:r>
          </w:p>
        </w:tc>
        <w:tc>
          <w:tcPr>
            <w:tcW w:type="dxa" w:w="9360"/>
            <w:vAlign w:val="top"/>
            <w:tcMar>
              <w:top w:w="60" w:type="dxa"/>
              <w:start w:w="60" w:type="dxa"/>
              <w:bottom w:w="60" w:type="dxa"/>
              <w:end w:w="60" w:type="dxa"/>
            </w:tcMar>
          </w:tcPr>
          <w:p>
            <w:pPr>
              <w:spacing w:after="20"/>
            </w:pPr>
            <w:r>
              <w:rPr>
                <w:sz w:val="14"/>
              </w:rPr>
              <w:t>Controlled/restricted product workflow as configurable jurisdictional policy; no silent bypass by AI.</w:t>
            </w:r>
          </w:p>
        </w:tc>
      </w:tr>
    </w:tbl>
    <w:p>
      <w:pPr>
        <w:spacing w:after="20"/>
      </w:pPr>
    </w:p>
    <w:p>
      <w:pPr>
        <w:pStyle w:val="Heading1"/>
      </w:pPr>
      <w:r>
        <w:t>9. Diagnostics Platform: LIS, RIS, PACS and Diagnostic Commerce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AF7"/>
            <w:vAlign w:val="center"/>
            <w:tcMar>
              <w:top w:w="60" w:type="dxa"/>
              <w:start w:w="60" w:type="dxa"/>
              <w:bottom w:w="60" w:type="dxa"/>
              <w:end w:w="60" w:type="dxa"/>
            </w:tcMar>
          </w:tcPr>
          <w:p>
            <w:r>
              <w:rPr>
                <w:b/>
                <w:sz w:val="14"/>
              </w:rPr>
              <w:t>ID</w:t>
            </w:r>
          </w:p>
        </w:tc>
        <w:tc>
          <w:tcPr>
            <w:tcW w:type="dxa" w:w="9360"/>
            <w:shd w:fill="D9EAF7"/>
            <w:vAlign w:val="center"/>
            <w:tcMar>
              <w:top w:w="60" w:type="dxa"/>
              <w:start w:w="60" w:type="dxa"/>
              <w:bottom w:w="60" w:type="dxa"/>
              <w:end w:w="60" w:type="dxa"/>
            </w:tcMar>
          </w:tcPr>
          <w:p>
            <w:r>
              <w:rPr>
                <w:b/>
                <w:sz w:val="14"/>
              </w:rPr>
              <w:t>Requirement</w:t>
            </w:r>
          </w:p>
        </w:tc>
      </w:tr>
      <w:tr>
        <w:tc>
          <w:tcPr>
            <w:tcW w:type="dxa" w:w="1440"/>
            <w:vAlign w:val="top"/>
            <w:tcMar>
              <w:top w:w="60" w:type="dxa"/>
              <w:start w:w="60" w:type="dxa"/>
              <w:bottom w:w="60" w:type="dxa"/>
              <w:end w:w="60" w:type="dxa"/>
            </w:tcMar>
          </w:tcPr>
          <w:p>
            <w:pPr>
              <w:spacing w:after="20"/>
            </w:pPr>
            <w:r>
              <w:rPr>
                <w:sz w:val="14"/>
              </w:rPr>
              <w:t>DIA-001</w:t>
            </w:r>
          </w:p>
        </w:tc>
        <w:tc>
          <w:tcPr>
            <w:tcW w:type="dxa" w:w="9360"/>
            <w:vAlign w:val="top"/>
            <w:tcMar>
              <w:top w:w="60" w:type="dxa"/>
              <w:start w:w="60" w:type="dxa"/>
              <w:bottom w:w="60" w:type="dxa"/>
              <w:end w:w="60" w:type="dxa"/>
            </w:tcMar>
          </w:tcPr>
          <w:p>
            <w:pPr>
              <w:spacing w:after="20"/>
            </w:pPr>
            <w:r>
              <w:rPr>
                <w:sz w:val="14"/>
              </w:rPr>
              <w:t>Diagnostic catalog: test/panel/profile, specimen, container, fasting/preparation, TAT, methodology, department, reference ranges and price.</w:t>
            </w:r>
          </w:p>
        </w:tc>
      </w:tr>
      <w:tr>
        <w:tc>
          <w:tcPr>
            <w:tcW w:type="dxa" w:w="1440"/>
            <w:vAlign w:val="top"/>
            <w:tcMar>
              <w:top w:w="60" w:type="dxa"/>
              <w:start w:w="60" w:type="dxa"/>
              <w:bottom w:w="60" w:type="dxa"/>
              <w:end w:w="60" w:type="dxa"/>
            </w:tcMar>
          </w:tcPr>
          <w:p>
            <w:pPr>
              <w:spacing w:after="20"/>
            </w:pPr>
            <w:r>
              <w:rPr>
                <w:sz w:val="14"/>
              </w:rPr>
              <w:t>DIA-002</w:t>
            </w:r>
          </w:p>
        </w:tc>
        <w:tc>
          <w:tcPr>
            <w:tcW w:type="dxa" w:w="9360"/>
            <w:vAlign w:val="top"/>
            <w:tcMar>
              <w:top w:w="60" w:type="dxa"/>
              <w:start w:w="60" w:type="dxa"/>
              <w:bottom w:w="60" w:type="dxa"/>
              <w:end w:w="60" w:type="dxa"/>
            </w:tcMar>
          </w:tcPr>
          <w:p>
            <w:pPr>
              <w:spacing w:after="20"/>
            </w:pPr>
            <w:r>
              <w:rPr>
                <w:sz w:val="14"/>
              </w:rPr>
              <w:t>Orders from hospital CPOE, patient app, physician/referrer portal, B2B corporate, API and walk-in.</w:t>
            </w:r>
          </w:p>
        </w:tc>
      </w:tr>
      <w:tr>
        <w:tc>
          <w:tcPr>
            <w:tcW w:type="dxa" w:w="1440"/>
            <w:vAlign w:val="top"/>
            <w:tcMar>
              <w:top w:w="60" w:type="dxa"/>
              <w:start w:w="60" w:type="dxa"/>
              <w:bottom w:w="60" w:type="dxa"/>
              <w:end w:w="60" w:type="dxa"/>
            </w:tcMar>
          </w:tcPr>
          <w:p>
            <w:pPr>
              <w:spacing w:after="20"/>
            </w:pPr>
            <w:r>
              <w:rPr>
                <w:sz w:val="14"/>
              </w:rPr>
              <w:t>DIA-003</w:t>
            </w:r>
          </w:p>
        </w:tc>
        <w:tc>
          <w:tcPr>
            <w:tcW w:type="dxa" w:w="9360"/>
            <w:vAlign w:val="top"/>
            <w:tcMar>
              <w:top w:w="60" w:type="dxa"/>
              <w:start w:w="60" w:type="dxa"/>
              <w:bottom w:w="60" w:type="dxa"/>
              <w:end w:w="60" w:type="dxa"/>
            </w:tcMar>
          </w:tcPr>
          <w:p>
            <w:pPr>
              <w:spacing w:after="20"/>
            </w:pPr>
            <w:r>
              <w:rPr>
                <w:sz w:val="14"/>
              </w:rPr>
              <w:t>Home collection and collection-center scheduling, route optimization, phlebotomist assignment and geotagged status.</w:t>
            </w:r>
          </w:p>
        </w:tc>
      </w:tr>
      <w:tr>
        <w:tc>
          <w:tcPr>
            <w:tcW w:type="dxa" w:w="1440"/>
            <w:vAlign w:val="top"/>
            <w:tcMar>
              <w:top w:w="60" w:type="dxa"/>
              <w:start w:w="60" w:type="dxa"/>
              <w:bottom w:w="60" w:type="dxa"/>
              <w:end w:w="60" w:type="dxa"/>
            </w:tcMar>
          </w:tcPr>
          <w:p>
            <w:pPr>
              <w:spacing w:after="20"/>
            </w:pPr>
            <w:r>
              <w:rPr>
                <w:sz w:val="14"/>
              </w:rPr>
              <w:t>DIA-004</w:t>
            </w:r>
          </w:p>
        </w:tc>
        <w:tc>
          <w:tcPr>
            <w:tcW w:type="dxa" w:w="9360"/>
            <w:vAlign w:val="top"/>
            <w:tcMar>
              <w:top w:w="60" w:type="dxa"/>
              <w:start w:w="60" w:type="dxa"/>
              <w:bottom w:w="60" w:type="dxa"/>
              <w:end w:w="60" w:type="dxa"/>
            </w:tcMar>
          </w:tcPr>
          <w:p>
            <w:pPr>
              <w:spacing w:after="20"/>
            </w:pPr>
            <w:r>
              <w:rPr>
                <w:sz w:val="14"/>
              </w:rPr>
              <w:t>Barcode labels, accessioning, sample collection, transport, receipt, centrifugation/aliquot, storage and chain-of-custody.</w:t>
            </w:r>
          </w:p>
        </w:tc>
      </w:tr>
      <w:tr>
        <w:tc>
          <w:tcPr>
            <w:tcW w:type="dxa" w:w="1440"/>
            <w:vAlign w:val="top"/>
            <w:tcMar>
              <w:top w:w="60" w:type="dxa"/>
              <w:start w:w="60" w:type="dxa"/>
              <w:bottom w:w="60" w:type="dxa"/>
              <w:end w:w="60" w:type="dxa"/>
            </w:tcMar>
          </w:tcPr>
          <w:p>
            <w:pPr>
              <w:spacing w:after="20"/>
            </w:pPr>
            <w:r>
              <w:rPr>
                <w:sz w:val="14"/>
              </w:rPr>
              <w:t>DIA-005</w:t>
            </w:r>
          </w:p>
        </w:tc>
        <w:tc>
          <w:tcPr>
            <w:tcW w:type="dxa" w:w="9360"/>
            <w:vAlign w:val="top"/>
            <w:tcMar>
              <w:top w:w="60" w:type="dxa"/>
              <w:start w:w="60" w:type="dxa"/>
              <w:bottom w:w="60" w:type="dxa"/>
              <w:end w:w="60" w:type="dxa"/>
            </w:tcMar>
          </w:tcPr>
          <w:p>
            <w:pPr>
              <w:spacing w:after="20"/>
            </w:pPr>
            <w:r>
              <w:rPr>
                <w:sz w:val="14"/>
              </w:rPr>
              <w:t>Analyzer middleware/adapters; unidirectional/bidirectional interfaces; result flags, units, instrument metadata and repeat/dilution.</w:t>
            </w:r>
          </w:p>
        </w:tc>
      </w:tr>
      <w:tr>
        <w:tc>
          <w:tcPr>
            <w:tcW w:type="dxa" w:w="1440"/>
            <w:vAlign w:val="top"/>
            <w:tcMar>
              <w:top w:w="60" w:type="dxa"/>
              <w:start w:w="60" w:type="dxa"/>
              <w:bottom w:w="60" w:type="dxa"/>
              <w:end w:w="60" w:type="dxa"/>
            </w:tcMar>
          </w:tcPr>
          <w:p>
            <w:pPr>
              <w:spacing w:after="20"/>
            </w:pPr>
            <w:r>
              <w:rPr>
                <w:sz w:val="14"/>
              </w:rPr>
              <w:t>DIA-006</w:t>
            </w:r>
          </w:p>
        </w:tc>
        <w:tc>
          <w:tcPr>
            <w:tcW w:type="dxa" w:w="9360"/>
            <w:vAlign w:val="top"/>
            <w:tcMar>
              <w:top w:w="60" w:type="dxa"/>
              <w:start w:w="60" w:type="dxa"/>
              <w:bottom w:w="60" w:type="dxa"/>
              <w:end w:w="60" w:type="dxa"/>
            </w:tcMar>
          </w:tcPr>
          <w:p>
            <w:pPr>
              <w:spacing w:after="20"/>
            </w:pPr>
            <w:r>
              <w:rPr>
                <w:sz w:val="14"/>
              </w:rPr>
              <w:t>Reference-range engine by age/sex/physiological condition/method; critical/panic value escalation and acknowledgment.</w:t>
            </w:r>
          </w:p>
        </w:tc>
      </w:tr>
      <w:tr>
        <w:tc>
          <w:tcPr>
            <w:tcW w:type="dxa" w:w="1440"/>
            <w:vAlign w:val="top"/>
            <w:tcMar>
              <w:top w:w="60" w:type="dxa"/>
              <w:start w:w="60" w:type="dxa"/>
              <w:bottom w:w="60" w:type="dxa"/>
              <w:end w:w="60" w:type="dxa"/>
            </w:tcMar>
          </w:tcPr>
          <w:p>
            <w:pPr>
              <w:spacing w:after="20"/>
            </w:pPr>
            <w:r>
              <w:rPr>
                <w:sz w:val="14"/>
              </w:rPr>
              <w:t>DIA-007</w:t>
            </w:r>
          </w:p>
        </w:tc>
        <w:tc>
          <w:tcPr>
            <w:tcW w:type="dxa" w:w="9360"/>
            <w:vAlign w:val="top"/>
            <w:tcMar>
              <w:top w:w="60" w:type="dxa"/>
              <w:start w:w="60" w:type="dxa"/>
              <w:bottom w:w="60" w:type="dxa"/>
              <w:end w:w="60" w:type="dxa"/>
            </w:tcMar>
          </w:tcPr>
          <w:p>
            <w:pPr>
              <w:spacing w:after="20"/>
            </w:pPr>
            <w:r>
              <w:rPr>
                <w:sz w:val="14"/>
              </w:rPr>
              <w:t>Validation levels: technical → medical/pathologist; delta check; QC status; corrected report/version history.</w:t>
            </w:r>
          </w:p>
        </w:tc>
      </w:tr>
      <w:tr>
        <w:tc>
          <w:tcPr>
            <w:tcW w:type="dxa" w:w="1440"/>
            <w:vAlign w:val="top"/>
            <w:tcMar>
              <w:top w:w="60" w:type="dxa"/>
              <w:start w:w="60" w:type="dxa"/>
              <w:bottom w:w="60" w:type="dxa"/>
              <w:end w:w="60" w:type="dxa"/>
            </w:tcMar>
          </w:tcPr>
          <w:p>
            <w:pPr>
              <w:spacing w:after="20"/>
            </w:pPr>
            <w:r>
              <w:rPr>
                <w:sz w:val="14"/>
              </w:rPr>
              <w:t>DIA-008</w:t>
            </w:r>
          </w:p>
        </w:tc>
        <w:tc>
          <w:tcPr>
            <w:tcW w:type="dxa" w:w="9360"/>
            <w:vAlign w:val="top"/>
            <w:tcMar>
              <w:top w:w="60" w:type="dxa"/>
              <w:start w:w="60" w:type="dxa"/>
              <w:bottom w:w="60" w:type="dxa"/>
              <w:end w:w="60" w:type="dxa"/>
            </w:tcMar>
          </w:tcPr>
          <w:p>
            <w:pPr>
              <w:spacing w:after="20"/>
            </w:pPr>
            <w:r>
              <w:rPr>
                <w:sz w:val="14"/>
              </w:rPr>
              <w:t>Microbiology: culture, organism, susceptibility, preliminary/final reports and antimicrobial stewardship integration.</w:t>
            </w:r>
          </w:p>
        </w:tc>
      </w:tr>
      <w:tr>
        <w:tc>
          <w:tcPr>
            <w:tcW w:type="dxa" w:w="1440"/>
            <w:vAlign w:val="top"/>
            <w:tcMar>
              <w:top w:w="60" w:type="dxa"/>
              <w:start w:w="60" w:type="dxa"/>
              <w:bottom w:w="60" w:type="dxa"/>
              <w:end w:w="60" w:type="dxa"/>
            </w:tcMar>
          </w:tcPr>
          <w:p>
            <w:pPr>
              <w:spacing w:after="20"/>
            </w:pPr>
            <w:r>
              <w:rPr>
                <w:sz w:val="14"/>
              </w:rPr>
              <w:t>DIA-009</w:t>
            </w:r>
          </w:p>
        </w:tc>
        <w:tc>
          <w:tcPr>
            <w:tcW w:type="dxa" w:w="9360"/>
            <w:vAlign w:val="top"/>
            <w:tcMar>
              <w:top w:w="60" w:type="dxa"/>
              <w:start w:w="60" w:type="dxa"/>
              <w:bottom w:w="60" w:type="dxa"/>
              <w:end w:w="60" w:type="dxa"/>
            </w:tcMar>
          </w:tcPr>
          <w:p>
            <w:pPr>
              <w:spacing w:after="20"/>
            </w:pPr>
            <w:r>
              <w:rPr>
                <w:sz w:val="14"/>
              </w:rPr>
              <w:t>Histopathology/cytology: specimen/grossing/block/slide workflow, images, synoptic templates, pathologist sign-off and archive.</w:t>
            </w:r>
          </w:p>
        </w:tc>
      </w:tr>
      <w:tr>
        <w:tc>
          <w:tcPr>
            <w:tcW w:type="dxa" w:w="1440"/>
            <w:vAlign w:val="top"/>
            <w:tcMar>
              <w:top w:w="60" w:type="dxa"/>
              <w:start w:w="60" w:type="dxa"/>
              <w:bottom w:w="60" w:type="dxa"/>
              <w:end w:w="60" w:type="dxa"/>
            </w:tcMar>
          </w:tcPr>
          <w:p>
            <w:pPr>
              <w:spacing w:after="20"/>
            </w:pPr>
            <w:r>
              <w:rPr>
                <w:sz w:val="14"/>
              </w:rPr>
              <w:t>DIA-010</w:t>
            </w:r>
          </w:p>
        </w:tc>
        <w:tc>
          <w:tcPr>
            <w:tcW w:type="dxa" w:w="9360"/>
            <w:vAlign w:val="top"/>
            <w:tcMar>
              <w:top w:w="60" w:type="dxa"/>
              <w:start w:w="60" w:type="dxa"/>
              <w:bottom w:w="60" w:type="dxa"/>
              <w:end w:w="60" w:type="dxa"/>
            </w:tcMar>
          </w:tcPr>
          <w:p>
            <w:pPr>
              <w:spacing w:after="20"/>
            </w:pPr>
            <w:r>
              <w:rPr>
                <w:sz w:val="14"/>
              </w:rPr>
              <w:t>Molecular/genetic test workflow with consent, specimen handling, external referral and structured/report attachment.</w:t>
            </w:r>
          </w:p>
        </w:tc>
      </w:tr>
      <w:tr>
        <w:tc>
          <w:tcPr>
            <w:tcW w:type="dxa" w:w="1440"/>
            <w:vAlign w:val="top"/>
            <w:tcMar>
              <w:top w:w="60" w:type="dxa"/>
              <w:start w:w="60" w:type="dxa"/>
              <w:bottom w:w="60" w:type="dxa"/>
              <w:end w:w="60" w:type="dxa"/>
            </w:tcMar>
          </w:tcPr>
          <w:p>
            <w:pPr>
              <w:spacing w:after="20"/>
            </w:pPr>
            <w:r>
              <w:rPr>
                <w:sz w:val="14"/>
              </w:rPr>
              <w:t>DIA-011</w:t>
            </w:r>
          </w:p>
        </w:tc>
        <w:tc>
          <w:tcPr>
            <w:tcW w:type="dxa" w:w="9360"/>
            <w:vAlign w:val="top"/>
            <w:tcMar>
              <w:top w:w="60" w:type="dxa"/>
              <w:start w:w="60" w:type="dxa"/>
              <w:bottom w:w="60" w:type="dxa"/>
              <w:end w:w="60" w:type="dxa"/>
            </w:tcMar>
          </w:tcPr>
          <w:p>
            <w:pPr>
              <w:spacing w:after="20"/>
            </w:pPr>
            <w:r>
              <w:rPr>
                <w:sz w:val="14"/>
              </w:rPr>
              <w:t>RIS: modality worklist, protocol, scheduling, contrast screening, radiologist worklist, dictation/report and critical result.</w:t>
            </w:r>
          </w:p>
        </w:tc>
      </w:tr>
      <w:tr>
        <w:tc>
          <w:tcPr>
            <w:tcW w:type="dxa" w:w="1440"/>
            <w:vAlign w:val="top"/>
            <w:tcMar>
              <w:top w:w="60" w:type="dxa"/>
              <w:start w:w="60" w:type="dxa"/>
              <w:bottom w:w="60" w:type="dxa"/>
              <w:end w:w="60" w:type="dxa"/>
            </w:tcMar>
          </w:tcPr>
          <w:p>
            <w:pPr>
              <w:spacing w:after="20"/>
            </w:pPr>
            <w:r>
              <w:rPr>
                <w:sz w:val="14"/>
              </w:rPr>
              <w:t>DIA-012</w:t>
            </w:r>
          </w:p>
        </w:tc>
        <w:tc>
          <w:tcPr>
            <w:tcW w:type="dxa" w:w="9360"/>
            <w:vAlign w:val="top"/>
            <w:tcMar>
              <w:top w:w="60" w:type="dxa"/>
              <w:start w:w="60" w:type="dxa"/>
              <w:bottom w:w="60" w:type="dxa"/>
              <w:end w:w="60" w:type="dxa"/>
            </w:tcMar>
          </w:tcPr>
          <w:p>
            <w:pPr>
              <w:spacing w:after="20"/>
            </w:pPr>
            <w:r>
              <w:rPr>
                <w:sz w:val="14"/>
              </w:rPr>
              <w:t>PACS/DICOM/DICOMweb integration, viewer launch, priors, study reconciliation and storage lifecycle.</w:t>
            </w:r>
          </w:p>
        </w:tc>
      </w:tr>
      <w:tr>
        <w:tc>
          <w:tcPr>
            <w:tcW w:type="dxa" w:w="1440"/>
            <w:vAlign w:val="top"/>
            <w:tcMar>
              <w:top w:w="60" w:type="dxa"/>
              <w:start w:w="60" w:type="dxa"/>
              <w:bottom w:w="60" w:type="dxa"/>
              <w:end w:w="60" w:type="dxa"/>
            </w:tcMar>
          </w:tcPr>
          <w:p>
            <w:pPr>
              <w:spacing w:after="20"/>
            </w:pPr>
            <w:r>
              <w:rPr>
                <w:sz w:val="14"/>
              </w:rPr>
              <w:t>DIA-013</w:t>
            </w:r>
          </w:p>
        </w:tc>
        <w:tc>
          <w:tcPr>
            <w:tcW w:type="dxa" w:w="9360"/>
            <w:vAlign w:val="top"/>
            <w:tcMar>
              <w:top w:w="60" w:type="dxa"/>
              <w:start w:w="60" w:type="dxa"/>
              <w:bottom w:w="60" w:type="dxa"/>
              <w:end w:w="60" w:type="dxa"/>
            </w:tcMar>
          </w:tcPr>
          <w:p>
            <w:pPr>
              <w:spacing w:after="20"/>
            </w:pPr>
            <w:r>
              <w:rPr>
                <w:sz w:val="14"/>
              </w:rPr>
              <w:t>Referral lab: send-out order, packing manifest, tracking, external result ingestion, markup and settlement.</w:t>
            </w:r>
          </w:p>
        </w:tc>
      </w:tr>
      <w:tr>
        <w:tc>
          <w:tcPr>
            <w:tcW w:type="dxa" w:w="1440"/>
            <w:vAlign w:val="top"/>
            <w:tcMar>
              <w:top w:w="60" w:type="dxa"/>
              <w:start w:w="60" w:type="dxa"/>
              <w:bottom w:w="60" w:type="dxa"/>
              <w:end w:w="60" w:type="dxa"/>
            </w:tcMar>
          </w:tcPr>
          <w:p>
            <w:pPr>
              <w:spacing w:after="20"/>
            </w:pPr>
            <w:r>
              <w:rPr>
                <w:sz w:val="14"/>
              </w:rPr>
              <w:t>DIA-014</w:t>
            </w:r>
          </w:p>
        </w:tc>
        <w:tc>
          <w:tcPr>
            <w:tcW w:type="dxa" w:w="9360"/>
            <w:vAlign w:val="top"/>
            <w:tcMar>
              <w:top w:w="60" w:type="dxa"/>
              <w:start w:w="60" w:type="dxa"/>
              <w:bottom w:w="60" w:type="dxa"/>
              <w:end w:w="60" w:type="dxa"/>
            </w:tcMar>
          </w:tcPr>
          <w:p>
            <w:pPr>
              <w:spacing w:after="20"/>
            </w:pPr>
            <w:r>
              <w:rPr>
                <w:sz w:val="14"/>
              </w:rPr>
              <w:t>B2B diagnostic commerce: client contracts, credit, test rates, collection-center commissions, referrer rules and settlement.</w:t>
            </w:r>
          </w:p>
        </w:tc>
      </w:tr>
      <w:tr>
        <w:tc>
          <w:tcPr>
            <w:tcW w:type="dxa" w:w="1440"/>
            <w:vAlign w:val="top"/>
            <w:tcMar>
              <w:top w:w="60" w:type="dxa"/>
              <w:start w:w="60" w:type="dxa"/>
              <w:bottom w:w="60" w:type="dxa"/>
              <w:end w:w="60" w:type="dxa"/>
            </w:tcMar>
          </w:tcPr>
          <w:p>
            <w:pPr>
              <w:spacing w:after="20"/>
            </w:pPr>
            <w:r>
              <w:rPr>
                <w:sz w:val="14"/>
              </w:rPr>
              <w:t>DIA-015</w:t>
            </w:r>
          </w:p>
        </w:tc>
        <w:tc>
          <w:tcPr>
            <w:tcW w:type="dxa" w:w="9360"/>
            <w:vAlign w:val="top"/>
            <w:tcMar>
              <w:top w:w="60" w:type="dxa"/>
              <w:start w:w="60" w:type="dxa"/>
              <w:bottom w:w="60" w:type="dxa"/>
              <w:end w:w="60" w:type="dxa"/>
            </w:tcMar>
          </w:tcPr>
          <w:p>
            <w:pPr>
              <w:spacing w:after="20"/>
            </w:pPr>
            <w:r>
              <w:rPr>
                <w:sz w:val="14"/>
              </w:rPr>
              <w:t>Patient portal/app: preparation instructions, collection tracking, report release, trend visualization and clinician sharing.</w:t>
            </w:r>
          </w:p>
        </w:tc>
      </w:tr>
    </w:tbl>
    <w:p>
      <w:pPr>
        <w:spacing w:after="20"/>
      </w:pPr>
    </w:p>
    <w:p>
      <w:pPr>
        <w:pStyle w:val="Heading1"/>
      </w:pPr>
      <w:r>
        <w:t>10. Insurance, TPA and Claims Management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AF7"/>
            <w:vAlign w:val="center"/>
            <w:tcMar>
              <w:top w:w="60" w:type="dxa"/>
              <w:start w:w="60" w:type="dxa"/>
              <w:bottom w:w="60" w:type="dxa"/>
              <w:end w:w="60" w:type="dxa"/>
            </w:tcMar>
          </w:tcPr>
          <w:p>
            <w:r>
              <w:rPr>
                <w:b/>
                <w:sz w:val="14"/>
              </w:rPr>
              <w:t>ID</w:t>
            </w:r>
          </w:p>
        </w:tc>
        <w:tc>
          <w:tcPr>
            <w:tcW w:type="dxa" w:w="9360"/>
            <w:shd w:fill="D9EAF7"/>
            <w:vAlign w:val="center"/>
            <w:tcMar>
              <w:top w:w="60" w:type="dxa"/>
              <w:start w:w="60" w:type="dxa"/>
              <w:bottom w:w="60" w:type="dxa"/>
              <w:end w:w="60" w:type="dxa"/>
            </w:tcMar>
          </w:tcPr>
          <w:p>
            <w:r>
              <w:rPr>
                <w:b/>
                <w:sz w:val="14"/>
              </w:rPr>
              <w:t>Requirement</w:t>
            </w:r>
          </w:p>
        </w:tc>
      </w:tr>
      <w:tr>
        <w:tc>
          <w:tcPr>
            <w:tcW w:type="dxa" w:w="1440"/>
            <w:vAlign w:val="top"/>
            <w:tcMar>
              <w:top w:w="60" w:type="dxa"/>
              <w:start w:w="60" w:type="dxa"/>
              <w:bottom w:w="60" w:type="dxa"/>
              <w:end w:w="60" w:type="dxa"/>
            </w:tcMar>
          </w:tcPr>
          <w:p>
            <w:pPr>
              <w:spacing w:after="20"/>
            </w:pPr>
            <w:r>
              <w:rPr>
                <w:sz w:val="14"/>
              </w:rPr>
              <w:t>INS-001</w:t>
            </w:r>
          </w:p>
        </w:tc>
        <w:tc>
          <w:tcPr>
            <w:tcW w:type="dxa" w:w="9360"/>
            <w:vAlign w:val="top"/>
            <w:tcMar>
              <w:top w:w="60" w:type="dxa"/>
              <w:start w:w="60" w:type="dxa"/>
              <w:bottom w:w="60" w:type="dxa"/>
              <w:end w:w="60" w:type="dxa"/>
            </w:tcMar>
          </w:tcPr>
          <w:p>
            <w:pPr>
              <w:spacing w:after="20"/>
            </w:pPr>
            <w:r>
              <w:rPr>
                <w:sz w:val="14"/>
              </w:rPr>
              <w:t>Payer, insurer, TPA, scheme, employer and plan master with network/contract configuration.</w:t>
            </w:r>
          </w:p>
        </w:tc>
      </w:tr>
      <w:tr>
        <w:tc>
          <w:tcPr>
            <w:tcW w:type="dxa" w:w="1440"/>
            <w:vAlign w:val="top"/>
            <w:tcMar>
              <w:top w:w="60" w:type="dxa"/>
              <w:start w:w="60" w:type="dxa"/>
              <w:bottom w:w="60" w:type="dxa"/>
              <w:end w:w="60" w:type="dxa"/>
            </w:tcMar>
          </w:tcPr>
          <w:p>
            <w:pPr>
              <w:spacing w:after="20"/>
            </w:pPr>
            <w:r>
              <w:rPr>
                <w:sz w:val="14"/>
              </w:rPr>
              <w:t>INS-002</w:t>
            </w:r>
          </w:p>
        </w:tc>
        <w:tc>
          <w:tcPr>
            <w:tcW w:type="dxa" w:w="9360"/>
            <w:vAlign w:val="top"/>
            <w:tcMar>
              <w:top w:w="60" w:type="dxa"/>
              <w:start w:w="60" w:type="dxa"/>
              <w:bottom w:w="60" w:type="dxa"/>
              <w:end w:w="60" w:type="dxa"/>
            </w:tcMar>
          </w:tcPr>
          <w:p>
            <w:pPr>
              <w:spacing w:after="20"/>
            </w:pPr>
            <w:r>
              <w:rPr>
                <w:sz w:val="14"/>
              </w:rPr>
              <w:t>Eligibility/coverage verification and benefit capture; member/policy identifiers and family relationships.</w:t>
            </w:r>
          </w:p>
        </w:tc>
      </w:tr>
      <w:tr>
        <w:tc>
          <w:tcPr>
            <w:tcW w:type="dxa" w:w="1440"/>
            <w:vAlign w:val="top"/>
            <w:tcMar>
              <w:top w:w="60" w:type="dxa"/>
              <w:start w:w="60" w:type="dxa"/>
              <w:bottom w:w="60" w:type="dxa"/>
              <w:end w:w="60" w:type="dxa"/>
            </w:tcMar>
          </w:tcPr>
          <w:p>
            <w:pPr>
              <w:spacing w:after="20"/>
            </w:pPr>
            <w:r>
              <w:rPr>
                <w:sz w:val="14"/>
              </w:rPr>
              <w:t>INS-003</w:t>
            </w:r>
          </w:p>
        </w:tc>
        <w:tc>
          <w:tcPr>
            <w:tcW w:type="dxa" w:w="9360"/>
            <w:vAlign w:val="top"/>
            <w:tcMar>
              <w:top w:w="60" w:type="dxa"/>
              <w:start w:w="60" w:type="dxa"/>
              <w:bottom w:w="60" w:type="dxa"/>
              <w:end w:w="60" w:type="dxa"/>
            </w:tcMar>
          </w:tcPr>
          <w:p>
            <w:pPr>
              <w:spacing w:after="20"/>
            </w:pPr>
            <w:r>
              <w:rPr>
                <w:sz w:val="14"/>
              </w:rPr>
              <w:t>Cashless/pre-authorization case creation from estimate/diagnosis/procedure; document checklist and submission.</w:t>
            </w:r>
          </w:p>
        </w:tc>
      </w:tr>
      <w:tr>
        <w:tc>
          <w:tcPr>
            <w:tcW w:type="dxa" w:w="1440"/>
            <w:vAlign w:val="top"/>
            <w:tcMar>
              <w:top w:w="60" w:type="dxa"/>
              <w:start w:w="60" w:type="dxa"/>
              <w:bottom w:w="60" w:type="dxa"/>
              <w:end w:w="60" w:type="dxa"/>
            </w:tcMar>
          </w:tcPr>
          <w:p>
            <w:pPr>
              <w:spacing w:after="20"/>
            </w:pPr>
            <w:r>
              <w:rPr>
                <w:sz w:val="14"/>
              </w:rPr>
              <w:t>INS-004</w:t>
            </w:r>
          </w:p>
        </w:tc>
        <w:tc>
          <w:tcPr>
            <w:tcW w:type="dxa" w:w="9360"/>
            <w:vAlign w:val="top"/>
            <w:tcMar>
              <w:top w:w="60" w:type="dxa"/>
              <w:start w:w="60" w:type="dxa"/>
              <w:bottom w:w="60" w:type="dxa"/>
              <w:end w:w="60" w:type="dxa"/>
            </w:tcMar>
          </w:tcPr>
          <w:p>
            <w:pPr>
              <w:spacing w:after="20"/>
            </w:pPr>
            <w:r>
              <w:rPr>
                <w:sz w:val="14"/>
              </w:rPr>
              <w:t>Enhancement request with additional clinical evidence, amount tracking and response SLAs.</w:t>
            </w:r>
          </w:p>
        </w:tc>
      </w:tr>
      <w:tr>
        <w:tc>
          <w:tcPr>
            <w:tcW w:type="dxa" w:w="1440"/>
            <w:vAlign w:val="top"/>
            <w:tcMar>
              <w:top w:w="60" w:type="dxa"/>
              <w:start w:w="60" w:type="dxa"/>
              <w:bottom w:w="60" w:type="dxa"/>
              <w:end w:w="60" w:type="dxa"/>
            </w:tcMar>
          </w:tcPr>
          <w:p>
            <w:pPr>
              <w:spacing w:after="20"/>
            </w:pPr>
            <w:r>
              <w:rPr>
                <w:sz w:val="14"/>
              </w:rPr>
              <w:t>INS-005</w:t>
            </w:r>
          </w:p>
        </w:tc>
        <w:tc>
          <w:tcPr>
            <w:tcW w:type="dxa" w:w="9360"/>
            <w:vAlign w:val="top"/>
            <w:tcMar>
              <w:top w:w="60" w:type="dxa"/>
              <w:start w:w="60" w:type="dxa"/>
              <w:bottom w:w="60" w:type="dxa"/>
              <w:end w:w="60" w:type="dxa"/>
            </w:tcMar>
          </w:tcPr>
          <w:p>
            <w:pPr>
              <w:spacing w:after="20"/>
            </w:pPr>
            <w:r>
              <w:rPr>
                <w:sz w:val="14"/>
              </w:rPr>
              <w:t>Clinical/financial claim scrubber: completeness, coding, authorization, package, exclusions, duplicate and document checks.</w:t>
            </w:r>
          </w:p>
        </w:tc>
      </w:tr>
      <w:tr>
        <w:tc>
          <w:tcPr>
            <w:tcW w:type="dxa" w:w="1440"/>
            <w:vAlign w:val="top"/>
            <w:tcMar>
              <w:top w:w="60" w:type="dxa"/>
              <w:start w:w="60" w:type="dxa"/>
              <w:bottom w:w="60" w:type="dxa"/>
              <w:end w:w="60" w:type="dxa"/>
            </w:tcMar>
          </w:tcPr>
          <w:p>
            <w:pPr>
              <w:spacing w:after="20"/>
            </w:pPr>
            <w:r>
              <w:rPr>
                <w:sz w:val="14"/>
              </w:rPr>
              <w:t>INS-006</w:t>
            </w:r>
          </w:p>
        </w:tc>
        <w:tc>
          <w:tcPr>
            <w:tcW w:type="dxa" w:w="9360"/>
            <w:vAlign w:val="top"/>
            <w:tcMar>
              <w:top w:w="60" w:type="dxa"/>
              <w:start w:w="60" w:type="dxa"/>
              <w:bottom w:w="60" w:type="dxa"/>
              <w:end w:w="60" w:type="dxa"/>
            </w:tcMar>
          </w:tcPr>
          <w:p>
            <w:pPr>
              <w:spacing w:after="20"/>
            </w:pPr>
            <w:r>
              <w:rPr>
                <w:sz w:val="14"/>
              </w:rPr>
              <w:t>NHCX-compatible claims integration via standards adapter; status, query, response, settlement and remittance ingestion.</w:t>
            </w:r>
          </w:p>
        </w:tc>
      </w:tr>
      <w:tr>
        <w:tc>
          <w:tcPr>
            <w:tcW w:type="dxa" w:w="1440"/>
            <w:vAlign w:val="top"/>
            <w:tcMar>
              <w:top w:w="60" w:type="dxa"/>
              <w:start w:w="60" w:type="dxa"/>
              <w:bottom w:w="60" w:type="dxa"/>
              <w:end w:w="60" w:type="dxa"/>
            </w:tcMar>
          </w:tcPr>
          <w:p>
            <w:pPr>
              <w:spacing w:after="20"/>
            </w:pPr>
            <w:r>
              <w:rPr>
                <w:sz w:val="14"/>
              </w:rPr>
              <w:t>INS-007</w:t>
            </w:r>
          </w:p>
        </w:tc>
        <w:tc>
          <w:tcPr>
            <w:tcW w:type="dxa" w:w="9360"/>
            <w:vAlign w:val="top"/>
            <w:tcMar>
              <w:top w:w="60" w:type="dxa"/>
              <w:start w:w="60" w:type="dxa"/>
              <w:bottom w:w="60" w:type="dxa"/>
              <w:end w:w="60" w:type="dxa"/>
            </w:tcMar>
          </w:tcPr>
          <w:p>
            <w:pPr>
              <w:spacing w:after="20"/>
            </w:pPr>
            <w:r>
              <w:rPr>
                <w:sz w:val="14"/>
              </w:rPr>
              <w:t>Manual/API/portal submission modes per payer during transition; evidence package generation.</w:t>
            </w:r>
          </w:p>
        </w:tc>
      </w:tr>
      <w:tr>
        <w:tc>
          <w:tcPr>
            <w:tcW w:type="dxa" w:w="1440"/>
            <w:vAlign w:val="top"/>
            <w:tcMar>
              <w:top w:w="60" w:type="dxa"/>
              <w:start w:w="60" w:type="dxa"/>
              <w:bottom w:w="60" w:type="dxa"/>
              <w:end w:w="60" w:type="dxa"/>
            </w:tcMar>
          </w:tcPr>
          <w:p>
            <w:pPr>
              <w:spacing w:after="20"/>
            </w:pPr>
            <w:r>
              <w:rPr>
                <w:sz w:val="14"/>
              </w:rPr>
              <w:t>INS-008</w:t>
            </w:r>
          </w:p>
        </w:tc>
        <w:tc>
          <w:tcPr>
            <w:tcW w:type="dxa" w:w="9360"/>
            <w:vAlign w:val="top"/>
            <w:tcMar>
              <w:top w:w="60" w:type="dxa"/>
              <w:start w:w="60" w:type="dxa"/>
              <w:bottom w:w="60" w:type="dxa"/>
              <w:end w:w="60" w:type="dxa"/>
            </w:tcMar>
          </w:tcPr>
          <w:p>
            <w:pPr>
              <w:spacing w:after="20"/>
            </w:pPr>
            <w:r>
              <w:rPr>
                <w:sz w:val="14"/>
              </w:rPr>
              <w:t>Payer query work queue, ownership, due date, response, attachments, escalation and audit.</w:t>
            </w:r>
          </w:p>
        </w:tc>
      </w:tr>
      <w:tr>
        <w:tc>
          <w:tcPr>
            <w:tcW w:type="dxa" w:w="1440"/>
            <w:vAlign w:val="top"/>
            <w:tcMar>
              <w:top w:w="60" w:type="dxa"/>
              <w:start w:w="60" w:type="dxa"/>
              <w:bottom w:w="60" w:type="dxa"/>
              <w:end w:w="60" w:type="dxa"/>
            </w:tcMar>
          </w:tcPr>
          <w:p>
            <w:pPr>
              <w:spacing w:after="20"/>
            </w:pPr>
            <w:r>
              <w:rPr>
                <w:sz w:val="14"/>
              </w:rPr>
              <w:t>INS-009</w:t>
            </w:r>
          </w:p>
        </w:tc>
        <w:tc>
          <w:tcPr>
            <w:tcW w:type="dxa" w:w="9360"/>
            <w:vAlign w:val="top"/>
            <w:tcMar>
              <w:top w:w="60" w:type="dxa"/>
              <w:start w:w="60" w:type="dxa"/>
              <w:bottom w:w="60" w:type="dxa"/>
              <w:end w:w="60" w:type="dxa"/>
            </w:tcMar>
          </w:tcPr>
          <w:p>
            <w:pPr>
              <w:spacing w:after="20"/>
            </w:pPr>
            <w:r>
              <w:rPr>
                <w:sz w:val="14"/>
              </w:rPr>
              <w:t>Denial reason taxonomy, appeal/reconsideration, root-cause analytics and preventable-denial feedback.</w:t>
            </w:r>
          </w:p>
        </w:tc>
      </w:tr>
      <w:tr>
        <w:tc>
          <w:tcPr>
            <w:tcW w:type="dxa" w:w="1440"/>
            <w:vAlign w:val="top"/>
            <w:tcMar>
              <w:top w:w="60" w:type="dxa"/>
              <w:start w:w="60" w:type="dxa"/>
              <w:bottom w:w="60" w:type="dxa"/>
              <w:end w:w="60" w:type="dxa"/>
            </w:tcMar>
          </w:tcPr>
          <w:p>
            <w:pPr>
              <w:spacing w:after="20"/>
            </w:pPr>
            <w:r>
              <w:rPr>
                <w:sz w:val="14"/>
              </w:rPr>
              <w:t>INS-010</w:t>
            </w:r>
          </w:p>
        </w:tc>
        <w:tc>
          <w:tcPr>
            <w:tcW w:type="dxa" w:w="9360"/>
            <w:vAlign w:val="top"/>
            <w:tcMar>
              <w:top w:w="60" w:type="dxa"/>
              <w:start w:w="60" w:type="dxa"/>
              <w:bottom w:w="60" w:type="dxa"/>
              <w:end w:w="60" w:type="dxa"/>
            </w:tcMar>
          </w:tcPr>
          <w:p>
            <w:pPr>
              <w:spacing w:after="20"/>
            </w:pPr>
            <w:r>
              <w:rPr>
                <w:sz w:val="14"/>
              </w:rPr>
              <w:t>Claim/settlement reconciliation, deductions, short payment, disallowance, patient liability and GL/AR posting.</w:t>
            </w:r>
          </w:p>
        </w:tc>
      </w:tr>
      <w:tr>
        <w:tc>
          <w:tcPr>
            <w:tcW w:type="dxa" w:w="1440"/>
            <w:vAlign w:val="top"/>
            <w:tcMar>
              <w:top w:w="60" w:type="dxa"/>
              <w:start w:w="60" w:type="dxa"/>
              <w:bottom w:w="60" w:type="dxa"/>
              <w:end w:w="60" w:type="dxa"/>
            </w:tcMar>
          </w:tcPr>
          <w:p>
            <w:pPr>
              <w:spacing w:after="20"/>
            </w:pPr>
            <w:r>
              <w:rPr>
                <w:sz w:val="14"/>
              </w:rPr>
              <w:t>INS-011</w:t>
            </w:r>
          </w:p>
        </w:tc>
        <w:tc>
          <w:tcPr>
            <w:tcW w:type="dxa" w:w="9360"/>
            <w:vAlign w:val="top"/>
            <w:tcMar>
              <w:top w:w="60" w:type="dxa"/>
              <w:start w:w="60" w:type="dxa"/>
              <w:bottom w:w="60" w:type="dxa"/>
              <w:end w:w="60" w:type="dxa"/>
            </w:tcMar>
          </w:tcPr>
          <w:p>
            <w:pPr>
              <w:spacing w:after="20"/>
            </w:pPr>
            <w:r>
              <w:rPr>
                <w:sz w:val="14"/>
              </w:rPr>
              <w:t>Insurance patient view: eligibility, pre-auth status, approved amount, pending documents, claim status and payable balance.</w:t>
            </w:r>
          </w:p>
        </w:tc>
      </w:tr>
    </w:tbl>
    <w:p>
      <w:pPr>
        <w:spacing w:after="20"/>
      </w:pPr>
    </w:p>
    <w:p>
      <w:pPr>
        <w:pStyle w:val="Heading1"/>
      </w:pPr>
      <w:r>
        <w:t>11. HR, Workforce, Payroll and Credentialing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AF7"/>
            <w:vAlign w:val="center"/>
            <w:tcMar>
              <w:top w:w="60" w:type="dxa"/>
              <w:start w:w="60" w:type="dxa"/>
              <w:bottom w:w="60" w:type="dxa"/>
              <w:end w:w="60" w:type="dxa"/>
            </w:tcMar>
          </w:tcPr>
          <w:p>
            <w:r>
              <w:rPr>
                <w:b/>
                <w:sz w:val="14"/>
              </w:rPr>
              <w:t>ID</w:t>
            </w:r>
          </w:p>
        </w:tc>
        <w:tc>
          <w:tcPr>
            <w:tcW w:type="dxa" w:w="9360"/>
            <w:shd w:fill="D9EAF7"/>
            <w:vAlign w:val="center"/>
            <w:tcMar>
              <w:top w:w="60" w:type="dxa"/>
              <w:start w:w="60" w:type="dxa"/>
              <w:bottom w:w="60" w:type="dxa"/>
              <w:end w:w="60" w:type="dxa"/>
            </w:tcMar>
          </w:tcPr>
          <w:p>
            <w:r>
              <w:rPr>
                <w:b/>
                <w:sz w:val="14"/>
              </w:rPr>
              <w:t>Requirement</w:t>
            </w:r>
          </w:p>
        </w:tc>
      </w:tr>
      <w:tr>
        <w:tc>
          <w:tcPr>
            <w:tcW w:type="dxa" w:w="1440"/>
            <w:vAlign w:val="top"/>
            <w:tcMar>
              <w:top w:w="60" w:type="dxa"/>
              <w:start w:w="60" w:type="dxa"/>
              <w:bottom w:w="60" w:type="dxa"/>
              <w:end w:w="60" w:type="dxa"/>
            </w:tcMar>
          </w:tcPr>
          <w:p>
            <w:pPr>
              <w:spacing w:after="20"/>
            </w:pPr>
            <w:r>
              <w:rPr>
                <w:sz w:val="14"/>
              </w:rPr>
              <w:t>HR-001</w:t>
            </w:r>
          </w:p>
        </w:tc>
        <w:tc>
          <w:tcPr>
            <w:tcW w:type="dxa" w:w="9360"/>
            <w:vAlign w:val="top"/>
            <w:tcMar>
              <w:top w:w="60" w:type="dxa"/>
              <w:start w:w="60" w:type="dxa"/>
              <w:bottom w:w="60" w:type="dxa"/>
              <w:end w:w="60" w:type="dxa"/>
            </w:tcMar>
          </w:tcPr>
          <w:p>
            <w:pPr>
              <w:spacing w:after="20"/>
            </w:pPr>
            <w:r>
              <w:rPr>
                <w:sz w:val="14"/>
              </w:rPr>
              <w:t>Employee lifecycle: requisition, recruitment, offer, joining, personnel file, transfer, separation and alumni record.</w:t>
            </w:r>
          </w:p>
        </w:tc>
      </w:tr>
      <w:tr>
        <w:tc>
          <w:tcPr>
            <w:tcW w:type="dxa" w:w="1440"/>
            <w:vAlign w:val="top"/>
            <w:tcMar>
              <w:top w:w="60" w:type="dxa"/>
              <w:start w:w="60" w:type="dxa"/>
              <w:bottom w:w="60" w:type="dxa"/>
              <w:end w:w="60" w:type="dxa"/>
            </w:tcMar>
          </w:tcPr>
          <w:p>
            <w:pPr>
              <w:spacing w:after="20"/>
            </w:pPr>
            <w:r>
              <w:rPr>
                <w:sz w:val="14"/>
              </w:rPr>
              <w:t>HR-002</w:t>
            </w:r>
          </w:p>
        </w:tc>
        <w:tc>
          <w:tcPr>
            <w:tcW w:type="dxa" w:w="9360"/>
            <w:vAlign w:val="top"/>
            <w:tcMar>
              <w:top w:w="60" w:type="dxa"/>
              <w:start w:w="60" w:type="dxa"/>
              <w:bottom w:w="60" w:type="dxa"/>
              <w:end w:w="60" w:type="dxa"/>
            </w:tcMar>
          </w:tcPr>
          <w:p>
            <w:pPr>
              <w:spacing w:after="20"/>
            </w:pPr>
            <w:r>
              <w:rPr>
                <w:sz w:val="14"/>
              </w:rPr>
              <w:t>Organization/position hierarchy, departments, cost centers, employment types and multi-facility posting.</w:t>
            </w:r>
          </w:p>
        </w:tc>
      </w:tr>
      <w:tr>
        <w:tc>
          <w:tcPr>
            <w:tcW w:type="dxa" w:w="1440"/>
            <w:vAlign w:val="top"/>
            <w:tcMar>
              <w:top w:w="60" w:type="dxa"/>
              <w:start w:w="60" w:type="dxa"/>
              <w:bottom w:w="60" w:type="dxa"/>
              <w:end w:w="60" w:type="dxa"/>
            </w:tcMar>
          </w:tcPr>
          <w:p>
            <w:pPr>
              <w:spacing w:after="20"/>
            </w:pPr>
            <w:r>
              <w:rPr>
                <w:sz w:val="14"/>
              </w:rPr>
              <w:t>HR-003</w:t>
            </w:r>
          </w:p>
        </w:tc>
        <w:tc>
          <w:tcPr>
            <w:tcW w:type="dxa" w:w="9360"/>
            <w:vAlign w:val="top"/>
            <w:tcMar>
              <w:top w:w="60" w:type="dxa"/>
              <w:start w:w="60" w:type="dxa"/>
              <w:bottom w:w="60" w:type="dxa"/>
              <w:end w:w="60" w:type="dxa"/>
            </w:tcMar>
          </w:tcPr>
          <w:p>
            <w:pPr>
              <w:spacing w:after="20"/>
            </w:pPr>
            <w:r>
              <w:rPr>
                <w:sz w:val="14"/>
              </w:rPr>
              <w:t>Attendance through device/biometric integration, roster, shift, overtime, on-call, break, late/early and regularization.</w:t>
            </w:r>
          </w:p>
        </w:tc>
      </w:tr>
      <w:tr>
        <w:tc>
          <w:tcPr>
            <w:tcW w:type="dxa" w:w="1440"/>
            <w:vAlign w:val="top"/>
            <w:tcMar>
              <w:top w:w="60" w:type="dxa"/>
              <w:start w:w="60" w:type="dxa"/>
              <w:bottom w:w="60" w:type="dxa"/>
              <w:end w:w="60" w:type="dxa"/>
            </w:tcMar>
          </w:tcPr>
          <w:p>
            <w:pPr>
              <w:spacing w:after="20"/>
            </w:pPr>
            <w:r>
              <w:rPr>
                <w:sz w:val="14"/>
              </w:rPr>
              <w:t>HR-004</w:t>
            </w:r>
          </w:p>
        </w:tc>
        <w:tc>
          <w:tcPr>
            <w:tcW w:type="dxa" w:w="9360"/>
            <w:vAlign w:val="top"/>
            <w:tcMar>
              <w:top w:w="60" w:type="dxa"/>
              <w:start w:w="60" w:type="dxa"/>
              <w:bottom w:w="60" w:type="dxa"/>
              <w:end w:w="60" w:type="dxa"/>
            </w:tcMar>
          </w:tcPr>
          <w:p>
            <w:pPr>
              <w:spacing w:after="20"/>
            </w:pPr>
            <w:r>
              <w:rPr>
                <w:sz w:val="14"/>
              </w:rPr>
              <w:t>Leave policies, accrual, comp-off, holiday, duty leave, approvals and encashment.</w:t>
            </w:r>
          </w:p>
        </w:tc>
      </w:tr>
      <w:tr>
        <w:tc>
          <w:tcPr>
            <w:tcW w:type="dxa" w:w="1440"/>
            <w:vAlign w:val="top"/>
            <w:tcMar>
              <w:top w:w="60" w:type="dxa"/>
              <w:start w:w="60" w:type="dxa"/>
              <w:bottom w:w="60" w:type="dxa"/>
              <w:end w:w="60" w:type="dxa"/>
            </w:tcMar>
          </w:tcPr>
          <w:p>
            <w:pPr>
              <w:spacing w:after="20"/>
            </w:pPr>
            <w:r>
              <w:rPr>
                <w:sz w:val="14"/>
              </w:rPr>
              <w:t>HR-005</w:t>
            </w:r>
          </w:p>
        </w:tc>
        <w:tc>
          <w:tcPr>
            <w:tcW w:type="dxa" w:w="9360"/>
            <w:vAlign w:val="top"/>
            <w:tcMar>
              <w:top w:w="60" w:type="dxa"/>
              <w:start w:w="60" w:type="dxa"/>
              <w:bottom w:w="60" w:type="dxa"/>
              <w:end w:w="60" w:type="dxa"/>
            </w:tcMar>
          </w:tcPr>
          <w:p>
            <w:pPr>
              <w:spacing w:after="20"/>
            </w:pPr>
            <w:r>
              <w:rPr>
                <w:sz w:val="14"/>
              </w:rPr>
              <w:t>Payroll engine: earnings, deductions, arrears, reimbursements, incentives, overtime, loans/advances, final settlement and payslip.</w:t>
            </w:r>
          </w:p>
        </w:tc>
      </w:tr>
      <w:tr>
        <w:tc>
          <w:tcPr>
            <w:tcW w:type="dxa" w:w="1440"/>
            <w:vAlign w:val="top"/>
            <w:tcMar>
              <w:top w:w="60" w:type="dxa"/>
              <w:start w:w="60" w:type="dxa"/>
              <w:bottom w:w="60" w:type="dxa"/>
              <w:end w:w="60" w:type="dxa"/>
            </w:tcMar>
          </w:tcPr>
          <w:p>
            <w:pPr>
              <w:spacing w:after="20"/>
            </w:pPr>
            <w:r>
              <w:rPr>
                <w:sz w:val="14"/>
              </w:rPr>
              <w:t>HR-006</w:t>
            </w:r>
          </w:p>
        </w:tc>
        <w:tc>
          <w:tcPr>
            <w:tcW w:type="dxa" w:w="9360"/>
            <w:vAlign w:val="top"/>
            <w:tcMar>
              <w:top w:w="60" w:type="dxa"/>
              <w:start w:w="60" w:type="dxa"/>
              <w:bottom w:w="60" w:type="dxa"/>
              <w:end w:w="60" w:type="dxa"/>
            </w:tcMar>
          </w:tcPr>
          <w:p>
            <w:pPr>
              <w:spacing w:after="20"/>
            </w:pPr>
            <w:r>
              <w:rPr>
                <w:sz w:val="14"/>
              </w:rPr>
              <w:t>India payroll/statutory configuration layer for PF/ESI/PT/TDS and other applicable rules; effective-date rule tables and compliance review.</w:t>
            </w:r>
          </w:p>
        </w:tc>
      </w:tr>
      <w:tr>
        <w:tc>
          <w:tcPr>
            <w:tcW w:type="dxa" w:w="1440"/>
            <w:vAlign w:val="top"/>
            <w:tcMar>
              <w:top w:w="60" w:type="dxa"/>
              <w:start w:w="60" w:type="dxa"/>
              <w:bottom w:w="60" w:type="dxa"/>
              <w:end w:w="60" w:type="dxa"/>
            </w:tcMar>
          </w:tcPr>
          <w:p>
            <w:pPr>
              <w:spacing w:after="20"/>
            </w:pPr>
            <w:r>
              <w:rPr>
                <w:sz w:val="14"/>
              </w:rPr>
              <w:t>HR-007</w:t>
            </w:r>
          </w:p>
        </w:tc>
        <w:tc>
          <w:tcPr>
            <w:tcW w:type="dxa" w:w="9360"/>
            <w:vAlign w:val="top"/>
            <w:tcMar>
              <w:top w:w="60" w:type="dxa"/>
              <w:start w:w="60" w:type="dxa"/>
              <w:bottom w:w="60" w:type="dxa"/>
              <w:end w:w="60" w:type="dxa"/>
            </w:tcMar>
          </w:tcPr>
          <w:p>
            <w:pPr>
              <w:spacing w:after="20"/>
            </w:pPr>
            <w:r>
              <w:rPr>
                <w:sz w:val="14"/>
              </w:rPr>
              <w:t>Doctor credentialing: qualification, registration, specialty, privileges, expiry, insurance/indemnity documents and recredentialing.</w:t>
            </w:r>
          </w:p>
        </w:tc>
      </w:tr>
      <w:tr>
        <w:tc>
          <w:tcPr>
            <w:tcW w:type="dxa" w:w="1440"/>
            <w:vAlign w:val="top"/>
            <w:tcMar>
              <w:top w:w="60" w:type="dxa"/>
              <w:start w:w="60" w:type="dxa"/>
              <w:bottom w:w="60" w:type="dxa"/>
              <w:end w:w="60" w:type="dxa"/>
            </w:tcMar>
          </w:tcPr>
          <w:p>
            <w:pPr>
              <w:spacing w:after="20"/>
            </w:pPr>
            <w:r>
              <w:rPr>
                <w:sz w:val="14"/>
              </w:rPr>
              <w:t>HR-008</w:t>
            </w:r>
          </w:p>
        </w:tc>
        <w:tc>
          <w:tcPr>
            <w:tcW w:type="dxa" w:w="9360"/>
            <w:vAlign w:val="top"/>
            <w:tcMar>
              <w:top w:w="60" w:type="dxa"/>
              <w:start w:w="60" w:type="dxa"/>
              <w:bottom w:w="60" w:type="dxa"/>
              <w:end w:w="60" w:type="dxa"/>
            </w:tcMar>
          </w:tcPr>
          <w:p>
            <w:pPr>
              <w:spacing w:after="20"/>
            </w:pPr>
            <w:r>
              <w:rPr>
                <w:sz w:val="14"/>
              </w:rPr>
              <w:t>Training/competency, mandatory certification, vaccination/occupational-health status and expiry alerts.</w:t>
            </w:r>
          </w:p>
        </w:tc>
      </w:tr>
      <w:tr>
        <w:tc>
          <w:tcPr>
            <w:tcW w:type="dxa" w:w="1440"/>
            <w:vAlign w:val="top"/>
            <w:tcMar>
              <w:top w:w="60" w:type="dxa"/>
              <w:start w:w="60" w:type="dxa"/>
              <w:bottom w:w="60" w:type="dxa"/>
              <w:end w:w="60" w:type="dxa"/>
            </w:tcMar>
          </w:tcPr>
          <w:p>
            <w:pPr>
              <w:spacing w:after="20"/>
            </w:pPr>
            <w:r>
              <w:rPr>
                <w:sz w:val="14"/>
              </w:rPr>
              <w:t>HR-009</w:t>
            </w:r>
          </w:p>
        </w:tc>
        <w:tc>
          <w:tcPr>
            <w:tcW w:type="dxa" w:w="9360"/>
            <w:vAlign w:val="top"/>
            <w:tcMar>
              <w:top w:w="60" w:type="dxa"/>
              <w:start w:w="60" w:type="dxa"/>
              <w:bottom w:w="60" w:type="dxa"/>
              <w:end w:w="60" w:type="dxa"/>
            </w:tcMar>
          </w:tcPr>
          <w:p>
            <w:pPr>
              <w:spacing w:after="20"/>
            </w:pPr>
            <w:r>
              <w:rPr>
                <w:sz w:val="14"/>
              </w:rPr>
              <w:t>Performance goals/reviews, recognition, disciplinary/grievance records with restricted access.</w:t>
            </w:r>
          </w:p>
        </w:tc>
      </w:tr>
      <w:tr>
        <w:tc>
          <w:tcPr>
            <w:tcW w:type="dxa" w:w="1440"/>
            <w:vAlign w:val="top"/>
            <w:tcMar>
              <w:top w:w="60" w:type="dxa"/>
              <w:start w:w="60" w:type="dxa"/>
              <w:bottom w:w="60" w:type="dxa"/>
              <w:end w:w="60" w:type="dxa"/>
            </w:tcMar>
          </w:tcPr>
          <w:p>
            <w:pPr>
              <w:spacing w:after="20"/>
            </w:pPr>
            <w:r>
              <w:rPr>
                <w:sz w:val="14"/>
              </w:rPr>
              <w:t>HR-010</w:t>
            </w:r>
          </w:p>
        </w:tc>
        <w:tc>
          <w:tcPr>
            <w:tcW w:type="dxa" w:w="9360"/>
            <w:vAlign w:val="top"/>
            <w:tcMar>
              <w:top w:w="60" w:type="dxa"/>
              <w:start w:w="60" w:type="dxa"/>
              <w:bottom w:w="60" w:type="dxa"/>
              <w:end w:w="60" w:type="dxa"/>
            </w:tcMar>
          </w:tcPr>
          <w:p>
            <w:pPr>
              <w:spacing w:after="20"/>
            </w:pPr>
            <w:r>
              <w:rPr>
                <w:sz w:val="14"/>
              </w:rPr>
              <w:t>Manpower planning, roster optimization, skill mix, vacancy, attrition and overtime analytics.</w:t>
            </w:r>
          </w:p>
        </w:tc>
      </w:tr>
    </w:tbl>
    <w:p>
      <w:pPr>
        <w:spacing w:after="20"/>
      </w:pPr>
    </w:p>
    <w:p>
      <w:pPr>
        <w:pStyle w:val="Heading1"/>
      </w:pPr>
      <w:r>
        <w:t>12. Materials, Procurement, Inventory, Assets and Biomedical Engineering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AF7"/>
            <w:vAlign w:val="center"/>
            <w:tcMar>
              <w:top w:w="60" w:type="dxa"/>
              <w:start w:w="60" w:type="dxa"/>
              <w:bottom w:w="60" w:type="dxa"/>
              <w:end w:w="60" w:type="dxa"/>
            </w:tcMar>
          </w:tcPr>
          <w:p>
            <w:r>
              <w:rPr>
                <w:b/>
                <w:sz w:val="14"/>
              </w:rPr>
              <w:t>ID</w:t>
            </w:r>
          </w:p>
        </w:tc>
        <w:tc>
          <w:tcPr>
            <w:tcW w:type="dxa" w:w="9360"/>
            <w:shd w:fill="D9EAF7"/>
            <w:vAlign w:val="center"/>
            <w:tcMar>
              <w:top w:w="60" w:type="dxa"/>
              <w:start w:w="60" w:type="dxa"/>
              <w:bottom w:w="60" w:type="dxa"/>
              <w:end w:w="60" w:type="dxa"/>
            </w:tcMar>
          </w:tcPr>
          <w:p>
            <w:r>
              <w:rPr>
                <w:b/>
                <w:sz w:val="14"/>
              </w:rPr>
              <w:t>Requirement</w:t>
            </w:r>
          </w:p>
        </w:tc>
      </w:tr>
      <w:tr>
        <w:tc>
          <w:tcPr>
            <w:tcW w:type="dxa" w:w="1440"/>
            <w:vAlign w:val="top"/>
            <w:tcMar>
              <w:top w:w="60" w:type="dxa"/>
              <w:start w:w="60" w:type="dxa"/>
              <w:bottom w:w="60" w:type="dxa"/>
              <w:end w:w="60" w:type="dxa"/>
            </w:tcMar>
          </w:tcPr>
          <w:p>
            <w:pPr>
              <w:spacing w:after="20"/>
            </w:pPr>
            <w:r>
              <w:rPr>
                <w:sz w:val="14"/>
              </w:rPr>
              <w:t>MAT-001</w:t>
            </w:r>
          </w:p>
        </w:tc>
        <w:tc>
          <w:tcPr>
            <w:tcW w:type="dxa" w:w="9360"/>
            <w:vAlign w:val="top"/>
            <w:tcMar>
              <w:top w:w="60" w:type="dxa"/>
              <w:start w:w="60" w:type="dxa"/>
              <w:bottom w:w="60" w:type="dxa"/>
              <w:end w:w="60" w:type="dxa"/>
            </w:tcMar>
          </w:tcPr>
          <w:p>
            <w:pPr>
              <w:spacing w:after="20"/>
            </w:pPr>
            <w:r>
              <w:rPr>
                <w:sz w:val="14"/>
              </w:rPr>
              <w:t>Supplier onboarding, qualification, documents, contracts, rate agreements and category management.</w:t>
            </w:r>
          </w:p>
        </w:tc>
      </w:tr>
      <w:tr>
        <w:tc>
          <w:tcPr>
            <w:tcW w:type="dxa" w:w="1440"/>
            <w:vAlign w:val="top"/>
            <w:tcMar>
              <w:top w:w="60" w:type="dxa"/>
              <w:start w:w="60" w:type="dxa"/>
              <w:bottom w:w="60" w:type="dxa"/>
              <w:end w:w="60" w:type="dxa"/>
            </w:tcMar>
          </w:tcPr>
          <w:p>
            <w:pPr>
              <w:spacing w:after="20"/>
            </w:pPr>
            <w:r>
              <w:rPr>
                <w:sz w:val="14"/>
              </w:rPr>
              <w:t>MAT-002</w:t>
            </w:r>
          </w:p>
        </w:tc>
        <w:tc>
          <w:tcPr>
            <w:tcW w:type="dxa" w:w="9360"/>
            <w:vAlign w:val="top"/>
            <w:tcMar>
              <w:top w:w="60" w:type="dxa"/>
              <w:start w:w="60" w:type="dxa"/>
              <w:bottom w:w="60" w:type="dxa"/>
              <w:end w:w="60" w:type="dxa"/>
            </w:tcMar>
          </w:tcPr>
          <w:p>
            <w:pPr>
              <w:spacing w:after="20"/>
            </w:pPr>
            <w:r>
              <w:rPr>
                <w:sz w:val="14"/>
              </w:rPr>
              <w:t>Indent → approval → RFQ/RFP → comparison → PO → receipt → inspection → invoice matching → payment interface.</w:t>
            </w:r>
          </w:p>
        </w:tc>
      </w:tr>
      <w:tr>
        <w:tc>
          <w:tcPr>
            <w:tcW w:type="dxa" w:w="1440"/>
            <w:vAlign w:val="top"/>
            <w:tcMar>
              <w:top w:w="60" w:type="dxa"/>
              <w:start w:w="60" w:type="dxa"/>
              <w:bottom w:w="60" w:type="dxa"/>
              <w:end w:w="60" w:type="dxa"/>
            </w:tcMar>
          </w:tcPr>
          <w:p>
            <w:pPr>
              <w:spacing w:after="20"/>
            </w:pPr>
            <w:r>
              <w:rPr>
                <w:sz w:val="14"/>
              </w:rPr>
              <w:t>MAT-003</w:t>
            </w:r>
          </w:p>
        </w:tc>
        <w:tc>
          <w:tcPr>
            <w:tcW w:type="dxa" w:w="9360"/>
            <w:vAlign w:val="top"/>
            <w:tcMar>
              <w:top w:w="60" w:type="dxa"/>
              <w:start w:w="60" w:type="dxa"/>
              <w:bottom w:w="60" w:type="dxa"/>
              <w:end w:w="60" w:type="dxa"/>
            </w:tcMar>
          </w:tcPr>
          <w:p>
            <w:pPr>
              <w:spacing w:after="20"/>
            </w:pPr>
            <w:r>
              <w:rPr>
                <w:sz w:val="14"/>
              </w:rPr>
              <w:t>Stores/warehouse/bin inventory; lot/batch/serial/expiry; min-max; reorder; transfer; issue/return; cycle/physical count.</w:t>
            </w:r>
          </w:p>
        </w:tc>
      </w:tr>
      <w:tr>
        <w:tc>
          <w:tcPr>
            <w:tcW w:type="dxa" w:w="1440"/>
            <w:vAlign w:val="top"/>
            <w:tcMar>
              <w:top w:w="60" w:type="dxa"/>
              <w:start w:w="60" w:type="dxa"/>
              <w:bottom w:w="60" w:type="dxa"/>
              <w:end w:w="60" w:type="dxa"/>
            </w:tcMar>
          </w:tcPr>
          <w:p>
            <w:pPr>
              <w:spacing w:after="20"/>
            </w:pPr>
            <w:r>
              <w:rPr>
                <w:sz w:val="14"/>
              </w:rPr>
              <w:t>MAT-004</w:t>
            </w:r>
          </w:p>
        </w:tc>
        <w:tc>
          <w:tcPr>
            <w:tcW w:type="dxa" w:w="9360"/>
            <w:vAlign w:val="top"/>
            <w:tcMar>
              <w:top w:w="60" w:type="dxa"/>
              <w:start w:w="60" w:type="dxa"/>
              <w:bottom w:w="60" w:type="dxa"/>
              <w:end w:w="60" w:type="dxa"/>
            </w:tcMar>
          </w:tcPr>
          <w:p>
            <w:pPr>
              <w:spacing w:after="20"/>
            </w:pPr>
            <w:r>
              <w:rPr>
                <w:sz w:val="14"/>
              </w:rPr>
              <w:t>OT/ward procedure kits, implants, high-value consumables and patient-level charge linkage.</w:t>
            </w:r>
          </w:p>
        </w:tc>
      </w:tr>
      <w:tr>
        <w:tc>
          <w:tcPr>
            <w:tcW w:type="dxa" w:w="1440"/>
            <w:vAlign w:val="top"/>
            <w:tcMar>
              <w:top w:w="60" w:type="dxa"/>
              <w:start w:w="60" w:type="dxa"/>
              <w:bottom w:w="60" w:type="dxa"/>
              <w:end w:w="60" w:type="dxa"/>
            </w:tcMar>
          </w:tcPr>
          <w:p>
            <w:pPr>
              <w:spacing w:after="20"/>
            </w:pPr>
            <w:r>
              <w:rPr>
                <w:sz w:val="14"/>
              </w:rPr>
              <w:t>MAT-005</w:t>
            </w:r>
          </w:p>
        </w:tc>
        <w:tc>
          <w:tcPr>
            <w:tcW w:type="dxa" w:w="9360"/>
            <w:vAlign w:val="top"/>
            <w:tcMar>
              <w:top w:w="60" w:type="dxa"/>
              <w:start w:w="60" w:type="dxa"/>
              <w:bottom w:w="60" w:type="dxa"/>
              <w:end w:w="60" w:type="dxa"/>
            </w:tcMar>
          </w:tcPr>
          <w:p>
            <w:pPr>
              <w:spacing w:after="20"/>
            </w:pPr>
            <w:r>
              <w:rPr>
                <w:sz w:val="14"/>
              </w:rPr>
              <w:t>Fixed-asset register, capitalization interface, location/custodian, depreciation feed and disposal workflow.</w:t>
            </w:r>
          </w:p>
        </w:tc>
      </w:tr>
      <w:tr>
        <w:tc>
          <w:tcPr>
            <w:tcW w:type="dxa" w:w="1440"/>
            <w:vAlign w:val="top"/>
            <w:tcMar>
              <w:top w:w="60" w:type="dxa"/>
              <w:start w:w="60" w:type="dxa"/>
              <w:bottom w:w="60" w:type="dxa"/>
              <w:end w:w="60" w:type="dxa"/>
            </w:tcMar>
          </w:tcPr>
          <w:p>
            <w:pPr>
              <w:spacing w:after="20"/>
            </w:pPr>
            <w:r>
              <w:rPr>
                <w:sz w:val="14"/>
              </w:rPr>
              <w:t>MAT-006</w:t>
            </w:r>
          </w:p>
        </w:tc>
        <w:tc>
          <w:tcPr>
            <w:tcW w:type="dxa" w:w="9360"/>
            <w:vAlign w:val="top"/>
            <w:tcMar>
              <w:top w:w="60" w:type="dxa"/>
              <w:start w:w="60" w:type="dxa"/>
              <w:bottom w:w="60" w:type="dxa"/>
              <w:end w:w="60" w:type="dxa"/>
            </w:tcMar>
          </w:tcPr>
          <w:p>
            <w:pPr>
              <w:spacing w:after="20"/>
            </w:pPr>
            <w:r>
              <w:rPr>
                <w:sz w:val="14"/>
              </w:rPr>
              <w:t>Biomedical equipment registry with make/model/serial, warranty/AMC/CMC, calibration, preventive maintenance and breakdown.</w:t>
            </w:r>
          </w:p>
        </w:tc>
      </w:tr>
      <w:tr>
        <w:tc>
          <w:tcPr>
            <w:tcW w:type="dxa" w:w="1440"/>
            <w:vAlign w:val="top"/>
            <w:tcMar>
              <w:top w:w="60" w:type="dxa"/>
              <w:start w:w="60" w:type="dxa"/>
              <w:bottom w:w="60" w:type="dxa"/>
              <w:end w:w="60" w:type="dxa"/>
            </w:tcMar>
          </w:tcPr>
          <w:p>
            <w:pPr>
              <w:spacing w:after="20"/>
            </w:pPr>
            <w:r>
              <w:rPr>
                <w:sz w:val="14"/>
              </w:rPr>
              <w:t>MAT-007</w:t>
            </w:r>
          </w:p>
        </w:tc>
        <w:tc>
          <w:tcPr>
            <w:tcW w:type="dxa" w:w="9360"/>
            <w:vAlign w:val="top"/>
            <w:tcMar>
              <w:top w:w="60" w:type="dxa"/>
              <w:start w:w="60" w:type="dxa"/>
              <w:bottom w:w="60" w:type="dxa"/>
              <w:end w:w="60" w:type="dxa"/>
            </w:tcMar>
          </w:tcPr>
          <w:p>
            <w:pPr>
              <w:spacing w:after="20"/>
            </w:pPr>
            <w:r>
              <w:rPr>
                <w:sz w:val="14"/>
              </w:rPr>
              <w:t>Service request/helpdesk, technician assignment, SLA, parts, downtime, root cause and equipment history.</w:t>
            </w:r>
          </w:p>
        </w:tc>
      </w:tr>
      <w:tr>
        <w:tc>
          <w:tcPr>
            <w:tcW w:type="dxa" w:w="1440"/>
            <w:vAlign w:val="top"/>
            <w:tcMar>
              <w:top w:w="60" w:type="dxa"/>
              <w:start w:w="60" w:type="dxa"/>
              <w:bottom w:w="60" w:type="dxa"/>
              <w:end w:w="60" w:type="dxa"/>
            </w:tcMar>
          </w:tcPr>
          <w:p>
            <w:pPr>
              <w:spacing w:after="20"/>
            </w:pPr>
            <w:r>
              <w:rPr>
                <w:sz w:val="14"/>
              </w:rPr>
              <w:t>MAT-008</w:t>
            </w:r>
          </w:p>
        </w:tc>
        <w:tc>
          <w:tcPr>
            <w:tcW w:type="dxa" w:w="9360"/>
            <w:vAlign w:val="top"/>
            <w:tcMar>
              <w:top w:w="60" w:type="dxa"/>
              <w:start w:w="60" w:type="dxa"/>
              <w:bottom w:w="60" w:type="dxa"/>
              <w:end w:w="60" w:type="dxa"/>
            </w:tcMar>
          </w:tcPr>
          <w:p>
            <w:pPr>
              <w:spacing w:after="20"/>
            </w:pPr>
            <w:r>
              <w:rPr>
                <w:sz w:val="14"/>
              </w:rPr>
              <w:t>Recall/safety-notice management for devices/consumables and affected-location/patient traceability where data exists.</w:t>
            </w:r>
          </w:p>
        </w:tc>
      </w:tr>
    </w:tbl>
    <w:p>
      <w:pPr>
        <w:spacing w:after="20"/>
      </w:pPr>
    </w:p>
    <w:p>
      <w:pPr>
        <w:pStyle w:val="Heading1"/>
      </w:pPr>
      <w:r>
        <w:t>13. SCADA, BMS, IoT and Hospital Command Center</w:t>
      </w:r>
    </w:p>
    <w:p>
      <w:r>
        <w:t>SCADA/BMS is a separate operational-technology bounded context. The healthcare platform consumes normalized telemetry, alarms, states and maintenance events through a gateway. Direct control of safety-critical plant must require explicit engineering controls, local safety interlocks and site approval; the clinical SaaS shall not become a single point of failure for plant safety.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AF7"/>
            <w:vAlign w:val="center"/>
            <w:tcMar>
              <w:top w:w="60" w:type="dxa"/>
              <w:start w:w="60" w:type="dxa"/>
              <w:bottom w:w="60" w:type="dxa"/>
              <w:end w:w="60" w:type="dxa"/>
            </w:tcMar>
          </w:tcPr>
          <w:p>
            <w:r>
              <w:rPr>
                <w:b/>
                <w:sz w:val="14"/>
              </w:rPr>
              <w:t>ID</w:t>
            </w:r>
          </w:p>
        </w:tc>
        <w:tc>
          <w:tcPr>
            <w:tcW w:type="dxa" w:w="9360"/>
            <w:shd w:fill="D9EAF7"/>
            <w:vAlign w:val="center"/>
            <w:tcMar>
              <w:top w:w="60" w:type="dxa"/>
              <w:start w:w="60" w:type="dxa"/>
              <w:bottom w:w="60" w:type="dxa"/>
              <w:end w:w="60" w:type="dxa"/>
            </w:tcMar>
          </w:tcPr>
          <w:p>
            <w:r>
              <w:rPr>
                <w:b/>
                <w:sz w:val="14"/>
              </w:rPr>
              <w:t>Requirement</w:t>
            </w:r>
          </w:p>
        </w:tc>
      </w:tr>
      <w:tr>
        <w:tc>
          <w:tcPr>
            <w:tcW w:type="dxa" w:w="1440"/>
            <w:vAlign w:val="top"/>
            <w:tcMar>
              <w:top w:w="60" w:type="dxa"/>
              <w:start w:w="60" w:type="dxa"/>
              <w:bottom w:w="60" w:type="dxa"/>
              <w:end w:w="60" w:type="dxa"/>
            </w:tcMar>
          </w:tcPr>
          <w:p>
            <w:pPr>
              <w:spacing w:after="20"/>
            </w:pPr>
            <w:r>
              <w:rPr>
                <w:sz w:val="14"/>
              </w:rPr>
              <w:t>SCA-001</w:t>
            </w:r>
          </w:p>
        </w:tc>
        <w:tc>
          <w:tcPr>
            <w:tcW w:type="dxa" w:w="9360"/>
            <w:vAlign w:val="top"/>
            <w:tcMar>
              <w:top w:w="60" w:type="dxa"/>
              <w:start w:w="60" w:type="dxa"/>
              <w:bottom w:w="60" w:type="dxa"/>
              <w:end w:w="60" w:type="dxa"/>
            </w:tcMar>
          </w:tcPr>
          <w:p>
            <w:pPr>
              <w:spacing w:after="20"/>
            </w:pPr>
            <w:r>
              <w:rPr>
                <w:sz w:val="14"/>
              </w:rPr>
              <w:t>Asset/point hierarchy for electrical, HVAC, AHU, chillers, DG, UPS, transformers, water, RO, STP/ETP, medical gases, fire systems, elevators and selected environmental sensors.</w:t>
            </w:r>
          </w:p>
        </w:tc>
      </w:tr>
      <w:tr>
        <w:tc>
          <w:tcPr>
            <w:tcW w:type="dxa" w:w="1440"/>
            <w:vAlign w:val="top"/>
            <w:tcMar>
              <w:top w:w="60" w:type="dxa"/>
              <w:start w:w="60" w:type="dxa"/>
              <w:bottom w:w="60" w:type="dxa"/>
              <w:end w:w="60" w:type="dxa"/>
            </w:tcMar>
          </w:tcPr>
          <w:p>
            <w:pPr>
              <w:spacing w:after="20"/>
            </w:pPr>
            <w:r>
              <w:rPr>
                <w:sz w:val="14"/>
              </w:rPr>
              <w:t>SCA-002</w:t>
            </w:r>
          </w:p>
        </w:tc>
        <w:tc>
          <w:tcPr>
            <w:tcW w:type="dxa" w:w="9360"/>
            <w:vAlign w:val="top"/>
            <w:tcMar>
              <w:top w:w="60" w:type="dxa"/>
              <w:start w:w="60" w:type="dxa"/>
              <w:bottom w:w="60" w:type="dxa"/>
              <w:end w:w="60" w:type="dxa"/>
            </w:tcMar>
          </w:tcPr>
          <w:p>
            <w:pPr>
              <w:spacing w:after="20"/>
            </w:pPr>
            <w:r>
              <w:rPr>
                <w:sz w:val="14"/>
              </w:rPr>
              <w:t>Protocols/gateways: BACnet, Modbus TCP/RTU, OPC UA, MQTT and vendor API adapters as site requires.</w:t>
            </w:r>
          </w:p>
        </w:tc>
      </w:tr>
      <w:tr>
        <w:tc>
          <w:tcPr>
            <w:tcW w:type="dxa" w:w="1440"/>
            <w:vAlign w:val="top"/>
            <w:tcMar>
              <w:top w:w="60" w:type="dxa"/>
              <w:start w:w="60" w:type="dxa"/>
              <w:bottom w:w="60" w:type="dxa"/>
              <w:end w:w="60" w:type="dxa"/>
            </w:tcMar>
          </w:tcPr>
          <w:p>
            <w:pPr>
              <w:spacing w:after="20"/>
            </w:pPr>
            <w:r>
              <w:rPr>
                <w:sz w:val="14"/>
              </w:rPr>
              <w:t>SCA-003</w:t>
            </w:r>
          </w:p>
        </w:tc>
        <w:tc>
          <w:tcPr>
            <w:tcW w:type="dxa" w:w="9360"/>
            <w:vAlign w:val="top"/>
            <w:tcMar>
              <w:top w:w="60" w:type="dxa"/>
              <w:start w:w="60" w:type="dxa"/>
              <w:bottom w:w="60" w:type="dxa"/>
              <w:end w:w="60" w:type="dxa"/>
            </w:tcMar>
          </w:tcPr>
          <w:p>
            <w:pPr>
              <w:spacing w:after="20"/>
            </w:pPr>
            <w:r>
              <w:rPr>
                <w:sz w:val="14"/>
              </w:rPr>
              <w:t>Real-time trends, historian, alarm/event log, acknowledgment, shelving/suppression governance and escalation.</w:t>
            </w:r>
          </w:p>
        </w:tc>
      </w:tr>
      <w:tr>
        <w:tc>
          <w:tcPr>
            <w:tcW w:type="dxa" w:w="1440"/>
            <w:vAlign w:val="top"/>
            <w:tcMar>
              <w:top w:w="60" w:type="dxa"/>
              <w:start w:w="60" w:type="dxa"/>
              <w:bottom w:w="60" w:type="dxa"/>
              <w:end w:w="60" w:type="dxa"/>
            </w:tcMar>
          </w:tcPr>
          <w:p>
            <w:pPr>
              <w:spacing w:after="20"/>
            </w:pPr>
            <w:r>
              <w:rPr>
                <w:sz w:val="14"/>
              </w:rPr>
              <w:t>SCA-004</w:t>
            </w:r>
          </w:p>
        </w:tc>
        <w:tc>
          <w:tcPr>
            <w:tcW w:type="dxa" w:w="9360"/>
            <w:vAlign w:val="top"/>
            <w:tcMar>
              <w:top w:w="60" w:type="dxa"/>
              <w:start w:w="60" w:type="dxa"/>
              <w:bottom w:w="60" w:type="dxa"/>
              <w:end w:w="60" w:type="dxa"/>
            </w:tcMar>
          </w:tcPr>
          <w:p>
            <w:pPr>
              <w:spacing w:after="20"/>
            </w:pPr>
            <w:r>
              <w:rPr>
                <w:sz w:val="14"/>
              </w:rPr>
              <w:t>OT edge gateway buffers data during WAN outage and publishes normalized telemetry when connected.</w:t>
            </w:r>
          </w:p>
        </w:tc>
      </w:tr>
      <w:tr>
        <w:tc>
          <w:tcPr>
            <w:tcW w:type="dxa" w:w="1440"/>
            <w:vAlign w:val="top"/>
            <w:tcMar>
              <w:top w:w="60" w:type="dxa"/>
              <w:start w:w="60" w:type="dxa"/>
              <w:bottom w:w="60" w:type="dxa"/>
              <w:end w:w="60" w:type="dxa"/>
            </w:tcMar>
          </w:tcPr>
          <w:p>
            <w:pPr>
              <w:spacing w:after="20"/>
            </w:pPr>
            <w:r>
              <w:rPr>
                <w:sz w:val="14"/>
              </w:rPr>
              <w:t>SCA-005</w:t>
            </w:r>
          </w:p>
        </w:tc>
        <w:tc>
          <w:tcPr>
            <w:tcW w:type="dxa" w:w="9360"/>
            <w:vAlign w:val="top"/>
            <w:tcMar>
              <w:top w:w="60" w:type="dxa"/>
              <w:start w:w="60" w:type="dxa"/>
              <w:bottom w:w="60" w:type="dxa"/>
              <w:end w:w="60" w:type="dxa"/>
            </w:tcMar>
          </w:tcPr>
          <w:p>
            <w:pPr>
              <w:spacing w:after="20"/>
            </w:pPr>
            <w:r>
              <w:rPr>
                <w:sz w:val="14"/>
              </w:rPr>
              <w:t>Critical area environment monitoring: OT/ICU/NICU/lab/pharmacy cold areas/server rooms where sensors exist.</w:t>
            </w:r>
          </w:p>
        </w:tc>
      </w:tr>
      <w:tr>
        <w:tc>
          <w:tcPr>
            <w:tcW w:type="dxa" w:w="1440"/>
            <w:vAlign w:val="top"/>
            <w:tcMar>
              <w:top w:w="60" w:type="dxa"/>
              <w:start w:w="60" w:type="dxa"/>
              <w:bottom w:w="60" w:type="dxa"/>
              <w:end w:w="60" w:type="dxa"/>
            </w:tcMar>
          </w:tcPr>
          <w:p>
            <w:pPr>
              <w:spacing w:after="20"/>
            </w:pPr>
            <w:r>
              <w:rPr>
                <w:sz w:val="14"/>
              </w:rPr>
              <w:t>SCA-006</w:t>
            </w:r>
          </w:p>
        </w:tc>
        <w:tc>
          <w:tcPr>
            <w:tcW w:type="dxa" w:w="9360"/>
            <w:vAlign w:val="top"/>
            <w:tcMar>
              <w:top w:w="60" w:type="dxa"/>
              <w:start w:w="60" w:type="dxa"/>
              <w:bottom w:w="60" w:type="dxa"/>
              <w:end w:w="60" w:type="dxa"/>
            </w:tcMar>
          </w:tcPr>
          <w:p>
            <w:pPr>
              <w:spacing w:after="20"/>
            </w:pPr>
            <w:r>
              <w:rPr>
                <w:sz w:val="14"/>
              </w:rPr>
              <w:t>Medical gas pressure/status and manifold/tank alarms with escalation and maintenance workflow.</w:t>
            </w:r>
          </w:p>
        </w:tc>
      </w:tr>
      <w:tr>
        <w:tc>
          <w:tcPr>
            <w:tcW w:type="dxa" w:w="1440"/>
            <w:vAlign w:val="top"/>
            <w:tcMar>
              <w:top w:w="60" w:type="dxa"/>
              <w:start w:w="60" w:type="dxa"/>
              <w:bottom w:w="60" w:type="dxa"/>
              <w:end w:w="60" w:type="dxa"/>
            </w:tcMar>
          </w:tcPr>
          <w:p>
            <w:pPr>
              <w:spacing w:after="20"/>
            </w:pPr>
            <w:r>
              <w:rPr>
                <w:sz w:val="14"/>
              </w:rPr>
              <w:t>SCA-007</w:t>
            </w:r>
          </w:p>
        </w:tc>
        <w:tc>
          <w:tcPr>
            <w:tcW w:type="dxa" w:w="9360"/>
            <w:vAlign w:val="top"/>
            <w:tcMar>
              <w:top w:w="60" w:type="dxa"/>
              <w:start w:w="60" w:type="dxa"/>
              <w:bottom w:w="60" w:type="dxa"/>
              <w:end w:w="60" w:type="dxa"/>
            </w:tcMar>
          </w:tcPr>
          <w:p>
            <w:pPr>
              <w:spacing w:after="20"/>
            </w:pPr>
            <w:r>
              <w:rPr>
                <w:sz w:val="14"/>
              </w:rPr>
              <w:t>Energy metering by facility/floor/department/equipment where meters exist; demand, power factor, DG runtime and energy intensity analytics.</w:t>
            </w:r>
          </w:p>
        </w:tc>
      </w:tr>
      <w:tr>
        <w:tc>
          <w:tcPr>
            <w:tcW w:type="dxa" w:w="1440"/>
            <w:vAlign w:val="top"/>
            <w:tcMar>
              <w:top w:w="60" w:type="dxa"/>
              <w:start w:w="60" w:type="dxa"/>
              <w:bottom w:w="60" w:type="dxa"/>
              <w:end w:w="60" w:type="dxa"/>
            </w:tcMar>
          </w:tcPr>
          <w:p>
            <w:pPr>
              <w:spacing w:after="20"/>
            </w:pPr>
            <w:r>
              <w:rPr>
                <w:sz w:val="14"/>
              </w:rPr>
              <w:t>SCA-008</w:t>
            </w:r>
          </w:p>
        </w:tc>
        <w:tc>
          <w:tcPr>
            <w:tcW w:type="dxa" w:w="9360"/>
            <w:vAlign w:val="top"/>
            <w:tcMar>
              <w:top w:w="60" w:type="dxa"/>
              <w:start w:w="60" w:type="dxa"/>
              <w:bottom w:w="60" w:type="dxa"/>
              <w:end w:w="60" w:type="dxa"/>
            </w:tcMar>
          </w:tcPr>
          <w:p>
            <w:pPr>
              <w:spacing w:after="20"/>
            </w:pPr>
            <w:r>
              <w:rPr>
                <w:sz w:val="14"/>
              </w:rPr>
              <w:t>Water tank, pump, quality and consumption monitoring where instrumentation exists; leakage/anomaly detection.</w:t>
            </w:r>
          </w:p>
        </w:tc>
      </w:tr>
      <w:tr>
        <w:tc>
          <w:tcPr>
            <w:tcW w:type="dxa" w:w="1440"/>
            <w:vAlign w:val="top"/>
            <w:tcMar>
              <w:top w:w="60" w:type="dxa"/>
              <w:start w:w="60" w:type="dxa"/>
              <w:bottom w:w="60" w:type="dxa"/>
              <w:end w:w="60" w:type="dxa"/>
            </w:tcMar>
          </w:tcPr>
          <w:p>
            <w:pPr>
              <w:spacing w:after="20"/>
            </w:pPr>
            <w:r>
              <w:rPr>
                <w:sz w:val="14"/>
              </w:rPr>
              <w:t>SCA-009</w:t>
            </w:r>
          </w:p>
        </w:tc>
        <w:tc>
          <w:tcPr>
            <w:tcW w:type="dxa" w:w="9360"/>
            <w:vAlign w:val="top"/>
            <w:tcMar>
              <w:top w:w="60" w:type="dxa"/>
              <w:start w:w="60" w:type="dxa"/>
              <w:bottom w:w="60" w:type="dxa"/>
              <w:end w:w="60" w:type="dxa"/>
            </w:tcMar>
          </w:tcPr>
          <w:p>
            <w:pPr>
              <w:spacing w:after="20"/>
            </w:pPr>
            <w:r>
              <w:rPr>
                <w:sz w:val="14"/>
              </w:rPr>
              <w:t>Cold-room/refrigerator/freezer telemetry linked to pharmacy/lab inventory excursions.</w:t>
            </w:r>
          </w:p>
        </w:tc>
      </w:tr>
      <w:tr>
        <w:tc>
          <w:tcPr>
            <w:tcW w:type="dxa" w:w="1440"/>
            <w:vAlign w:val="top"/>
            <w:tcMar>
              <w:top w:w="60" w:type="dxa"/>
              <w:start w:w="60" w:type="dxa"/>
              <w:bottom w:w="60" w:type="dxa"/>
              <w:end w:w="60" w:type="dxa"/>
            </w:tcMar>
          </w:tcPr>
          <w:p>
            <w:pPr>
              <w:spacing w:after="20"/>
            </w:pPr>
            <w:r>
              <w:rPr>
                <w:sz w:val="14"/>
              </w:rPr>
              <w:t>SCA-010</w:t>
            </w:r>
          </w:p>
        </w:tc>
        <w:tc>
          <w:tcPr>
            <w:tcW w:type="dxa" w:w="9360"/>
            <w:vAlign w:val="top"/>
            <w:tcMar>
              <w:top w:w="60" w:type="dxa"/>
              <w:start w:w="60" w:type="dxa"/>
              <w:bottom w:w="60" w:type="dxa"/>
              <w:end w:w="60" w:type="dxa"/>
            </w:tcMar>
          </w:tcPr>
          <w:p>
            <w:pPr>
              <w:spacing w:after="20"/>
            </w:pPr>
            <w:r>
              <w:rPr>
                <w:sz w:val="14"/>
              </w:rPr>
              <w:t>Predictive maintenance and anomaly detection use Rust analytics; recommendations are explainable and maintenance-team approved.</w:t>
            </w:r>
          </w:p>
        </w:tc>
      </w:tr>
      <w:tr>
        <w:tc>
          <w:tcPr>
            <w:tcW w:type="dxa" w:w="1440"/>
            <w:vAlign w:val="top"/>
            <w:tcMar>
              <w:top w:w="60" w:type="dxa"/>
              <w:start w:w="60" w:type="dxa"/>
              <w:bottom w:w="60" w:type="dxa"/>
              <w:end w:w="60" w:type="dxa"/>
            </w:tcMar>
          </w:tcPr>
          <w:p>
            <w:pPr>
              <w:spacing w:after="20"/>
            </w:pPr>
            <w:r>
              <w:rPr>
                <w:sz w:val="14"/>
              </w:rPr>
              <w:t>SCA-011</w:t>
            </w:r>
          </w:p>
        </w:tc>
        <w:tc>
          <w:tcPr>
            <w:tcW w:type="dxa" w:w="9360"/>
            <w:vAlign w:val="top"/>
            <w:tcMar>
              <w:top w:w="60" w:type="dxa"/>
              <w:start w:w="60" w:type="dxa"/>
              <w:bottom w:w="60" w:type="dxa"/>
              <w:end w:w="60" w:type="dxa"/>
            </w:tcMar>
          </w:tcPr>
          <w:p>
            <w:pPr>
              <w:spacing w:after="20"/>
            </w:pPr>
            <w:r>
              <w:rPr>
                <w:sz w:val="14"/>
              </w:rPr>
              <w:t>Command-center wallboard unifies bed status, ER load, queues, OT status, critical facility alarms and service SLAs without mixing authorization domains.</w:t>
            </w:r>
          </w:p>
        </w:tc>
      </w:tr>
      <w:tr>
        <w:tc>
          <w:tcPr>
            <w:tcW w:type="dxa" w:w="1440"/>
            <w:vAlign w:val="top"/>
            <w:tcMar>
              <w:top w:w="60" w:type="dxa"/>
              <w:start w:w="60" w:type="dxa"/>
              <w:bottom w:w="60" w:type="dxa"/>
              <w:end w:w="60" w:type="dxa"/>
            </w:tcMar>
          </w:tcPr>
          <w:p>
            <w:pPr>
              <w:spacing w:after="20"/>
            </w:pPr>
            <w:r>
              <w:rPr>
                <w:sz w:val="14"/>
              </w:rPr>
              <w:t>SCA-012</w:t>
            </w:r>
          </w:p>
        </w:tc>
        <w:tc>
          <w:tcPr>
            <w:tcW w:type="dxa" w:w="9360"/>
            <w:vAlign w:val="top"/>
            <w:tcMar>
              <w:top w:w="60" w:type="dxa"/>
              <w:start w:w="60" w:type="dxa"/>
              <w:bottom w:w="60" w:type="dxa"/>
              <w:end w:w="60" w:type="dxa"/>
            </w:tcMar>
          </w:tcPr>
          <w:p>
            <w:pPr>
              <w:spacing w:after="20"/>
            </w:pPr>
            <w:r>
              <w:rPr>
                <w:sz w:val="14"/>
              </w:rPr>
              <w:t>Network segmentation, allow-listed gateway communication, certificate authentication, local override, least privilege and OT audit.</w:t>
            </w:r>
          </w:p>
        </w:tc>
      </w:tr>
    </w:tbl>
    <w:p>
      <w:pPr>
        <w:spacing w:after="20"/>
      </w:pPr>
    </w:p>
    <w:p>
      <w:pPr>
        <w:pStyle w:val="Heading1"/>
      </w:pPr>
      <w:r>
        <w:t>14. Patient Super-App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AF7"/>
            <w:vAlign w:val="center"/>
            <w:tcMar>
              <w:top w:w="60" w:type="dxa"/>
              <w:start w:w="60" w:type="dxa"/>
              <w:bottom w:w="60" w:type="dxa"/>
              <w:end w:w="60" w:type="dxa"/>
            </w:tcMar>
          </w:tcPr>
          <w:p>
            <w:r>
              <w:rPr>
                <w:b/>
                <w:sz w:val="14"/>
              </w:rPr>
              <w:t>ID</w:t>
            </w:r>
          </w:p>
        </w:tc>
        <w:tc>
          <w:tcPr>
            <w:tcW w:type="dxa" w:w="9360"/>
            <w:shd w:fill="D9EAF7"/>
            <w:vAlign w:val="center"/>
            <w:tcMar>
              <w:top w:w="60" w:type="dxa"/>
              <w:start w:w="60" w:type="dxa"/>
              <w:bottom w:w="60" w:type="dxa"/>
              <w:end w:w="60" w:type="dxa"/>
            </w:tcMar>
          </w:tcPr>
          <w:p>
            <w:r>
              <w:rPr>
                <w:b/>
                <w:sz w:val="14"/>
              </w:rPr>
              <w:t>Requirement</w:t>
            </w:r>
          </w:p>
        </w:tc>
      </w:tr>
      <w:tr>
        <w:tc>
          <w:tcPr>
            <w:tcW w:type="dxa" w:w="1440"/>
            <w:vAlign w:val="top"/>
            <w:tcMar>
              <w:top w:w="60" w:type="dxa"/>
              <w:start w:w="60" w:type="dxa"/>
              <w:bottom w:w="60" w:type="dxa"/>
              <w:end w:w="60" w:type="dxa"/>
            </w:tcMar>
          </w:tcPr>
          <w:p>
            <w:pPr>
              <w:spacing w:after="20"/>
            </w:pPr>
            <w:r>
              <w:rPr>
                <w:sz w:val="14"/>
              </w:rPr>
              <w:t>PAT-001</w:t>
            </w:r>
          </w:p>
        </w:tc>
        <w:tc>
          <w:tcPr>
            <w:tcW w:type="dxa" w:w="9360"/>
            <w:vAlign w:val="top"/>
            <w:tcMar>
              <w:top w:w="60" w:type="dxa"/>
              <w:start w:w="60" w:type="dxa"/>
              <w:bottom w:w="60" w:type="dxa"/>
              <w:end w:w="60" w:type="dxa"/>
            </w:tcMar>
          </w:tcPr>
          <w:p>
            <w:pPr>
              <w:spacing w:after="20"/>
            </w:pPr>
            <w:r>
              <w:rPr>
                <w:sz w:val="14"/>
              </w:rPr>
              <w:t>Identity, profile, family/dependent profiles, ABHA linking, consent and communication preferences.</w:t>
            </w:r>
          </w:p>
        </w:tc>
      </w:tr>
      <w:tr>
        <w:tc>
          <w:tcPr>
            <w:tcW w:type="dxa" w:w="1440"/>
            <w:vAlign w:val="top"/>
            <w:tcMar>
              <w:top w:w="60" w:type="dxa"/>
              <w:start w:w="60" w:type="dxa"/>
              <w:bottom w:w="60" w:type="dxa"/>
              <w:end w:w="60" w:type="dxa"/>
            </w:tcMar>
          </w:tcPr>
          <w:p>
            <w:pPr>
              <w:spacing w:after="20"/>
            </w:pPr>
            <w:r>
              <w:rPr>
                <w:sz w:val="14"/>
              </w:rPr>
              <w:t>PAT-002</w:t>
            </w:r>
          </w:p>
        </w:tc>
        <w:tc>
          <w:tcPr>
            <w:tcW w:type="dxa" w:w="9360"/>
            <w:vAlign w:val="top"/>
            <w:tcMar>
              <w:top w:w="60" w:type="dxa"/>
              <w:start w:w="60" w:type="dxa"/>
              <w:bottom w:w="60" w:type="dxa"/>
              <w:end w:w="60" w:type="dxa"/>
            </w:tcMar>
          </w:tcPr>
          <w:p>
            <w:pPr>
              <w:spacing w:after="20"/>
            </w:pPr>
            <w:r>
              <w:rPr>
                <w:sz w:val="14"/>
              </w:rPr>
              <w:t>Hospital discovery, doctor/specialty search, appointment booking/reschedule/cancel and estimated queue.</w:t>
            </w:r>
          </w:p>
        </w:tc>
      </w:tr>
      <w:tr>
        <w:tc>
          <w:tcPr>
            <w:tcW w:type="dxa" w:w="1440"/>
            <w:vAlign w:val="top"/>
            <w:tcMar>
              <w:top w:w="60" w:type="dxa"/>
              <w:start w:w="60" w:type="dxa"/>
              <w:bottom w:w="60" w:type="dxa"/>
              <w:end w:w="60" w:type="dxa"/>
            </w:tcMar>
          </w:tcPr>
          <w:p>
            <w:pPr>
              <w:spacing w:after="20"/>
            </w:pPr>
            <w:r>
              <w:rPr>
                <w:sz w:val="14"/>
              </w:rPr>
              <w:t>PAT-003</w:t>
            </w:r>
          </w:p>
        </w:tc>
        <w:tc>
          <w:tcPr>
            <w:tcW w:type="dxa" w:w="9360"/>
            <w:vAlign w:val="top"/>
            <w:tcMar>
              <w:top w:w="60" w:type="dxa"/>
              <w:start w:w="60" w:type="dxa"/>
              <w:bottom w:w="60" w:type="dxa"/>
              <w:end w:w="60" w:type="dxa"/>
            </w:tcMar>
          </w:tcPr>
          <w:p>
            <w:pPr>
              <w:spacing w:after="20"/>
            </w:pPr>
            <w:r>
              <w:rPr>
                <w:sz w:val="14"/>
              </w:rPr>
              <w:t>Indoor/arrival journey: QR check-in, token, department navigation instructions, pending steps and notifications.</w:t>
            </w:r>
          </w:p>
        </w:tc>
      </w:tr>
      <w:tr>
        <w:tc>
          <w:tcPr>
            <w:tcW w:type="dxa" w:w="1440"/>
            <w:vAlign w:val="top"/>
            <w:tcMar>
              <w:top w:w="60" w:type="dxa"/>
              <w:start w:w="60" w:type="dxa"/>
              <w:bottom w:w="60" w:type="dxa"/>
              <w:end w:w="60" w:type="dxa"/>
            </w:tcMar>
          </w:tcPr>
          <w:p>
            <w:pPr>
              <w:spacing w:after="20"/>
            </w:pPr>
            <w:r>
              <w:rPr>
                <w:sz w:val="14"/>
              </w:rPr>
              <w:t>PAT-004</w:t>
            </w:r>
          </w:p>
        </w:tc>
        <w:tc>
          <w:tcPr>
            <w:tcW w:type="dxa" w:w="9360"/>
            <w:vAlign w:val="top"/>
            <w:tcMar>
              <w:top w:w="60" w:type="dxa"/>
              <w:start w:w="60" w:type="dxa"/>
              <w:bottom w:w="60" w:type="dxa"/>
              <w:end w:w="60" w:type="dxa"/>
            </w:tcMar>
          </w:tcPr>
          <w:p>
            <w:pPr>
              <w:spacing w:after="20"/>
            </w:pPr>
            <w:r>
              <w:rPr>
                <w:sz w:val="14"/>
              </w:rPr>
              <w:t>Visit timeline: consultation completed, orders, sample status, radiology status, pharmacy readiness, billing/insurance status and next action.</w:t>
            </w:r>
          </w:p>
        </w:tc>
      </w:tr>
      <w:tr>
        <w:tc>
          <w:tcPr>
            <w:tcW w:type="dxa" w:w="1440"/>
            <w:vAlign w:val="top"/>
            <w:tcMar>
              <w:top w:w="60" w:type="dxa"/>
              <w:start w:w="60" w:type="dxa"/>
              <w:bottom w:w="60" w:type="dxa"/>
              <w:end w:w="60" w:type="dxa"/>
            </w:tcMar>
          </w:tcPr>
          <w:p>
            <w:pPr>
              <w:spacing w:after="20"/>
            </w:pPr>
            <w:r>
              <w:rPr>
                <w:sz w:val="14"/>
              </w:rPr>
              <w:t>PAT-005</w:t>
            </w:r>
          </w:p>
        </w:tc>
        <w:tc>
          <w:tcPr>
            <w:tcW w:type="dxa" w:w="9360"/>
            <w:vAlign w:val="top"/>
            <w:tcMar>
              <w:top w:w="60" w:type="dxa"/>
              <w:start w:w="60" w:type="dxa"/>
              <w:bottom w:w="60" w:type="dxa"/>
              <w:end w:w="60" w:type="dxa"/>
            </w:tcMar>
          </w:tcPr>
          <w:p>
            <w:pPr>
              <w:spacing w:after="20"/>
            </w:pPr>
            <w:r>
              <w:rPr>
                <w:sz w:val="14"/>
              </w:rPr>
              <w:t>Prescriptions and medication list with fulfilment options: hospital pharmacy, partner pharmacy or eligible delivery.</w:t>
            </w:r>
          </w:p>
        </w:tc>
      </w:tr>
      <w:tr>
        <w:tc>
          <w:tcPr>
            <w:tcW w:type="dxa" w:w="1440"/>
            <w:vAlign w:val="top"/>
            <w:tcMar>
              <w:top w:w="60" w:type="dxa"/>
              <w:start w:w="60" w:type="dxa"/>
              <w:bottom w:w="60" w:type="dxa"/>
              <w:end w:w="60" w:type="dxa"/>
            </w:tcMar>
          </w:tcPr>
          <w:p>
            <w:pPr>
              <w:spacing w:after="20"/>
            </w:pPr>
            <w:r>
              <w:rPr>
                <w:sz w:val="14"/>
              </w:rPr>
              <w:t>PAT-006</w:t>
            </w:r>
          </w:p>
        </w:tc>
        <w:tc>
          <w:tcPr>
            <w:tcW w:type="dxa" w:w="9360"/>
            <w:vAlign w:val="top"/>
            <w:tcMar>
              <w:top w:w="60" w:type="dxa"/>
              <w:start w:w="60" w:type="dxa"/>
              <w:bottom w:w="60" w:type="dxa"/>
              <w:end w:w="60" w:type="dxa"/>
            </w:tcMar>
          </w:tcPr>
          <w:p>
            <w:pPr>
              <w:spacing w:after="20"/>
            </w:pPr>
            <w:r>
              <w:rPr>
                <w:sz w:val="14"/>
              </w:rPr>
              <w:t>Diagnostic ordering from doctor order or consumer catalog, slot booking, home collection, preparation and report.</w:t>
            </w:r>
          </w:p>
        </w:tc>
      </w:tr>
      <w:tr>
        <w:tc>
          <w:tcPr>
            <w:tcW w:type="dxa" w:w="1440"/>
            <w:vAlign w:val="top"/>
            <w:tcMar>
              <w:top w:w="60" w:type="dxa"/>
              <w:start w:w="60" w:type="dxa"/>
              <w:bottom w:w="60" w:type="dxa"/>
              <w:end w:w="60" w:type="dxa"/>
            </w:tcMar>
          </w:tcPr>
          <w:p>
            <w:pPr>
              <w:spacing w:after="20"/>
            </w:pPr>
            <w:r>
              <w:rPr>
                <w:sz w:val="14"/>
              </w:rPr>
              <w:t>PAT-007</w:t>
            </w:r>
          </w:p>
        </w:tc>
        <w:tc>
          <w:tcPr>
            <w:tcW w:type="dxa" w:w="9360"/>
            <w:vAlign w:val="top"/>
            <w:tcMar>
              <w:top w:w="60" w:type="dxa"/>
              <w:start w:w="60" w:type="dxa"/>
              <w:bottom w:w="60" w:type="dxa"/>
              <w:end w:w="60" w:type="dxa"/>
            </w:tcMar>
          </w:tcPr>
          <w:p>
            <w:pPr>
              <w:spacing w:after="20"/>
            </w:pPr>
            <w:r>
              <w:rPr>
                <w:sz w:val="14"/>
              </w:rPr>
              <w:t>Bills, estimates, payments, refunds, wallet/credits if enabled and downloadable invoices.</w:t>
            </w:r>
          </w:p>
        </w:tc>
      </w:tr>
      <w:tr>
        <w:tc>
          <w:tcPr>
            <w:tcW w:type="dxa" w:w="1440"/>
            <w:vAlign w:val="top"/>
            <w:tcMar>
              <w:top w:w="60" w:type="dxa"/>
              <w:start w:w="60" w:type="dxa"/>
              <w:bottom w:w="60" w:type="dxa"/>
              <w:end w:w="60" w:type="dxa"/>
            </w:tcMar>
          </w:tcPr>
          <w:p>
            <w:pPr>
              <w:spacing w:after="20"/>
            </w:pPr>
            <w:r>
              <w:rPr>
                <w:sz w:val="14"/>
              </w:rPr>
              <w:t>PAT-008</w:t>
            </w:r>
          </w:p>
        </w:tc>
        <w:tc>
          <w:tcPr>
            <w:tcW w:type="dxa" w:w="9360"/>
            <w:vAlign w:val="top"/>
            <w:tcMar>
              <w:top w:w="60" w:type="dxa"/>
              <w:start w:w="60" w:type="dxa"/>
              <w:bottom w:w="60" w:type="dxa"/>
              <w:end w:w="60" w:type="dxa"/>
            </w:tcMar>
          </w:tcPr>
          <w:p>
            <w:pPr>
              <w:spacing w:after="20"/>
            </w:pPr>
            <w:r>
              <w:rPr>
                <w:sz w:val="14"/>
              </w:rPr>
              <w:t>Insurance: policy profile, eligibility, pre-auth/claim status, required documents, settlement and patient payable.</w:t>
            </w:r>
          </w:p>
        </w:tc>
      </w:tr>
      <w:tr>
        <w:tc>
          <w:tcPr>
            <w:tcW w:type="dxa" w:w="1440"/>
            <w:vAlign w:val="top"/>
            <w:tcMar>
              <w:top w:w="60" w:type="dxa"/>
              <w:start w:w="60" w:type="dxa"/>
              <w:bottom w:w="60" w:type="dxa"/>
              <w:end w:w="60" w:type="dxa"/>
            </w:tcMar>
          </w:tcPr>
          <w:p>
            <w:pPr>
              <w:spacing w:after="20"/>
            </w:pPr>
            <w:r>
              <w:rPr>
                <w:sz w:val="14"/>
              </w:rPr>
              <w:t>PAT-009</w:t>
            </w:r>
          </w:p>
        </w:tc>
        <w:tc>
          <w:tcPr>
            <w:tcW w:type="dxa" w:w="9360"/>
            <w:vAlign w:val="top"/>
            <w:tcMar>
              <w:top w:w="60" w:type="dxa"/>
              <w:start w:w="60" w:type="dxa"/>
              <w:bottom w:w="60" w:type="dxa"/>
              <w:end w:w="60" w:type="dxa"/>
            </w:tcMar>
          </w:tcPr>
          <w:p>
            <w:pPr>
              <w:spacing w:after="20"/>
            </w:pPr>
            <w:r>
              <w:rPr>
                <w:sz w:val="14"/>
              </w:rPr>
              <w:t>Personal health records: visit summaries, discharge, lab trends, imaging reports/links, prescriptions, vaccinations and documents.</w:t>
            </w:r>
          </w:p>
        </w:tc>
      </w:tr>
      <w:tr>
        <w:tc>
          <w:tcPr>
            <w:tcW w:type="dxa" w:w="1440"/>
            <w:vAlign w:val="top"/>
            <w:tcMar>
              <w:top w:w="60" w:type="dxa"/>
              <w:start w:w="60" w:type="dxa"/>
              <w:bottom w:w="60" w:type="dxa"/>
              <w:end w:w="60" w:type="dxa"/>
            </w:tcMar>
          </w:tcPr>
          <w:p>
            <w:pPr>
              <w:spacing w:after="20"/>
            </w:pPr>
            <w:r>
              <w:rPr>
                <w:sz w:val="14"/>
              </w:rPr>
              <w:t>PAT-010</w:t>
            </w:r>
          </w:p>
        </w:tc>
        <w:tc>
          <w:tcPr>
            <w:tcW w:type="dxa" w:w="9360"/>
            <w:vAlign w:val="top"/>
            <w:tcMar>
              <w:top w:w="60" w:type="dxa"/>
              <w:start w:w="60" w:type="dxa"/>
              <w:bottom w:w="60" w:type="dxa"/>
              <w:end w:w="60" w:type="dxa"/>
            </w:tcMar>
          </w:tcPr>
          <w:p>
            <w:pPr>
              <w:spacing w:after="20"/>
            </w:pPr>
            <w:r>
              <w:rPr>
                <w:sz w:val="14"/>
              </w:rPr>
              <w:t>Post-discharge care plan, medication reminders, follow-up, home nursing/therapy where offered and remote-monitoring tasks.</w:t>
            </w:r>
          </w:p>
        </w:tc>
      </w:tr>
      <w:tr>
        <w:tc>
          <w:tcPr>
            <w:tcW w:type="dxa" w:w="1440"/>
            <w:vAlign w:val="top"/>
            <w:tcMar>
              <w:top w:w="60" w:type="dxa"/>
              <w:start w:w="60" w:type="dxa"/>
              <w:bottom w:w="60" w:type="dxa"/>
              <w:end w:w="60" w:type="dxa"/>
            </w:tcMar>
          </w:tcPr>
          <w:p>
            <w:pPr>
              <w:spacing w:after="20"/>
            </w:pPr>
            <w:r>
              <w:rPr>
                <w:sz w:val="14"/>
              </w:rPr>
              <w:t>PAT-011</w:t>
            </w:r>
          </w:p>
        </w:tc>
        <w:tc>
          <w:tcPr>
            <w:tcW w:type="dxa" w:w="9360"/>
            <w:vAlign w:val="top"/>
            <w:tcMar>
              <w:top w:w="60" w:type="dxa"/>
              <w:start w:w="60" w:type="dxa"/>
              <w:bottom w:w="60" w:type="dxa"/>
              <w:end w:w="60" w:type="dxa"/>
            </w:tcMar>
          </w:tcPr>
          <w:p>
            <w:pPr>
              <w:spacing w:after="20"/>
            </w:pPr>
            <w:r>
              <w:rPr>
                <w:sz w:val="14"/>
              </w:rPr>
              <w:t>Teleconsultation, secure messaging/task replies where configured, escalation and emergency disclaimers.</w:t>
            </w:r>
          </w:p>
        </w:tc>
      </w:tr>
      <w:tr>
        <w:tc>
          <w:tcPr>
            <w:tcW w:type="dxa" w:w="1440"/>
            <w:vAlign w:val="top"/>
            <w:tcMar>
              <w:top w:w="60" w:type="dxa"/>
              <w:start w:w="60" w:type="dxa"/>
              <w:bottom w:w="60" w:type="dxa"/>
              <w:end w:w="60" w:type="dxa"/>
            </w:tcMar>
          </w:tcPr>
          <w:p>
            <w:pPr>
              <w:spacing w:after="20"/>
            </w:pPr>
            <w:r>
              <w:rPr>
                <w:sz w:val="14"/>
              </w:rPr>
              <w:t>PAT-012</w:t>
            </w:r>
          </w:p>
        </w:tc>
        <w:tc>
          <w:tcPr>
            <w:tcW w:type="dxa" w:w="9360"/>
            <w:vAlign w:val="top"/>
            <w:tcMar>
              <w:top w:w="60" w:type="dxa"/>
              <w:start w:w="60" w:type="dxa"/>
              <w:bottom w:w="60" w:type="dxa"/>
              <w:end w:w="60" w:type="dxa"/>
            </w:tcMar>
          </w:tcPr>
          <w:p>
            <w:pPr>
              <w:spacing w:after="20"/>
            </w:pPr>
            <w:r>
              <w:rPr>
                <w:sz w:val="14"/>
              </w:rPr>
              <w:t>Delivery tracking for medicine/diagnostic kits/approved health products; OTP/POD and support.</w:t>
            </w:r>
          </w:p>
        </w:tc>
      </w:tr>
      <w:tr>
        <w:tc>
          <w:tcPr>
            <w:tcW w:type="dxa" w:w="1440"/>
            <w:vAlign w:val="top"/>
            <w:tcMar>
              <w:top w:w="60" w:type="dxa"/>
              <w:start w:w="60" w:type="dxa"/>
              <w:bottom w:w="60" w:type="dxa"/>
              <w:end w:w="60" w:type="dxa"/>
            </w:tcMar>
          </w:tcPr>
          <w:p>
            <w:pPr>
              <w:spacing w:after="20"/>
            </w:pPr>
            <w:r>
              <w:rPr>
                <w:sz w:val="14"/>
              </w:rPr>
              <w:t>PAT-013</w:t>
            </w:r>
          </w:p>
        </w:tc>
        <w:tc>
          <w:tcPr>
            <w:tcW w:type="dxa" w:w="9360"/>
            <w:vAlign w:val="top"/>
            <w:tcMar>
              <w:top w:w="60" w:type="dxa"/>
              <w:start w:w="60" w:type="dxa"/>
              <w:bottom w:w="60" w:type="dxa"/>
              <w:end w:w="60" w:type="dxa"/>
            </w:tcMar>
          </w:tcPr>
          <w:p>
            <w:pPr>
              <w:spacing w:after="20"/>
            </w:pPr>
            <w:r>
              <w:rPr>
                <w:sz w:val="14"/>
              </w:rPr>
              <w:t>Privacy center: purposes, consent history, sharing, data requests, grievance/contact and device/session management.</w:t>
            </w:r>
          </w:p>
        </w:tc>
      </w:tr>
      <w:tr>
        <w:tc>
          <w:tcPr>
            <w:tcW w:type="dxa" w:w="1440"/>
            <w:vAlign w:val="top"/>
            <w:tcMar>
              <w:top w:w="60" w:type="dxa"/>
              <w:start w:w="60" w:type="dxa"/>
              <w:bottom w:w="60" w:type="dxa"/>
              <w:end w:w="60" w:type="dxa"/>
            </w:tcMar>
          </w:tcPr>
          <w:p>
            <w:pPr>
              <w:spacing w:after="20"/>
            </w:pPr>
            <w:r>
              <w:rPr>
                <w:sz w:val="14"/>
              </w:rPr>
              <w:t>PAT-014</w:t>
            </w:r>
          </w:p>
        </w:tc>
        <w:tc>
          <w:tcPr>
            <w:tcW w:type="dxa" w:w="9360"/>
            <w:vAlign w:val="top"/>
            <w:tcMar>
              <w:top w:w="60" w:type="dxa"/>
              <w:start w:w="60" w:type="dxa"/>
              <w:bottom w:w="60" w:type="dxa"/>
              <w:end w:w="60" w:type="dxa"/>
            </w:tcMar>
          </w:tcPr>
          <w:p>
            <w:pPr>
              <w:spacing w:after="20"/>
            </w:pPr>
            <w:r>
              <w:rPr>
                <w:sz w:val="14"/>
              </w:rPr>
              <w:t>Accessibility, multilingual UI, large text, caregiver mode and low-bandwidth experience.</w:t>
            </w:r>
          </w:p>
        </w:tc>
      </w:tr>
    </w:tbl>
    <w:p>
      <w:pPr>
        <w:spacing w:after="20"/>
      </w:pPr>
    </w:p>
    <w:p>
      <w:pPr>
        <w:pStyle w:val="Heading1"/>
      </w:pPr>
      <w:r>
        <w:t>15. Svelte/SvelteKit Web Application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AF7"/>
            <w:vAlign w:val="center"/>
            <w:tcMar>
              <w:top w:w="60" w:type="dxa"/>
              <w:start w:w="60" w:type="dxa"/>
              <w:bottom w:w="60" w:type="dxa"/>
              <w:end w:w="60" w:type="dxa"/>
            </w:tcMar>
          </w:tcPr>
          <w:p>
            <w:r>
              <w:rPr>
                <w:b/>
                <w:sz w:val="14"/>
              </w:rPr>
              <w:t>ID</w:t>
            </w:r>
          </w:p>
        </w:tc>
        <w:tc>
          <w:tcPr>
            <w:tcW w:type="dxa" w:w="9360"/>
            <w:shd w:fill="D9EAF7"/>
            <w:vAlign w:val="center"/>
            <w:tcMar>
              <w:top w:w="60" w:type="dxa"/>
              <w:start w:w="60" w:type="dxa"/>
              <w:bottom w:w="60" w:type="dxa"/>
              <w:end w:w="60" w:type="dxa"/>
            </w:tcMar>
          </w:tcPr>
          <w:p>
            <w:r>
              <w:rPr>
                <w:b/>
                <w:sz w:val="14"/>
              </w:rPr>
              <w:t>Requirement</w:t>
            </w:r>
          </w:p>
        </w:tc>
      </w:tr>
      <w:tr>
        <w:tc>
          <w:tcPr>
            <w:tcW w:type="dxa" w:w="1440"/>
            <w:vAlign w:val="top"/>
            <w:tcMar>
              <w:top w:w="60" w:type="dxa"/>
              <w:start w:w="60" w:type="dxa"/>
              <w:bottom w:w="60" w:type="dxa"/>
              <w:end w:w="60" w:type="dxa"/>
            </w:tcMar>
          </w:tcPr>
          <w:p>
            <w:pPr>
              <w:spacing w:after="20"/>
            </w:pPr>
            <w:r>
              <w:rPr>
                <w:sz w:val="14"/>
              </w:rPr>
              <w:t>WEB-001</w:t>
            </w:r>
          </w:p>
        </w:tc>
        <w:tc>
          <w:tcPr>
            <w:tcW w:type="dxa" w:w="9360"/>
            <w:vAlign w:val="top"/>
            <w:tcMar>
              <w:top w:w="60" w:type="dxa"/>
              <w:start w:w="60" w:type="dxa"/>
              <w:bottom w:w="60" w:type="dxa"/>
              <w:end w:w="60" w:type="dxa"/>
            </w:tcMar>
          </w:tcPr>
          <w:p>
            <w:pPr>
              <w:spacing w:after="20"/>
            </w:pPr>
            <w:r>
              <w:rPr>
                <w:sz w:val="14"/>
              </w:rPr>
              <w:t>All browser-based products implemented using Svelte + SvelteKit + TypeScript.</w:t>
            </w:r>
          </w:p>
        </w:tc>
      </w:tr>
      <w:tr>
        <w:tc>
          <w:tcPr>
            <w:tcW w:type="dxa" w:w="1440"/>
            <w:vAlign w:val="top"/>
            <w:tcMar>
              <w:top w:w="60" w:type="dxa"/>
              <w:start w:w="60" w:type="dxa"/>
              <w:bottom w:w="60" w:type="dxa"/>
              <w:end w:w="60" w:type="dxa"/>
            </w:tcMar>
          </w:tcPr>
          <w:p>
            <w:pPr>
              <w:spacing w:after="20"/>
            </w:pPr>
            <w:r>
              <w:rPr>
                <w:sz w:val="14"/>
              </w:rPr>
              <w:t>WEB-002</w:t>
            </w:r>
          </w:p>
        </w:tc>
        <w:tc>
          <w:tcPr>
            <w:tcW w:type="dxa" w:w="9360"/>
            <w:vAlign w:val="top"/>
            <w:tcMar>
              <w:top w:w="60" w:type="dxa"/>
              <w:start w:w="60" w:type="dxa"/>
              <w:bottom w:w="60" w:type="dxa"/>
              <w:end w:w="60" w:type="dxa"/>
            </w:tcMar>
          </w:tcPr>
          <w:p>
            <w:pPr>
              <w:spacing w:after="20"/>
            </w:pPr>
            <w:r>
              <w:rPr>
                <w:sz w:val="14"/>
              </w:rPr>
              <w:t>Workspace shell with tenant/facility context, universal search, task inbox, notifications, quick actions and role-aware navigation.</w:t>
            </w:r>
          </w:p>
        </w:tc>
      </w:tr>
      <w:tr>
        <w:tc>
          <w:tcPr>
            <w:tcW w:type="dxa" w:w="1440"/>
            <w:vAlign w:val="top"/>
            <w:tcMar>
              <w:top w:w="60" w:type="dxa"/>
              <w:start w:w="60" w:type="dxa"/>
              <w:bottom w:w="60" w:type="dxa"/>
              <w:end w:w="60" w:type="dxa"/>
            </w:tcMar>
          </w:tcPr>
          <w:p>
            <w:pPr>
              <w:spacing w:after="20"/>
            </w:pPr>
            <w:r>
              <w:rPr>
                <w:sz w:val="14"/>
              </w:rPr>
              <w:t>WEB-003</w:t>
            </w:r>
          </w:p>
        </w:tc>
        <w:tc>
          <w:tcPr>
            <w:tcW w:type="dxa" w:w="9360"/>
            <w:vAlign w:val="top"/>
            <w:tcMar>
              <w:top w:w="60" w:type="dxa"/>
              <w:start w:w="60" w:type="dxa"/>
              <w:bottom w:w="60" w:type="dxa"/>
              <w:end w:w="60" w:type="dxa"/>
            </w:tcMar>
          </w:tcPr>
          <w:p>
            <w:pPr>
              <w:spacing w:after="20"/>
            </w:pPr>
            <w:r>
              <w:rPr>
                <w:sz w:val="14"/>
              </w:rPr>
              <w:t>Domain route groups: /clinical, /adt, /billing, /pharmacy, /pharma-network, /diagnostics, /insurance, /hr, /materials, /scada, /analytics, /admin.</w:t>
            </w:r>
          </w:p>
        </w:tc>
      </w:tr>
      <w:tr>
        <w:tc>
          <w:tcPr>
            <w:tcW w:type="dxa" w:w="1440"/>
            <w:vAlign w:val="top"/>
            <w:tcMar>
              <w:top w:w="60" w:type="dxa"/>
              <w:start w:w="60" w:type="dxa"/>
              <w:bottom w:w="60" w:type="dxa"/>
              <w:end w:w="60" w:type="dxa"/>
            </w:tcMar>
          </w:tcPr>
          <w:p>
            <w:pPr>
              <w:spacing w:after="20"/>
            </w:pPr>
            <w:r>
              <w:rPr>
                <w:sz w:val="14"/>
              </w:rPr>
              <w:t>WEB-004</w:t>
            </w:r>
          </w:p>
        </w:tc>
        <w:tc>
          <w:tcPr>
            <w:tcW w:type="dxa" w:w="9360"/>
            <w:vAlign w:val="top"/>
            <w:tcMar>
              <w:top w:w="60" w:type="dxa"/>
              <w:start w:w="60" w:type="dxa"/>
              <w:bottom w:w="60" w:type="dxa"/>
              <w:end w:w="60" w:type="dxa"/>
            </w:tcMar>
          </w:tcPr>
          <w:p>
            <w:pPr>
              <w:spacing w:after="20"/>
            </w:pPr>
            <w:r>
              <w:rPr>
                <w:sz w:val="14"/>
              </w:rPr>
              <w:t>Generated TypeScript clients from Protobuf/ConnectRPC contracts; no handwritten duplicate DTO model unless external adapter requires it.</w:t>
            </w:r>
          </w:p>
        </w:tc>
      </w:tr>
      <w:tr>
        <w:tc>
          <w:tcPr>
            <w:tcW w:type="dxa" w:w="1440"/>
            <w:vAlign w:val="top"/>
            <w:tcMar>
              <w:top w:w="60" w:type="dxa"/>
              <w:start w:w="60" w:type="dxa"/>
              <w:bottom w:w="60" w:type="dxa"/>
              <w:end w:w="60" w:type="dxa"/>
            </w:tcMar>
          </w:tcPr>
          <w:p>
            <w:pPr>
              <w:spacing w:after="20"/>
            </w:pPr>
            <w:r>
              <w:rPr>
                <w:sz w:val="14"/>
              </w:rPr>
              <w:t>WEB-005</w:t>
            </w:r>
          </w:p>
        </w:tc>
        <w:tc>
          <w:tcPr>
            <w:tcW w:type="dxa" w:w="9360"/>
            <w:vAlign w:val="top"/>
            <w:tcMar>
              <w:top w:w="60" w:type="dxa"/>
              <w:start w:w="60" w:type="dxa"/>
              <w:bottom w:w="60" w:type="dxa"/>
              <w:end w:w="60" w:type="dxa"/>
            </w:tcMar>
          </w:tcPr>
          <w:p>
            <w:pPr>
              <w:spacing w:after="20"/>
            </w:pPr>
            <w:r>
              <w:rPr>
                <w:sz w:val="14"/>
              </w:rPr>
              <w:t>Shared design system: typography, tokens, forms, data grids, command palette, dialogs, timeline, clinical tables, status badges and accessibility primitives.</w:t>
            </w:r>
          </w:p>
        </w:tc>
      </w:tr>
      <w:tr>
        <w:tc>
          <w:tcPr>
            <w:tcW w:type="dxa" w:w="1440"/>
            <w:vAlign w:val="top"/>
            <w:tcMar>
              <w:top w:w="60" w:type="dxa"/>
              <w:start w:w="60" w:type="dxa"/>
              <w:bottom w:w="60" w:type="dxa"/>
              <w:end w:w="60" w:type="dxa"/>
            </w:tcMar>
          </w:tcPr>
          <w:p>
            <w:pPr>
              <w:spacing w:after="20"/>
            </w:pPr>
            <w:r>
              <w:rPr>
                <w:sz w:val="14"/>
              </w:rPr>
              <w:t>WEB-006</w:t>
            </w:r>
          </w:p>
        </w:tc>
        <w:tc>
          <w:tcPr>
            <w:tcW w:type="dxa" w:w="9360"/>
            <w:vAlign w:val="top"/>
            <w:tcMar>
              <w:top w:w="60" w:type="dxa"/>
              <w:start w:w="60" w:type="dxa"/>
              <w:bottom w:w="60" w:type="dxa"/>
              <w:end w:w="60" w:type="dxa"/>
            </w:tcMar>
          </w:tcPr>
          <w:p>
            <w:pPr>
              <w:spacing w:after="20"/>
            </w:pPr>
            <w:r>
              <w:rPr>
                <w:sz w:val="14"/>
              </w:rPr>
              <w:t>Server-side rendering only where it improves first load/public pages; authenticated operational screens may use client navigation with secure server/session boundaries.</w:t>
            </w:r>
          </w:p>
        </w:tc>
      </w:tr>
      <w:tr>
        <w:tc>
          <w:tcPr>
            <w:tcW w:type="dxa" w:w="1440"/>
            <w:vAlign w:val="top"/>
            <w:tcMar>
              <w:top w:w="60" w:type="dxa"/>
              <w:start w:w="60" w:type="dxa"/>
              <w:bottom w:w="60" w:type="dxa"/>
              <w:end w:w="60" w:type="dxa"/>
            </w:tcMar>
          </w:tcPr>
          <w:p>
            <w:pPr>
              <w:spacing w:after="20"/>
            </w:pPr>
            <w:r>
              <w:rPr>
                <w:sz w:val="14"/>
              </w:rPr>
              <w:t>WEB-007</w:t>
            </w:r>
          </w:p>
        </w:tc>
        <w:tc>
          <w:tcPr>
            <w:tcW w:type="dxa" w:w="9360"/>
            <w:vAlign w:val="top"/>
            <w:tcMar>
              <w:top w:w="60" w:type="dxa"/>
              <w:start w:w="60" w:type="dxa"/>
              <w:bottom w:w="60" w:type="dxa"/>
              <w:end w:w="60" w:type="dxa"/>
            </w:tcMar>
          </w:tcPr>
          <w:p>
            <w:pPr>
              <w:spacing w:after="20"/>
            </w:pPr>
            <w:r>
              <w:rPr>
                <w:sz w:val="14"/>
              </w:rPr>
              <w:t>Route and component authorization for UX, but backend policy remains authoritative.</w:t>
            </w:r>
          </w:p>
        </w:tc>
      </w:tr>
      <w:tr>
        <w:tc>
          <w:tcPr>
            <w:tcW w:type="dxa" w:w="1440"/>
            <w:vAlign w:val="top"/>
            <w:tcMar>
              <w:top w:w="60" w:type="dxa"/>
              <w:start w:w="60" w:type="dxa"/>
              <w:bottom w:w="60" w:type="dxa"/>
              <w:end w:w="60" w:type="dxa"/>
            </w:tcMar>
          </w:tcPr>
          <w:p>
            <w:pPr>
              <w:spacing w:after="20"/>
            </w:pPr>
            <w:r>
              <w:rPr>
                <w:sz w:val="14"/>
              </w:rPr>
              <w:t>WEB-008</w:t>
            </w:r>
          </w:p>
        </w:tc>
        <w:tc>
          <w:tcPr>
            <w:tcW w:type="dxa" w:w="9360"/>
            <w:vAlign w:val="top"/>
            <w:tcMar>
              <w:top w:w="60" w:type="dxa"/>
              <w:start w:w="60" w:type="dxa"/>
              <w:bottom w:w="60" w:type="dxa"/>
              <w:end w:w="60" w:type="dxa"/>
            </w:tcMar>
          </w:tcPr>
          <w:p>
            <w:pPr>
              <w:spacing w:after="20"/>
            </w:pPr>
            <w:r>
              <w:rPr>
                <w:sz w:val="14"/>
              </w:rPr>
              <w:t>Large worklists use virtualized tables, server pagination/filter/sort, saved views and export jobs rather than loading complete datasets.</w:t>
            </w:r>
          </w:p>
        </w:tc>
      </w:tr>
      <w:tr>
        <w:tc>
          <w:tcPr>
            <w:tcW w:type="dxa" w:w="1440"/>
            <w:vAlign w:val="top"/>
            <w:tcMar>
              <w:top w:w="60" w:type="dxa"/>
              <w:start w:w="60" w:type="dxa"/>
              <w:bottom w:w="60" w:type="dxa"/>
              <w:end w:w="60" w:type="dxa"/>
            </w:tcMar>
          </w:tcPr>
          <w:p>
            <w:pPr>
              <w:spacing w:after="20"/>
            </w:pPr>
            <w:r>
              <w:rPr>
                <w:sz w:val="14"/>
              </w:rPr>
              <w:t>WEB-009</w:t>
            </w:r>
          </w:p>
        </w:tc>
        <w:tc>
          <w:tcPr>
            <w:tcW w:type="dxa" w:w="9360"/>
            <w:vAlign w:val="top"/>
            <w:tcMar>
              <w:top w:w="60" w:type="dxa"/>
              <w:start w:w="60" w:type="dxa"/>
              <w:bottom w:w="60" w:type="dxa"/>
              <w:end w:w="60" w:type="dxa"/>
            </w:tcMar>
          </w:tcPr>
          <w:p>
            <w:pPr>
              <w:spacing w:after="20"/>
            </w:pPr>
            <w:r>
              <w:rPr>
                <w:sz w:val="14"/>
              </w:rPr>
              <w:t>Form engine renders versioned clinical/administrative schema definitions and preserves entered values against the exact template version.</w:t>
            </w:r>
          </w:p>
        </w:tc>
      </w:tr>
      <w:tr>
        <w:tc>
          <w:tcPr>
            <w:tcW w:type="dxa" w:w="1440"/>
            <w:vAlign w:val="top"/>
            <w:tcMar>
              <w:top w:w="60" w:type="dxa"/>
              <w:start w:w="60" w:type="dxa"/>
              <w:bottom w:w="60" w:type="dxa"/>
              <w:end w:w="60" w:type="dxa"/>
            </w:tcMar>
          </w:tcPr>
          <w:p>
            <w:pPr>
              <w:spacing w:after="20"/>
            </w:pPr>
            <w:r>
              <w:rPr>
                <w:sz w:val="14"/>
              </w:rPr>
              <w:t>WEB-010</w:t>
            </w:r>
          </w:p>
        </w:tc>
        <w:tc>
          <w:tcPr>
            <w:tcW w:type="dxa" w:w="9360"/>
            <w:vAlign w:val="top"/>
            <w:tcMar>
              <w:top w:w="60" w:type="dxa"/>
              <w:start w:w="60" w:type="dxa"/>
              <w:bottom w:w="60" w:type="dxa"/>
              <w:end w:w="60" w:type="dxa"/>
            </w:tcMar>
          </w:tcPr>
          <w:p>
            <w:pPr>
              <w:spacing w:after="20"/>
            </w:pPr>
            <w:r>
              <w:rPr>
                <w:sz w:val="14"/>
              </w:rPr>
              <w:t>PWA/offline support selectively for workflows that need it; deterministic reconciliation and user-visible conflict handling.</w:t>
            </w:r>
          </w:p>
        </w:tc>
      </w:tr>
      <w:tr>
        <w:tc>
          <w:tcPr>
            <w:tcW w:type="dxa" w:w="1440"/>
            <w:vAlign w:val="top"/>
            <w:tcMar>
              <w:top w:w="60" w:type="dxa"/>
              <w:start w:w="60" w:type="dxa"/>
              <w:bottom w:w="60" w:type="dxa"/>
              <w:end w:w="60" w:type="dxa"/>
            </w:tcMar>
          </w:tcPr>
          <w:p>
            <w:pPr>
              <w:spacing w:after="20"/>
            </w:pPr>
            <w:r>
              <w:rPr>
                <w:sz w:val="14"/>
              </w:rPr>
              <w:t>WEB-011</w:t>
            </w:r>
          </w:p>
        </w:tc>
        <w:tc>
          <w:tcPr>
            <w:tcW w:type="dxa" w:w="9360"/>
            <w:vAlign w:val="top"/>
            <w:tcMar>
              <w:top w:w="60" w:type="dxa"/>
              <w:start w:w="60" w:type="dxa"/>
              <w:bottom w:w="60" w:type="dxa"/>
              <w:end w:w="60" w:type="dxa"/>
            </w:tcMar>
          </w:tcPr>
          <w:p>
            <w:pPr>
              <w:spacing w:after="20"/>
            </w:pPr>
            <w:r>
              <w:rPr>
                <w:sz w:val="14"/>
              </w:rPr>
              <w:t>Error boundary and correlation ID presented to support; structured client telemetry without leaking clinical secrets into logs.</w:t>
            </w:r>
          </w:p>
        </w:tc>
      </w:tr>
      <w:tr>
        <w:tc>
          <w:tcPr>
            <w:tcW w:type="dxa" w:w="1440"/>
            <w:vAlign w:val="top"/>
            <w:tcMar>
              <w:top w:w="60" w:type="dxa"/>
              <w:start w:w="60" w:type="dxa"/>
              <w:bottom w:w="60" w:type="dxa"/>
              <w:end w:w="60" w:type="dxa"/>
            </w:tcMar>
          </w:tcPr>
          <w:p>
            <w:pPr>
              <w:spacing w:after="20"/>
            </w:pPr>
            <w:r>
              <w:rPr>
                <w:sz w:val="14"/>
              </w:rPr>
              <w:t>WEB-012</w:t>
            </w:r>
          </w:p>
        </w:tc>
        <w:tc>
          <w:tcPr>
            <w:tcW w:type="dxa" w:w="9360"/>
            <w:vAlign w:val="top"/>
            <w:tcMar>
              <w:top w:w="60" w:type="dxa"/>
              <w:start w:w="60" w:type="dxa"/>
              <w:bottom w:w="60" w:type="dxa"/>
              <w:end w:w="60" w:type="dxa"/>
            </w:tcMar>
          </w:tcPr>
          <w:p>
            <w:pPr>
              <w:spacing w:after="20"/>
            </w:pPr>
            <w:r>
              <w:rPr>
                <w:sz w:val="14"/>
              </w:rPr>
              <w:t>Automated component, accessibility, contract, e2e and visual-regression testing in CI.</w:t>
            </w:r>
          </w:p>
        </w:tc>
      </w:tr>
    </w:tbl>
    <w:p>
      <w:pPr>
        <w:spacing w:after="20"/>
      </w:pPr>
    </w:p>
    <w:p>
      <w:pPr>
        <w:pStyle w:val="Heading1"/>
      </w:pPr>
      <w:r>
        <w:t>16. Backend Clean Architecture and Service Boundaries</w:t>
      </w:r>
    </w:p>
    <w:p>
      <w:r>
        <w:t>Each bounded context uses the same coding convention: Protobuf contract → ConnectRPC handler → application/service use case → domain aggregate/rules → repository interfaces → sqlc/pgx persistence. Cross-domain operations use explicit APIs/events/workflows rather than importing another domain's database package.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D9EAF7"/>
            <w:vAlign w:val="center"/>
            <w:tcMar>
              <w:top w:w="60" w:type="dxa"/>
              <w:start w:w="60" w:type="dxa"/>
              <w:bottom w:w="60" w:type="dxa"/>
              <w:end w:w="60" w:type="dxa"/>
            </w:tcMar>
          </w:tcPr>
          <w:p>
            <w:r>
              <w:rPr>
                <w:b/>
                <w:sz w:val="14"/>
              </w:rPr>
              <w:t>Bounded context / service</w:t>
            </w:r>
          </w:p>
        </w:tc>
        <w:tc>
          <w:tcPr>
            <w:tcW w:type="dxa" w:w="7920"/>
            <w:shd w:fill="D9EAF7"/>
            <w:vAlign w:val="center"/>
            <w:tcMar>
              <w:top w:w="60" w:type="dxa"/>
              <w:start w:w="60" w:type="dxa"/>
              <w:bottom w:w="60" w:type="dxa"/>
              <w:end w:w="60" w:type="dxa"/>
            </w:tcMar>
          </w:tcPr>
          <w:p>
            <w:r>
              <w:rPr>
                <w:b/>
                <w:sz w:val="14"/>
              </w:rPr>
              <w:t>Responsibility</w:t>
            </w:r>
          </w:p>
        </w:tc>
      </w:tr>
      <w:tr>
        <w:tc>
          <w:tcPr>
            <w:tcW w:type="dxa" w:w="2880"/>
            <w:vAlign w:val="top"/>
            <w:tcMar>
              <w:top w:w="60" w:type="dxa"/>
              <w:start w:w="60" w:type="dxa"/>
              <w:bottom w:w="60" w:type="dxa"/>
              <w:end w:w="60" w:type="dxa"/>
            </w:tcMar>
          </w:tcPr>
          <w:p>
            <w:pPr>
              <w:spacing w:after="20"/>
            </w:pPr>
            <w:r>
              <w:rPr>
                <w:sz w:val="14"/>
              </w:rPr>
              <w:t>identity</w:t>
            </w:r>
          </w:p>
        </w:tc>
        <w:tc>
          <w:tcPr>
            <w:tcW w:type="dxa" w:w="7920"/>
            <w:vAlign w:val="top"/>
            <w:tcMar>
              <w:top w:w="60" w:type="dxa"/>
              <w:start w:w="60" w:type="dxa"/>
              <w:bottom w:w="60" w:type="dxa"/>
              <w:end w:w="60" w:type="dxa"/>
            </w:tcMar>
          </w:tcPr>
          <w:p>
            <w:pPr>
              <w:spacing w:after="20"/>
            </w:pPr>
            <w:r>
              <w:rPr>
                <w:sz w:val="14"/>
              </w:rPr>
              <w:t>Users, service identities, sessions, MFA, roles/policies, break-glass.</w:t>
            </w:r>
          </w:p>
        </w:tc>
      </w:tr>
      <w:tr>
        <w:tc>
          <w:tcPr>
            <w:tcW w:type="dxa" w:w="2880"/>
            <w:vAlign w:val="top"/>
            <w:tcMar>
              <w:top w:w="60" w:type="dxa"/>
              <w:start w:w="60" w:type="dxa"/>
              <w:bottom w:w="60" w:type="dxa"/>
              <w:end w:w="60" w:type="dxa"/>
            </w:tcMar>
          </w:tcPr>
          <w:p>
            <w:pPr>
              <w:spacing w:after="20"/>
            </w:pPr>
            <w:r>
              <w:rPr>
                <w:sz w:val="14"/>
              </w:rPr>
              <w:t>organization</w:t>
            </w:r>
          </w:p>
        </w:tc>
        <w:tc>
          <w:tcPr>
            <w:tcW w:type="dxa" w:w="7920"/>
            <w:vAlign w:val="top"/>
            <w:tcMar>
              <w:top w:w="60" w:type="dxa"/>
              <w:start w:w="60" w:type="dxa"/>
              <w:bottom w:w="60" w:type="dxa"/>
              <w:end w:w="60" w:type="dxa"/>
            </w:tcMar>
          </w:tcPr>
          <w:p>
            <w:pPr>
              <w:spacing w:after="20"/>
            </w:pPr>
            <w:r>
              <w:rPr>
                <w:sz w:val="14"/>
              </w:rPr>
              <w:t>Tenants, legal entities, facilities, departments, locations, resources.</w:t>
            </w:r>
          </w:p>
        </w:tc>
      </w:tr>
      <w:tr>
        <w:tc>
          <w:tcPr>
            <w:tcW w:type="dxa" w:w="2880"/>
            <w:vAlign w:val="top"/>
            <w:tcMar>
              <w:top w:w="60" w:type="dxa"/>
              <w:start w:w="60" w:type="dxa"/>
              <w:bottom w:w="60" w:type="dxa"/>
              <w:end w:w="60" w:type="dxa"/>
            </w:tcMar>
          </w:tcPr>
          <w:p>
            <w:pPr>
              <w:spacing w:after="20"/>
            </w:pPr>
            <w:r>
              <w:rPr>
                <w:sz w:val="14"/>
              </w:rPr>
              <w:t>patient</w:t>
            </w:r>
          </w:p>
        </w:tc>
        <w:tc>
          <w:tcPr>
            <w:tcW w:type="dxa" w:w="7920"/>
            <w:vAlign w:val="top"/>
            <w:tcMar>
              <w:top w:w="60" w:type="dxa"/>
              <w:start w:w="60" w:type="dxa"/>
              <w:bottom w:w="60" w:type="dxa"/>
              <w:end w:w="60" w:type="dxa"/>
            </w:tcMar>
          </w:tcPr>
          <w:p>
            <w:pPr>
              <w:spacing w:after="20"/>
            </w:pPr>
            <w:r>
              <w:rPr>
                <w:sz w:val="14"/>
              </w:rPr>
              <w:t>Person/patient identity, MRN, demographics, contacts, merge, ABHA references.</w:t>
            </w:r>
          </w:p>
        </w:tc>
      </w:tr>
      <w:tr>
        <w:tc>
          <w:tcPr>
            <w:tcW w:type="dxa" w:w="2880"/>
            <w:vAlign w:val="top"/>
            <w:tcMar>
              <w:top w:w="60" w:type="dxa"/>
              <w:start w:w="60" w:type="dxa"/>
              <w:bottom w:w="60" w:type="dxa"/>
              <w:end w:w="60" w:type="dxa"/>
            </w:tcMar>
          </w:tcPr>
          <w:p>
            <w:pPr>
              <w:spacing w:after="20"/>
            </w:pPr>
            <w:r>
              <w:rPr>
                <w:sz w:val="14"/>
              </w:rPr>
              <w:t>scheduling</w:t>
            </w:r>
          </w:p>
        </w:tc>
        <w:tc>
          <w:tcPr>
            <w:tcW w:type="dxa" w:w="7920"/>
            <w:vAlign w:val="top"/>
            <w:tcMar>
              <w:top w:w="60" w:type="dxa"/>
              <w:start w:w="60" w:type="dxa"/>
              <w:bottom w:w="60" w:type="dxa"/>
              <w:end w:w="60" w:type="dxa"/>
            </w:tcMar>
          </w:tcPr>
          <w:p>
            <w:pPr>
              <w:spacing w:after="20"/>
            </w:pPr>
            <w:r>
              <w:rPr>
                <w:sz w:val="14"/>
              </w:rPr>
              <w:t>Schedules, appointments, queues, resources, waitlists.</w:t>
            </w:r>
          </w:p>
        </w:tc>
      </w:tr>
      <w:tr>
        <w:tc>
          <w:tcPr>
            <w:tcW w:type="dxa" w:w="2880"/>
            <w:vAlign w:val="top"/>
            <w:tcMar>
              <w:top w:w="60" w:type="dxa"/>
              <w:start w:w="60" w:type="dxa"/>
              <w:bottom w:w="60" w:type="dxa"/>
              <w:end w:w="60" w:type="dxa"/>
            </w:tcMar>
          </w:tcPr>
          <w:p>
            <w:pPr>
              <w:spacing w:after="20"/>
            </w:pPr>
            <w:r>
              <w:rPr>
                <w:sz w:val="14"/>
              </w:rPr>
              <w:t>encounter</w:t>
            </w:r>
          </w:p>
        </w:tc>
        <w:tc>
          <w:tcPr>
            <w:tcW w:type="dxa" w:w="7920"/>
            <w:vAlign w:val="top"/>
            <w:tcMar>
              <w:top w:w="60" w:type="dxa"/>
              <w:start w:w="60" w:type="dxa"/>
              <w:bottom w:w="60" w:type="dxa"/>
              <w:end w:w="60" w:type="dxa"/>
            </w:tcMar>
          </w:tcPr>
          <w:p>
            <w:pPr>
              <w:spacing w:after="20"/>
            </w:pPr>
            <w:r>
              <w:rPr>
                <w:sz w:val="14"/>
              </w:rPr>
              <w:t>OP/IP/ER encounters, admission/transfer/discharge, care-team context.</w:t>
            </w:r>
          </w:p>
        </w:tc>
      </w:tr>
      <w:tr>
        <w:tc>
          <w:tcPr>
            <w:tcW w:type="dxa" w:w="2880"/>
            <w:vAlign w:val="top"/>
            <w:tcMar>
              <w:top w:w="60" w:type="dxa"/>
              <w:start w:w="60" w:type="dxa"/>
              <w:bottom w:w="60" w:type="dxa"/>
              <w:end w:w="60" w:type="dxa"/>
            </w:tcMar>
          </w:tcPr>
          <w:p>
            <w:pPr>
              <w:spacing w:after="20"/>
            </w:pPr>
            <w:r>
              <w:rPr>
                <w:sz w:val="14"/>
              </w:rPr>
              <w:t>clinical</w:t>
            </w:r>
          </w:p>
        </w:tc>
        <w:tc>
          <w:tcPr>
            <w:tcW w:type="dxa" w:w="7920"/>
            <w:vAlign w:val="top"/>
            <w:tcMar>
              <w:top w:w="60" w:type="dxa"/>
              <w:start w:w="60" w:type="dxa"/>
              <w:bottom w:w="60" w:type="dxa"/>
              <w:end w:w="60" w:type="dxa"/>
            </w:tcMar>
          </w:tcPr>
          <w:p>
            <w:pPr>
              <w:spacing w:after="20"/>
            </w:pPr>
            <w:r>
              <w:rPr>
                <w:sz w:val="14"/>
              </w:rPr>
              <w:t>Problems, notes, observations, allergies, care plans, documents, specialty forms.</w:t>
            </w:r>
          </w:p>
        </w:tc>
      </w:tr>
      <w:tr>
        <w:tc>
          <w:tcPr>
            <w:tcW w:type="dxa" w:w="2880"/>
            <w:vAlign w:val="top"/>
            <w:tcMar>
              <w:top w:w="60" w:type="dxa"/>
              <w:start w:w="60" w:type="dxa"/>
              <w:bottom w:w="60" w:type="dxa"/>
              <w:end w:w="60" w:type="dxa"/>
            </w:tcMar>
          </w:tcPr>
          <w:p>
            <w:pPr>
              <w:spacing w:after="20"/>
            </w:pPr>
            <w:r>
              <w:rPr>
                <w:sz w:val="14"/>
              </w:rPr>
              <w:t>orders</w:t>
            </w:r>
          </w:p>
        </w:tc>
        <w:tc>
          <w:tcPr>
            <w:tcW w:type="dxa" w:w="7920"/>
            <w:vAlign w:val="top"/>
            <w:tcMar>
              <w:top w:w="60" w:type="dxa"/>
              <w:start w:w="60" w:type="dxa"/>
              <w:bottom w:w="60" w:type="dxa"/>
              <w:end w:w="60" w:type="dxa"/>
            </w:tcMar>
          </w:tcPr>
          <w:p>
            <w:pPr>
              <w:spacing w:after="20"/>
            </w:pPr>
            <w:r>
              <w:rPr>
                <w:sz w:val="14"/>
              </w:rPr>
              <w:t>CPOE and generic order lifecycle; routing to lab/radiology/pharmacy/procedure.</w:t>
            </w:r>
          </w:p>
        </w:tc>
      </w:tr>
      <w:tr>
        <w:tc>
          <w:tcPr>
            <w:tcW w:type="dxa" w:w="2880"/>
            <w:vAlign w:val="top"/>
            <w:tcMar>
              <w:top w:w="60" w:type="dxa"/>
              <w:start w:w="60" w:type="dxa"/>
              <w:bottom w:w="60" w:type="dxa"/>
              <w:end w:w="60" w:type="dxa"/>
            </w:tcMar>
          </w:tcPr>
          <w:p>
            <w:pPr>
              <w:spacing w:after="20"/>
            </w:pPr>
            <w:r>
              <w:rPr>
                <w:sz w:val="14"/>
              </w:rPr>
              <w:t>medication</w:t>
            </w:r>
          </w:p>
        </w:tc>
        <w:tc>
          <w:tcPr>
            <w:tcW w:type="dxa" w:w="7920"/>
            <w:vAlign w:val="top"/>
            <w:tcMar>
              <w:top w:w="60" w:type="dxa"/>
              <w:start w:w="60" w:type="dxa"/>
              <w:bottom w:w="60" w:type="dxa"/>
              <w:end w:w="60" w:type="dxa"/>
            </w:tcMar>
          </w:tcPr>
          <w:p>
            <w:pPr>
              <w:spacing w:after="20"/>
            </w:pPr>
            <w:r>
              <w:rPr>
                <w:sz w:val="14"/>
              </w:rPr>
              <w:t>Medication orders, formulary, reconciliation, eMAR interfaces.</w:t>
            </w:r>
          </w:p>
        </w:tc>
      </w:tr>
      <w:tr>
        <w:tc>
          <w:tcPr>
            <w:tcW w:type="dxa" w:w="2880"/>
            <w:vAlign w:val="top"/>
            <w:tcMar>
              <w:top w:w="60" w:type="dxa"/>
              <w:start w:w="60" w:type="dxa"/>
              <w:bottom w:w="60" w:type="dxa"/>
              <w:end w:w="60" w:type="dxa"/>
            </w:tcMar>
          </w:tcPr>
          <w:p>
            <w:pPr>
              <w:spacing w:after="20"/>
            </w:pPr>
            <w:r>
              <w:rPr>
                <w:sz w:val="14"/>
              </w:rPr>
              <w:t>billing</w:t>
            </w:r>
          </w:p>
        </w:tc>
        <w:tc>
          <w:tcPr>
            <w:tcW w:type="dxa" w:w="7920"/>
            <w:vAlign w:val="top"/>
            <w:tcMar>
              <w:top w:w="60" w:type="dxa"/>
              <w:start w:w="60" w:type="dxa"/>
              <w:bottom w:w="60" w:type="dxa"/>
              <w:end w:w="60" w:type="dxa"/>
            </w:tcMar>
          </w:tcPr>
          <w:p>
            <w:pPr>
              <w:spacing w:after="20"/>
            </w:pPr>
            <w:r>
              <w:rPr>
                <w:sz w:val="14"/>
              </w:rPr>
              <w:t>Charge capture, tariffs, estimates, invoices, payments, refunds and patient AR.</w:t>
            </w:r>
          </w:p>
        </w:tc>
      </w:tr>
      <w:tr>
        <w:tc>
          <w:tcPr>
            <w:tcW w:type="dxa" w:w="2880"/>
            <w:vAlign w:val="top"/>
            <w:tcMar>
              <w:top w:w="60" w:type="dxa"/>
              <w:start w:w="60" w:type="dxa"/>
              <w:bottom w:w="60" w:type="dxa"/>
              <w:end w:w="60" w:type="dxa"/>
            </w:tcMar>
          </w:tcPr>
          <w:p>
            <w:pPr>
              <w:spacing w:after="20"/>
            </w:pPr>
            <w:r>
              <w:rPr>
                <w:sz w:val="14"/>
              </w:rPr>
              <w:t>claims</w:t>
            </w:r>
          </w:p>
        </w:tc>
        <w:tc>
          <w:tcPr>
            <w:tcW w:type="dxa" w:w="7920"/>
            <w:vAlign w:val="top"/>
            <w:tcMar>
              <w:top w:w="60" w:type="dxa"/>
              <w:start w:w="60" w:type="dxa"/>
              <w:bottom w:w="60" w:type="dxa"/>
              <w:end w:w="60" w:type="dxa"/>
            </w:tcMar>
          </w:tcPr>
          <w:p>
            <w:pPr>
              <w:spacing w:after="20"/>
            </w:pPr>
            <w:r>
              <w:rPr>
                <w:sz w:val="14"/>
              </w:rPr>
              <w:t>Eligibility, preauth, claim, query, denial, settlement and NHCX adapter.</w:t>
            </w:r>
          </w:p>
        </w:tc>
      </w:tr>
      <w:tr>
        <w:tc>
          <w:tcPr>
            <w:tcW w:type="dxa" w:w="2880"/>
            <w:vAlign w:val="top"/>
            <w:tcMar>
              <w:top w:w="60" w:type="dxa"/>
              <w:start w:w="60" w:type="dxa"/>
              <w:bottom w:w="60" w:type="dxa"/>
              <w:end w:w="60" w:type="dxa"/>
            </w:tcMar>
          </w:tcPr>
          <w:p>
            <w:pPr>
              <w:spacing w:after="20"/>
            </w:pPr>
            <w:r>
              <w:rPr>
                <w:sz w:val="14"/>
              </w:rPr>
              <w:t>pharma_catalog</w:t>
            </w:r>
          </w:p>
        </w:tc>
        <w:tc>
          <w:tcPr>
            <w:tcW w:type="dxa" w:w="7920"/>
            <w:vAlign w:val="top"/>
            <w:tcMar>
              <w:top w:w="60" w:type="dxa"/>
              <w:start w:w="60" w:type="dxa"/>
              <w:bottom w:w="60" w:type="dxa"/>
              <w:end w:w="60" w:type="dxa"/>
            </w:tcMar>
          </w:tcPr>
          <w:p>
            <w:pPr>
              <w:spacing w:after="20"/>
            </w:pPr>
            <w:r>
              <w:rPr>
                <w:sz w:val="14"/>
              </w:rPr>
              <w:t>Drug/item, channel products, UOM, pricing/schemes reference.</w:t>
            </w:r>
          </w:p>
        </w:tc>
      </w:tr>
      <w:tr>
        <w:tc>
          <w:tcPr>
            <w:tcW w:type="dxa" w:w="2880"/>
            <w:vAlign w:val="top"/>
            <w:tcMar>
              <w:top w:w="60" w:type="dxa"/>
              <w:start w:w="60" w:type="dxa"/>
              <w:bottom w:w="60" w:type="dxa"/>
              <w:end w:w="60" w:type="dxa"/>
            </w:tcMar>
          </w:tcPr>
          <w:p>
            <w:pPr>
              <w:spacing w:after="20"/>
            </w:pPr>
            <w:r>
              <w:rPr>
                <w:sz w:val="14"/>
              </w:rPr>
              <w:t>pharma_order</w:t>
            </w:r>
          </w:p>
        </w:tc>
        <w:tc>
          <w:tcPr>
            <w:tcW w:type="dxa" w:w="7920"/>
            <w:vAlign w:val="top"/>
            <w:tcMar>
              <w:top w:w="60" w:type="dxa"/>
              <w:start w:w="60" w:type="dxa"/>
              <w:bottom w:w="60" w:type="dxa"/>
              <w:end w:w="60" w:type="dxa"/>
            </w:tcMar>
          </w:tcPr>
          <w:p>
            <w:pPr>
              <w:spacing w:after="20"/>
            </w:pPr>
            <w:r>
              <w:rPr>
                <w:sz w:val="14"/>
              </w:rPr>
              <w:t>B2B order capture, validation, allocation, sales order lifecycle.</w:t>
            </w:r>
          </w:p>
        </w:tc>
      </w:tr>
      <w:tr>
        <w:tc>
          <w:tcPr>
            <w:tcW w:type="dxa" w:w="2880"/>
            <w:vAlign w:val="top"/>
            <w:tcMar>
              <w:top w:w="60" w:type="dxa"/>
              <w:start w:w="60" w:type="dxa"/>
              <w:bottom w:w="60" w:type="dxa"/>
              <w:end w:w="60" w:type="dxa"/>
            </w:tcMar>
          </w:tcPr>
          <w:p>
            <w:pPr>
              <w:spacing w:after="20"/>
            </w:pPr>
            <w:r>
              <w:rPr>
                <w:sz w:val="14"/>
              </w:rPr>
              <w:t>inventory</w:t>
            </w:r>
          </w:p>
        </w:tc>
        <w:tc>
          <w:tcPr>
            <w:tcW w:type="dxa" w:w="7920"/>
            <w:vAlign w:val="top"/>
            <w:tcMar>
              <w:top w:w="60" w:type="dxa"/>
              <w:start w:w="60" w:type="dxa"/>
              <w:bottom w:w="60" w:type="dxa"/>
              <w:end w:w="60" w:type="dxa"/>
            </w:tcMar>
          </w:tcPr>
          <w:p>
            <w:pPr>
              <w:spacing w:after="20"/>
            </w:pPr>
            <w:r>
              <w:rPr>
                <w:sz w:val="14"/>
              </w:rPr>
              <w:t>Stock ledger, batch/lot/serial, reservation, transfers, expiry.</w:t>
            </w:r>
          </w:p>
        </w:tc>
      </w:tr>
      <w:tr>
        <w:tc>
          <w:tcPr>
            <w:tcW w:type="dxa" w:w="2880"/>
            <w:vAlign w:val="top"/>
            <w:tcMar>
              <w:top w:w="60" w:type="dxa"/>
              <w:start w:w="60" w:type="dxa"/>
              <w:bottom w:w="60" w:type="dxa"/>
              <w:end w:w="60" w:type="dxa"/>
            </w:tcMar>
          </w:tcPr>
          <w:p>
            <w:pPr>
              <w:spacing w:after="20"/>
            </w:pPr>
            <w:r>
              <w:rPr>
                <w:sz w:val="14"/>
              </w:rPr>
              <w:t>warehouse</w:t>
            </w:r>
          </w:p>
        </w:tc>
        <w:tc>
          <w:tcPr>
            <w:tcW w:type="dxa" w:w="7920"/>
            <w:vAlign w:val="top"/>
            <w:tcMar>
              <w:top w:w="60" w:type="dxa"/>
              <w:start w:w="60" w:type="dxa"/>
              <w:bottom w:w="60" w:type="dxa"/>
              <w:end w:w="60" w:type="dxa"/>
            </w:tcMar>
          </w:tcPr>
          <w:p>
            <w:pPr>
              <w:spacing w:after="20"/>
            </w:pPr>
            <w:r>
              <w:rPr>
                <w:sz w:val="14"/>
              </w:rPr>
              <w:t>Inbound, put-away, pick/pack/dispatch/POD.</w:t>
            </w:r>
          </w:p>
        </w:tc>
      </w:tr>
      <w:tr>
        <w:tc>
          <w:tcPr>
            <w:tcW w:type="dxa" w:w="2880"/>
            <w:vAlign w:val="top"/>
            <w:tcMar>
              <w:top w:w="60" w:type="dxa"/>
              <w:start w:w="60" w:type="dxa"/>
              <w:bottom w:w="60" w:type="dxa"/>
              <w:end w:w="60" w:type="dxa"/>
            </w:tcMar>
          </w:tcPr>
          <w:p>
            <w:pPr>
              <w:spacing w:after="20"/>
            </w:pPr>
            <w:r>
              <w:rPr>
                <w:sz w:val="14"/>
              </w:rPr>
              <w:t>pharmacy</w:t>
            </w:r>
          </w:p>
        </w:tc>
        <w:tc>
          <w:tcPr>
            <w:tcW w:type="dxa" w:w="7920"/>
            <w:vAlign w:val="top"/>
            <w:tcMar>
              <w:top w:w="60" w:type="dxa"/>
              <w:start w:w="60" w:type="dxa"/>
              <w:bottom w:w="60" w:type="dxa"/>
              <w:end w:w="60" w:type="dxa"/>
            </w:tcMar>
          </w:tcPr>
          <w:p>
            <w:pPr>
              <w:spacing w:after="20"/>
            </w:pPr>
            <w:r>
              <w:rPr>
                <w:sz w:val="14"/>
              </w:rPr>
              <w:t>Prescription fulfilment, POS and patient delivery orchestration.</w:t>
            </w:r>
          </w:p>
        </w:tc>
      </w:tr>
      <w:tr>
        <w:tc>
          <w:tcPr>
            <w:tcW w:type="dxa" w:w="2880"/>
            <w:vAlign w:val="top"/>
            <w:tcMar>
              <w:top w:w="60" w:type="dxa"/>
              <w:start w:w="60" w:type="dxa"/>
              <w:bottom w:w="60" w:type="dxa"/>
              <w:end w:w="60" w:type="dxa"/>
            </w:tcMar>
          </w:tcPr>
          <w:p>
            <w:pPr>
              <w:spacing w:after="20"/>
            </w:pPr>
            <w:r>
              <w:rPr>
                <w:sz w:val="14"/>
              </w:rPr>
              <w:t>diagnostics</w:t>
            </w:r>
          </w:p>
        </w:tc>
        <w:tc>
          <w:tcPr>
            <w:tcW w:type="dxa" w:w="7920"/>
            <w:vAlign w:val="top"/>
            <w:tcMar>
              <w:top w:w="60" w:type="dxa"/>
              <w:start w:w="60" w:type="dxa"/>
              <w:bottom w:w="60" w:type="dxa"/>
              <w:end w:w="60" w:type="dxa"/>
            </w:tcMar>
          </w:tcPr>
          <w:p>
            <w:pPr>
              <w:spacing w:after="20"/>
            </w:pPr>
            <w:r>
              <w:rPr>
                <w:sz w:val="14"/>
              </w:rPr>
              <w:t>Lab catalog, accession, specimen, analyzer/result validation and reports.</w:t>
            </w:r>
          </w:p>
        </w:tc>
      </w:tr>
      <w:tr>
        <w:tc>
          <w:tcPr>
            <w:tcW w:type="dxa" w:w="2880"/>
            <w:vAlign w:val="top"/>
            <w:tcMar>
              <w:top w:w="60" w:type="dxa"/>
              <w:start w:w="60" w:type="dxa"/>
              <w:bottom w:w="60" w:type="dxa"/>
              <w:end w:w="60" w:type="dxa"/>
            </w:tcMar>
          </w:tcPr>
          <w:p>
            <w:pPr>
              <w:spacing w:after="20"/>
            </w:pPr>
            <w:r>
              <w:rPr>
                <w:sz w:val="14"/>
              </w:rPr>
              <w:t>imaging</w:t>
            </w:r>
          </w:p>
        </w:tc>
        <w:tc>
          <w:tcPr>
            <w:tcW w:type="dxa" w:w="7920"/>
            <w:vAlign w:val="top"/>
            <w:tcMar>
              <w:top w:w="60" w:type="dxa"/>
              <w:start w:w="60" w:type="dxa"/>
              <w:bottom w:w="60" w:type="dxa"/>
              <w:end w:w="60" w:type="dxa"/>
            </w:tcMar>
          </w:tcPr>
          <w:p>
            <w:pPr>
              <w:spacing w:after="20"/>
            </w:pPr>
            <w:r>
              <w:rPr>
                <w:sz w:val="14"/>
              </w:rPr>
              <w:t>RIS worklist/report metadata and DICOM/PACS adapter orchestration.</w:t>
            </w:r>
          </w:p>
        </w:tc>
      </w:tr>
      <w:tr>
        <w:tc>
          <w:tcPr>
            <w:tcW w:type="dxa" w:w="2880"/>
            <w:vAlign w:val="top"/>
            <w:tcMar>
              <w:top w:w="60" w:type="dxa"/>
              <w:start w:w="60" w:type="dxa"/>
              <w:bottom w:w="60" w:type="dxa"/>
              <w:end w:w="60" w:type="dxa"/>
            </w:tcMar>
          </w:tcPr>
          <w:p>
            <w:pPr>
              <w:spacing w:after="20"/>
            </w:pPr>
            <w:r>
              <w:rPr>
                <w:sz w:val="14"/>
              </w:rPr>
              <w:t>procurement</w:t>
            </w:r>
          </w:p>
        </w:tc>
        <w:tc>
          <w:tcPr>
            <w:tcW w:type="dxa" w:w="7920"/>
            <w:vAlign w:val="top"/>
            <w:tcMar>
              <w:top w:w="60" w:type="dxa"/>
              <w:start w:w="60" w:type="dxa"/>
              <w:bottom w:w="60" w:type="dxa"/>
              <w:end w:w="60" w:type="dxa"/>
            </w:tcMar>
          </w:tcPr>
          <w:p>
            <w:pPr>
              <w:spacing w:after="20"/>
            </w:pPr>
            <w:r>
              <w:rPr>
                <w:sz w:val="14"/>
              </w:rPr>
              <w:t>Indent, supplier, RFQ, PO, receipt and three-way match.</w:t>
            </w:r>
          </w:p>
        </w:tc>
      </w:tr>
      <w:tr>
        <w:tc>
          <w:tcPr>
            <w:tcW w:type="dxa" w:w="2880"/>
            <w:vAlign w:val="top"/>
            <w:tcMar>
              <w:top w:w="60" w:type="dxa"/>
              <w:start w:w="60" w:type="dxa"/>
              <w:bottom w:w="60" w:type="dxa"/>
              <w:end w:w="60" w:type="dxa"/>
            </w:tcMar>
          </w:tcPr>
          <w:p>
            <w:pPr>
              <w:spacing w:after="20"/>
            </w:pPr>
            <w:r>
              <w:rPr>
                <w:sz w:val="14"/>
              </w:rPr>
              <w:t>assets</w:t>
            </w:r>
          </w:p>
        </w:tc>
        <w:tc>
          <w:tcPr>
            <w:tcW w:type="dxa" w:w="7920"/>
            <w:vAlign w:val="top"/>
            <w:tcMar>
              <w:top w:w="60" w:type="dxa"/>
              <w:start w:w="60" w:type="dxa"/>
              <w:bottom w:w="60" w:type="dxa"/>
              <w:end w:w="60" w:type="dxa"/>
            </w:tcMar>
          </w:tcPr>
          <w:p>
            <w:pPr>
              <w:spacing w:after="20"/>
            </w:pPr>
            <w:r>
              <w:rPr>
                <w:sz w:val="14"/>
              </w:rPr>
              <w:t>Biomedical/fixed assets, maintenance/calibration/helpdesk.</w:t>
            </w:r>
          </w:p>
        </w:tc>
      </w:tr>
      <w:tr>
        <w:tc>
          <w:tcPr>
            <w:tcW w:type="dxa" w:w="2880"/>
            <w:vAlign w:val="top"/>
            <w:tcMar>
              <w:top w:w="60" w:type="dxa"/>
              <w:start w:w="60" w:type="dxa"/>
              <w:bottom w:w="60" w:type="dxa"/>
              <w:end w:w="60" w:type="dxa"/>
            </w:tcMar>
          </w:tcPr>
          <w:p>
            <w:pPr>
              <w:spacing w:after="20"/>
            </w:pPr>
            <w:r>
              <w:rPr>
                <w:sz w:val="14"/>
              </w:rPr>
              <w:t>workforce</w:t>
            </w:r>
          </w:p>
        </w:tc>
        <w:tc>
          <w:tcPr>
            <w:tcW w:type="dxa" w:w="7920"/>
            <w:vAlign w:val="top"/>
            <w:tcMar>
              <w:top w:w="60" w:type="dxa"/>
              <w:start w:w="60" w:type="dxa"/>
              <w:bottom w:w="60" w:type="dxa"/>
              <w:end w:w="60" w:type="dxa"/>
            </w:tcMar>
          </w:tcPr>
          <w:p>
            <w:pPr>
              <w:spacing w:after="20"/>
            </w:pPr>
            <w:r>
              <w:rPr>
                <w:sz w:val="14"/>
              </w:rPr>
              <w:t>Employee, roster, attendance, leave, credentials, training.</w:t>
            </w:r>
          </w:p>
        </w:tc>
      </w:tr>
      <w:tr>
        <w:tc>
          <w:tcPr>
            <w:tcW w:type="dxa" w:w="2880"/>
            <w:vAlign w:val="top"/>
            <w:tcMar>
              <w:top w:w="60" w:type="dxa"/>
              <w:start w:w="60" w:type="dxa"/>
              <w:bottom w:w="60" w:type="dxa"/>
              <w:end w:w="60" w:type="dxa"/>
            </w:tcMar>
          </w:tcPr>
          <w:p>
            <w:pPr>
              <w:spacing w:after="20"/>
            </w:pPr>
            <w:r>
              <w:rPr>
                <w:sz w:val="14"/>
              </w:rPr>
              <w:t>payroll</w:t>
            </w:r>
          </w:p>
        </w:tc>
        <w:tc>
          <w:tcPr>
            <w:tcW w:type="dxa" w:w="7920"/>
            <w:vAlign w:val="top"/>
            <w:tcMar>
              <w:top w:w="60" w:type="dxa"/>
              <w:start w:w="60" w:type="dxa"/>
              <w:bottom w:w="60" w:type="dxa"/>
              <w:end w:w="60" w:type="dxa"/>
            </w:tcMar>
          </w:tcPr>
          <w:p>
            <w:pPr>
              <w:spacing w:after="20"/>
            </w:pPr>
            <w:r>
              <w:rPr>
                <w:sz w:val="14"/>
              </w:rPr>
              <w:t>Payroll rules, run, payslip and statutory outputs.</w:t>
            </w:r>
          </w:p>
        </w:tc>
      </w:tr>
      <w:tr>
        <w:tc>
          <w:tcPr>
            <w:tcW w:type="dxa" w:w="2880"/>
            <w:vAlign w:val="top"/>
            <w:tcMar>
              <w:top w:w="60" w:type="dxa"/>
              <w:start w:w="60" w:type="dxa"/>
              <w:bottom w:w="60" w:type="dxa"/>
              <w:end w:w="60" w:type="dxa"/>
            </w:tcMar>
          </w:tcPr>
          <w:p>
            <w:pPr>
              <w:spacing w:after="20"/>
            </w:pPr>
            <w:r>
              <w:rPr>
                <w:sz w:val="14"/>
              </w:rPr>
              <w:t>scada_gateway</w:t>
            </w:r>
          </w:p>
        </w:tc>
        <w:tc>
          <w:tcPr>
            <w:tcW w:type="dxa" w:w="7920"/>
            <w:vAlign w:val="top"/>
            <w:tcMar>
              <w:top w:w="60" w:type="dxa"/>
              <w:start w:w="60" w:type="dxa"/>
              <w:bottom w:w="60" w:type="dxa"/>
              <w:end w:w="60" w:type="dxa"/>
            </w:tcMar>
          </w:tcPr>
          <w:p>
            <w:pPr>
              <w:spacing w:after="20"/>
            </w:pPr>
            <w:r>
              <w:rPr>
                <w:sz w:val="14"/>
              </w:rPr>
              <w:t>OT asset/point model, telemetry ingestion, alarms and historian references.</w:t>
            </w:r>
          </w:p>
        </w:tc>
      </w:tr>
      <w:tr>
        <w:tc>
          <w:tcPr>
            <w:tcW w:type="dxa" w:w="2880"/>
            <w:vAlign w:val="top"/>
            <w:tcMar>
              <w:top w:w="60" w:type="dxa"/>
              <w:start w:w="60" w:type="dxa"/>
              <w:bottom w:w="60" w:type="dxa"/>
              <w:end w:w="60" w:type="dxa"/>
            </w:tcMar>
          </w:tcPr>
          <w:p>
            <w:pPr>
              <w:spacing w:after="20"/>
            </w:pPr>
            <w:r>
              <w:rPr>
                <w:sz w:val="14"/>
              </w:rPr>
              <w:t>commerce</w:t>
            </w:r>
          </w:p>
        </w:tc>
        <w:tc>
          <w:tcPr>
            <w:tcW w:type="dxa" w:w="7920"/>
            <w:vAlign w:val="top"/>
            <w:tcMar>
              <w:top w:w="60" w:type="dxa"/>
              <w:start w:w="60" w:type="dxa"/>
              <w:bottom w:w="60" w:type="dxa"/>
              <w:end w:w="60" w:type="dxa"/>
            </w:tcMar>
          </w:tcPr>
          <w:p>
            <w:pPr>
              <w:spacing w:after="20"/>
            </w:pPr>
            <w:r>
              <w:rPr>
                <w:sz w:val="14"/>
              </w:rPr>
              <w:t>Cross-network cart/order/payment/commission abstractions where shared.</w:t>
            </w:r>
          </w:p>
        </w:tc>
      </w:tr>
      <w:tr>
        <w:tc>
          <w:tcPr>
            <w:tcW w:type="dxa" w:w="2880"/>
            <w:vAlign w:val="top"/>
            <w:tcMar>
              <w:top w:w="60" w:type="dxa"/>
              <w:start w:w="60" w:type="dxa"/>
              <w:bottom w:w="60" w:type="dxa"/>
              <w:end w:w="60" w:type="dxa"/>
            </w:tcMar>
          </w:tcPr>
          <w:p>
            <w:pPr>
              <w:spacing w:after="20"/>
            </w:pPr>
            <w:r>
              <w:rPr>
                <w:sz w:val="14"/>
              </w:rPr>
              <w:t>delivery</w:t>
            </w:r>
          </w:p>
        </w:tc>
        <w:tc>
          <w:tcPr>
            <w:tcW w:type="dxa" w:w="7920"/>
            <w:vAlign w:val="top"/>
            <w:tcMar>
              <w:top w:w="60" w:type="dxa"/>
              <w:start w:w="60" w:type="dxa"/>
              <w:bottom w:w="60" w:type="dxa"/>
              <w:end w:w="60" w:type="dxa"/>
            </w:tcMar>
          </w:tcPr>
          <w:p>
            <w:pPr>
              <w:spacing w:after="20"/>
            </w:pPr>
            <w:r>
              <w:rPr>
                <w:sz w:val="14"/>
              </w:rPr>
              <w:t>Serviceability, slots, rider/3PL assignment, tracking, OTP/POD.</w:t>
            </w:r>
          </w:p>
        </w:tc>
      </w:tr>
      <w:tr>
        <w:tc>
          <w:tcPr>
            <w:tcW w:type="dxa" w:w="2880"/>
            <w:vAlign w:val="top"/>
            <w:tcMar>
              <w:top w:w="60" w:type="dxa"/>
              <w:start w:w="60" w:type="dxa"/>
              <w:bottom w:w="60" w:type="dxa"/>
              <w:end w:w="60" w:type="dxa"/>
            </w:tcMar>
          </w:tcPr>
          <w:p>
            <w:pPr>
              <w:spacing w:after="20"/>
            </w:pPr>
            <w:r>
              <w:rPr>
                <w:sz w:val="14"/>
              </w:rPr>
              <w:t>notification</w:t>
            </w:r>
          </w:p>
        </w:tc>
        <w:tc>
          <w:tcPr>
            <w:tcW w:type="dxa" w:w="7920"/>
            <w:vAlign w:val="top"/>
            <w:tcMar>
              <w:top w:w="60" w:type="dxa"/>
              <w:start w:w="60" w:type="dxa"/>
              <w:bottom w:w="60" w:type="dxa"/>
              <w:end w:w="60" w:type="dxa"/>
            </w:tcMar>
          </w:tcPr>
          <w:p>
            <w:pPr>
              <w:spacing w:after="20"/>
            </w:pPr>
            <w:r>
              <w:rPr>
                <w:sz w:val="14"/>
              </w:rPr>
              <w:t>SMS/email/push/WhatsApp-provider adapters, templates, preferences, audit.</w:t>
            </w:r>
          </w:p>
        </w:tc>
      </w:tr>
      <w:tr>
        <w:tc>
          <w:tcPr>
            <w:tcW w:type="dxa" w:w="2880"/>
            <w:vAlign w:val="top"/>
            <w:tcMar>
              <w:top w:w="60" w:type="dxa"/>
              <w:start w:w="60" w:type="dxa"/>
              <w:bottom w:w="60" w:type="dxa"/>
              <w:end w:w="60" w:type="dxa"/>
            </w:tcMar>
          </w:tcPr>
          <w:p>
            <w:pPr>
              <w:spacing w:after="20"/>
            </w:pPr>
            <w:r>
              <w:rPr>
                <w:sz w:val="14"/>
              </w:rPr>
              <w:t>documents</w:t>
            </w:r>
          </w:p>
        </w:tc>
        <w:tc>
          <w:tcPr>
            <w:tcW w:type="dxa" w:w="7920"/>
            <w:vAlign w:val="top"/>
            <w:tcMar>
              <w:top w:w="60" w:type="dxa"/>
              <w:start w:w="60" w:type="dxa"/>
              <w:bottom w:w="60" w:type="dxa"/>
              <w:end w:w="60" w:type="dxa"/>
            </w:tcMar>
          </w:tcPr>
          <w:p>
            <w:pPr>
              <w:spacing w:after="20"/>
            </w:pPr>
            <w:r>
              <w:rPr>
                <w:sz w:val="14"/>
              </w:rPr>
              <w:t>Templates, render jobs, signing, versioning, object-store metadata.</w:t>
            </w:r>
          </w:p>
        </w:tc>
      </w:tr>
      <w:tr>
        <w:tc>
          <w:tcPr>
            <w:tcW w:type="dxa" w:w="2880"/>
            <w:vAlign w:val="top"/>
            <w:tcMar>
              <w:top w:w="60" w:type="dxa"/>
              <w:start w:w="60" w:type="dxa"/>
              <w:bottom w:w="60" w:type="dxa"/>
              <w:end w:w="60" w:type="dxa"/>
            </w:tcMar>
          </w:tcPr>
          <w:p>
            <w:pPr>
              <w:spacing w:after="20"/>
            </w:pPr>
            <w:r>
              <w:rPr>
                <w:sz w:val="14"/>
              </w:rPr>
              <w:t>workflow</w:t>
            </w:r>
          </w:p>
        </w:tc>
        <w:tc>
          <w:tcPr>
            <w:tcW w:type="dxa" w:w="7920"/>
            <w:vAlign w:val="top"/>
            <w:tcMar>
              <w:top w:w="60" w:type="dxa"/>
              <w:start w:w="60" w:type="dxa"/>
              <w:bottom w:w="60" w:type="dxa"/>
              <w:end w:w="60" w:type="dxa"/>
            </w:tcMar>
          </w:tcPr>
          <w:p>
            <w:pPr>
              <w:spacing w:after="20"/>
            </w:pPr>
            <w:r>
              <w:rPr>
                <w:sz w:val="14"/>
              </w:rPr>
              <w:t>Durable business processes, approvals, timers, compensations and exception queues.</w:t>
            </w:r>
          </w:p>
        </w:tc>
      </w:tr>
      <w:tr>
        <w:tc>
          <w:tcPr>
            <w:tcW w:type="dxa" w:w="2880"/>
            <w:vAlign w:val="top"/>
            <w:tcMar>
              <w:top w:w="60" w:type="dxa"/>
              <w:start w:w="60" w:type="dxa"/>
              <w:bottom w:w="60" w:type="dxa"/>
              <w:end w:w="60" w:type="dxa"/>
            </w:tcMar>
          </w:tcPr>
          <w:p>
            <w:pPr>
              <w:spacing w:after="20"/>
            </w:pPr>
            <w:r>
              <w:rPr>
                <w:sz w:val="14"/>
              </w:rPr>
              <w:t>integration</w:t>
            </w:r>
          </w:p>
        </w:tc>
        <w:tc>
          <w:tcPr>
            <w:tcW w:type="dxa" w:w="7920"/>
            <w:vAlign w:val="top"/>
            <w:tcMar>
              <w:top w:w="60" w:type="dxa"/>
              <w:start w:w="60" w:type="dxa"/>
              <w:bottom w:w="60" w:type="dxa"/>
              <w:end w:w="60" w:type="dxa"/>
            </w:tcMar>
          </w:tcPr>
          <w:p>
            <w:pPr>
              <w:spacing w:after="20"/>
            </w:pPr>
            <w:r>
              <w:rPr>
                <w:sz w:val="14"/>
              </w:rPr>
              <w:t>FHIR/ABDM, NHCX, DICOM, HL7 v2/vendor, devices, payment, accounting/ERP.</w:t>
            </w:r>
          </w:p>
        </w:tc>
      </w:tr>
      <w:tr>
        <w:tc>
          <w:tcPr>
            <w:tcW w:type="dxa" w:w="2880"/>
            <w:vAlign w:val="top"/>
            <w:tcMar>
              <w:top w:w="60" w:type="dxa"/>
              <w:start w:w="60" w:type="dxa"/>
              <w:bottom w:w="60" w:type="dxa"/>
              <w:end w:w="60" w:type="dxa"/>
            </w:tcMar>
          </w:tcPr>
          <w:p>
            <w:pPr>
              <w:spacing w:after="20"/>
            </w:pPr>
            <w:r>
              <w:rPr>
                <w:sz w:val="14"/>
              </w:rPr>
              <w:t>analytics</w:t>
            </w:r>
          </w:p>
        </w:tc>
        <w:tc>
          <w:tcPr>
            <w:tcW w:type="dxa" w:w="7920"/>
            <w:vAlign w:val="top"/>
            <w:tcMar>
              <w:top w:w="60" w:type="dxa"/>
              <w:start w:w="60" w:type="dxa"/>
              <w:bottom w:w="60" w:type="dxa"/>
              <w:end w:w="60" w:type="dxa"/>
            </w:tcMar>
          </w:tcPr>
          <w:p>
            <w:pPr>
              <w:spacing w:after="20"/>
            </w:pPr>
            <w:r>
              <w:rPr>
                <w:sz w:val="14"/>
              </w:rPr>
              <w:t>Operational marts, semantic metrics, governed exports.</w:t>
            </w:r>
          </w:p>
        </w:tc>
      </w:tr>
      <w:tr>
        <w:tc>
          <w:tcPr>
            <w:tcW w:type="dxa" w:w="2880"/>
            <w:vAlign w:val="top"/>
            <w:tcMar>
              <w:top w:w="60" w:type="dxa"/>
              <w:start w:w="60" w:type="dxa"/>
              <w:bottom w:w="60" w:type="dxa"/>
              <w:end w:w="60" w:type="dxa"/>
            </w:tcMar>
          </w:tcPr>
          <w:p>
            <w:pPr>
              <w:spacing w:after="20"/>
            </w:pPr>
            <w:r>
              <w:rPr>
                <w:sz w:val="14"/>
              </w:rPr>
              <w:t>ai_gateway</w:t>
            </w:r>
          </w:p>
        </w:tc>
        <w:tc>
          <w:tcPr>
            <w:tcW w:type="dxa" w:w="7920"/>
            <w:vAlign w:val="top"/>
            <w:tcMar>
              <w:top w:w="60" w:type="dxa"/>
              <w:start w:w="60" w:type="dxa"/>
              <w:bottom w:w="60" w:type="dxa"/>
              <w:end w:w="60" w:type="dxa"/>
            </w:tcMar>
          </w:tcPr>
          <w:p>
            <w:pPr>
              <w:spacing w:after="20"/>
            </w:pPr>
            <w:r>
              <w:rPr>
                <w:sz w:val="14"/>
              </w:rPr>
              <w:t>Model registry/inference requests, policy, human-review queue, provenance.</w:t>
            </w:r>
          </w:p>
        </w:tc>
      </w:tr>
    </w:tbl>
    <w:p>
      <w:pPr>
        <w:spacing w:after="20"/>
      </w:pPr>
    </w:p>
    <w:p>
      <w:pPr>
        <w:pStyle w:val="Heading2"/>
      </w:pPr>
      <w:r>
        <w:t>16.1 Canonical Package Layout</w:t>
      </w:r>
    </w:p>
    <w:p>
      <w:r>
        <w:rPr>
          <w:rFonts w:ascii="Consolas" w:hAnsi="Consolas"/>
          <w:sz w:val="17"/>
        </w:rPr>
        <w:t>internal/&lt;domain&gt;/</w:t>
        <w:br/>
        <w:t xml:space="preserve">  transport/connectrpc/      # handlers, auth/context mapping, validation</w:t>
        <w:br/>
        <w:t xml:space="preserve">  application/               # commands, queries, use-cases, transaction orchestration</w:t>
        <w:br/>
        <w:t xml:space="preserve">  domain/                    # aggregates, value objects, policies, domain events</w:t>
        <w:br/>
        <w:t xml:space="preserve">  ports/                     # repository/external interfaces</w:t>
        <w:br/>
        <w:t xml:space="preserve">  infrastructure/postgres/   # sqlc adapters</w:t>
        <w:br/>
        <w:t xml:space="preserve">  infrastructure/clients/    # outbound RPC/vendor adapters</w:t>
        <w:br/>
        <w:t xml:space="preserve">  migrations/</w:t>
        <w:br/>
        <w:t xml:space="preserve">  queries/                   # sqlc SQL</w:t>
        <w:br/>
        <w:t>api/proto/&lt;domain&gt;/v1/</w:t>
        <w:br/>
      </w:r>
    </w:p>
    <w:p>
      <w:pPr>
        <w:pStyle w:val="Heading2"/>
      </w:pPr>
      <w:r>
        <w:t>16.2 Transaction and Event Rules</w:t>
      </w:r>
    </w:p>
    <w:p>
      <w:pPr>
        <w:pStyle w:val="ListBullet"/>
        <w:spacing w:after="30"/>
      </w:pPr>
      <w:r>
        <w:t>Database transaction boundaries are owned by application use cases; domain code does not call infrastructure directly.</w:t>
      </w:r>
    </w:p>
    <w:p>
      <w:pPr>
        <w:pStyle w:val="ListBullet"/>
        <w:spacing w:after="30"/>
      </w:pPr>
      <w:r>
        <w:t>Every externally relevant state transition writes an outbox record in the same transaction; publishers deliver asynchronously with idempotent consumers.</w:t>
      </w:r>
    </w:p>
    <w:p>
      <w:pPr>
        <w:pStyle w:val="ListBullet"/>
        <w:spacing w:after="30"/>
      </w:pPr>
      <w:r>
        <w:t>Commands carry idempotency keys for network/payment/order/import operations; duplicate submissions return prior outcomes where safe.</w:t>
      </w:r>
    </w:p>
    <w:p>
      <w:pPr>
        <w:pStyle w:val="ListBullet"/>
        <w:spacing w:after="30"/>
      </w:pPr>
      <w:r>
        <w:t>Events are immutable facts with versioned schemas. Consumers maintain inbox/deduplication state.</w:t>
      </w:r>
    </w:p>
    <w:p>
      <w:pPr>
        <w:pStyle w:val="ListBullet"/>
        <w:spacing w:after="30"/>
      </w:pPr>
      <w:r>
        <w:t>Distributed workflows use saga/orchestration with compensating actions; there is no assumption of global ACID across bounded contexts.</w:t>
      </w:r>
    </w:p>
    <w:p>
      <w:pPr>
        <w:pStyle w:val="ListBullet"/>
        <w:spacing w:after="30"/>
      </w:pPr>
      <w:r>
        <w:t>Patient/clinical merge, financial posting and inventory corrections use explicit reversal/amendment semantics rather than destructive history edits.</w:t>
      </w:r>
    </w:p>
    <w:p>
      <w:pPr>
        <w:pStyle w:val="Heading1"/>
      </w:pPr>
      <w:r>
        <w:t>17. Data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D9EAF7"/>
            <w:vAlign w:val="center"/>
            <w:tcMar>
              <w:top w:w="60" w:type="dxa"/>
              <w:start w:w="60" w:type="dxa"/>
              <w:bottom w:w="60" w:type="dxa"/>
              <w:end w:w="60" w:type="dxa"/>
            </w:tcMar>
          </w:tcPr>
          <w:p>
            <w:r>
              <w:rPr>
                <w:b/>
                <w:sz w:val="15"/>
              </w:rPr>
              <w:t>Store</w:t>
            </w:r>
          </w:p>
        </w:tc>
        <w:tc>
          <w:tcPr>
            <w:tcW w:type="dxa" w:w="8496"/>
            <w:shd w:fill="D9EAF7"/>
            <w:vAlign w:val="center"/>
            <w:tcMar>
              <w:top w:w="60" w:type="dxa"/>
              <w:start w:w="60" w:type="dxa"/>
              <w:bottom w:w="60" w:type="dxa"/>
              <w:end w:w="60" w:type="dxa"/>
            </w:tcMar>
          </w:tcPr>
          <w:p>
            <w:r>
              <w:rPr>
                <w:b/>
                <w:sz w:val="15"/>
              </w:rPr>
              <w:t>Purpose</w:t>
            </w:r>
          </w:p>
        </w:tc>
      </w:tr>
      <w:tr>
        <w:tc>
          <w:tcPr>
            <w:tcW w:type="dxa" w:w="2304"/>
            <w:vAlign w:val="top"/>
            <w:tcMar>
              <w:top w:w="60" w:type="dxa"/>
              <w:start w:w="60" w:type="dxa"/>
              <w:bottom w:w="60" w:type="dxa"/>
              <w:end w:w="60" w:type="dxa"/>
            </w:tcMar>
          </w:tcPr>
          <w:p>
            <w:pPr>
              <w:spacing w:after="20"/>
            </w:pPr>
            <w:r>
              <w:rPr>
                <w:sz w:val="15"/>
              </w:rPr>
              <w:t>PostgreSQL OLTP</w:t>
            </w:r>
          </w:p>
        </w:tc>
        <w:tc>
          <w:tcPr>
            <w:tcW w:type="dxa" w:w="8496"/>
            <w:vAlign w:val="top"/>
            <w:tcMar>
              <w:top w:w="60" w:type="dxa"/>
              <w:start w:w="60" w:type="dxa"/>
              <w:bottom w:w="60" w:type="dxa"/>
              <w:end w:w="60" w:type="dxa"/>
            </w:tcMar>
          </w:tcPr>
          <w:p>
            <w:pPr>
              <w:spacing w:after="20"/>
            </w:pPr>
            <w:r>
              <w:rPr>
                <w:sz w:val="15"/>
              </w:rPr>
              <w:t>Source-of-truth relational data, partitioned/high-volume tables where justified; tenant-aware indexes and row access enforcement.</w:t>
            </w:r>
          </w:p>
        </w:tc>
      </w:tr>
      <w:tr>
        <w:tc>
          <w:tcPr>
            <w:tcW w:type="dxa" w:w="2304"/>
            <w:vAlign w:val="top"/>
            <w:tcMar>
              <w:top w:w="60" w:type="dxa"/>
              <w:start w:w="60" w:type="dxa"/>
              <w:bottom w:w="60" w:type="dxa"/>
              <w:end w:w="60" w:type="dxa"/>
            </w:tcMar>
          </w:tcPr>
          <w:p>
            <w:pPr>
              <w:spacing w:after="20"/>
            </w:pPr>
            <w:r>
              <w:rPr>
                <w:sz w:val="15"/>
              </w:rPr>
              <w:t>Immutable ledgers</w:t>
            </w:r>
          </w:p>
        </w:tc>
        <w:tc>
          <w:tcPr>
            <w:tcW w:type="dxa" w:w="8496"/>
            <w:vAlign w:val="top"/>
            <w:tcMar>
              <w:top w:w="60" w:type="dxa"/>
              <w:start w:w="60" w:type="dxa"/>
              <w:bottom w:w="60" w:type="dxa"/>
              <w:end w:w="60" w:type="dxa"/>
            </w:tcMar>
          </w:tcPr>
          <w:p>
            <w:pPr>
              <w:spacing w:after="20"/>
            </w:pPr>
            <w:r>
              <w:rPr>
                <w:sz w:val="15"/>
              </w:rPr>
              <w:t>Inventory movements, financial postings, consent/audit and selected clinical amendments use append/reversal patterns.</w:t>
            </w:r>
          </w:p>
        </w:tc>
      </w:tr>
      <w:tr>
        <w:tc>
          <w:tcPr>
            <w:tcW w:type="dxa" w:w="2304"/>
            <w:vAlign w:val="top"/>
            <w:tcMar>
              <w:top w:w="60" w:type="dxa"/>
              <w:start w:w="60" w:type="dxa"/>
              <w:bottom w:w="60" w:type="dxa"/>
              <w:end w:w="60" w:type="dxa"/>
            </w:tcMar>
          </w:tcPr>
          <w:p>
            <w:pPr>
              <w:spacing w:after="20"/>
            </w:pPr>
            <w:r>
              <w:rPr>
                <w:sz w:val="15"/>
              </w:rPr>
              <w:t>Object store</w:t>
            </w:r>
          </w:p>
        </w:tc>
        <w:tc>
          <w:tcPr>
            <w:tcW w:type="dxa" w:w="8496"/>
            <w:vAlign w:val="top"/>
            <w:tcMar>
              <w:top w:w="60" w:type="dxa"/>
              <w:start w:w="60" w:type="dxa"/>
              <w:bottom w:w="60" w:type="dxa"/>
              <w:end w:w="60" w:type="dxa"/>
            </w:tcMar>
          </w:tcPr>
          <w:p>
            <w:pPr>
              <w:spacing w:after="20"/>
            </w:pPr>
            <w:r>
              <w:rPr>
                <w:sz w:val="15"/>
              </w:rPr>
              <w:t>Clinical documents, scans, reports, invoices, attachments and bulk exports; DB retains metadata/hash/provenance.</w:t>
            </w:r>
          </w:p>
        </w:tc>
      </w:tr>
      <w:tr>
        <w:tc>
          <w:tcPr>
            <w:tcW w:type="dxa" w:w="2304"/>
            <w:vAlign w:val="top"/>
            <w:tcMar>
              <w:top w:w="60" w:type="dxa"/>
              <w:start w:w="60" w:type="dxa"/>
              <w:bottom w:w="60" w:type="dxa"/>
              <w:end w:w="60" w:type="dxa"/>
            </w:tcMar>
          </w:tcPr>
          <w:p>
            <w:pPr>
              <w:spacing w:after="20"/>
            </w:pPr>
            <w:r>
              <w:rPr>
                <w:sz w:val="15"/>
              </w:rPr>
              <w:t>Search index</w:t>
            </w:r>
          </w:p>
        </w:tc>
        <w:tc>
          <w:tcPr>
            <w:tcW w:type="dxa" w:w="8496"/>
            <w:vAlign w:val="top"/>
            <w:tcMar>
              <w:top w:w="60" w:type="dxa"/>
              <w:start w:w="60" w:type="dxa"/>
              <w:bottom w:w="60" w:type="dxa"/>
              <w:end w:w="60" w:type="dxa"/>
            </w:tcMar>
          </w:tcPr>
          <w:p>
            <w:pPr>
              <w:spacing w:after="20"/>
            </w:pPr>
            <w:r>
              <w:rPr>
                <w:sz w:val="15"/>
              </w:rPr>
              <w:t>Operational full-text/document search and faceting; index is rebuildable, never legal source of truth.</w:t>
            </w:r>
          </w:p>
        </w:tc>
      </w:tr>
      <w:tr>
        <w:tc>
          <w:tcPr>
            <w:tcW w:type="dxa" w:w="2304"/>
            <w:vAlign w:val="top"/>
            <w:tcMar>
              <w:top w:w="60" w:type="dxa"/>
              <w:start w:w="60" w:type="dxa"/>
              <w:bottom w:w="60" w:type="dxa"/>
              <w:end w:w="60" w:type="dxa"/>
            </w:tcMar>
          </w:tcPr>
          <w:p>
            <w:pPr>
              <w:spacing w:after="20"/>
            </w:pPr>
            <w:r>
              <w:rPr>
                <w:sz w:val="15"/>
              </w:rPr>
              <w:t>Analytics store</w:t>
            </w:r>
          </w:p>
        </w:tc>
        <w:tc>
          <w:tcPr>
            <w:tcW w:type="dxa" w:w="8496"/>
            <w:vAlign w:val="top"/>
            <w:tcMar>
              <w:top w:w="60" w:type="dxa"/>
              <w:start w:w="60" w:type="dxa"/>
              <w:bottom w:w="60" w:type="dxa"/>
              <w:end w:w="60" w:type="dxa"/>
            </w:tcMar>
          </w:tcPr>
          <w:p>
            <w:pPr>
              <w:spacing w:after="20"/>
            </w:pPr>
            <w:r>
              <w:rPr>
                <w:sz w:val="15"/>
              </w:rPr>
              <w:t>CDC/event-fed warehouse/lakehouse for BI; PHI access governed separately from operational database.</w:t>
            </w:r>
          </w:p>
        </w:tc>
      </w:tr>
      <w:tr>
        <w:tc>
          <w:tcPr>
            <w:tcW w:type="dxa" w:w="2304"/>
            <w:vAlign w:val="top"/>
            <w:tcMar>
              <w:top w:w="60" w:type="dxa"/>
              <w:start w:w="60" w:type="dxa"/>
              <w:bottom w:w="60" w:type="dxa"/>
              <w:end w:w="60" w:type="dxa"/>
            </w:tcMar>
          </w:tcPr>
          <w:p>
            <w:pPr>
              <w:spacing w:after="20"/>
            </w:pPr>
            <w:r>
              <w:rPr>
                <w:sz w:val="15"/>
              </w:rPr>
              <w:t>Time-series</w:t>
            </w:r>
          </w:p>
        </w:tc>
        <w:tc>
          <w:tcPr>
            <w:tcW w:type="dxa" w:w="8496"/>
            <w:vAlign w:val="top"/>
            <w:tcMar>
              <w:top w:w="60" w:type="dxa"/>
              <w:start w:w="60" w:type="dxa"/>
              <w:bottom w:w="60" w:type="dxa"/>
              <w:end w:w="60" w:type="dxa"/>
            </w:tcMar>
          </w:tcPr>
          <w:p>
            <w:pPr>
              <w:spacing w:after="20"/>
            </w:pPr>
            <w:r>
              <w:rPr>
                <w:sz w:val="15"/>
              </w:rPr>
              <w:t>SCADA/telemetry historian optimized for high-frequency data; patient chart only references clinically relevant finalized observations.</w:t>
            </w:r>
          </w:p>
        </w:tc>
      </w:tr>
      <w:tr>
        <w:tc>
          <w:tcPr>
            <w:tcW w:type="dxa" w:w="2304"/>
            <w:vAlign w:val="top"/>
            <w:tcMar>
              <w:top w:w="60" w:type="dxa"/>
              <w:start w:w="60" w:type="dxa"/>
              <w:bottom w:w="60" w:type="dxa"/>
              <w:end w:w="60" w:type="dxa"/>
            </w:tcMar>
          </w:tcPr>
          <w:p>
            <w:pPr>
              <w:spacing w:after="20"/>
            </w:pPr>
            <w:r>
              <w:rPr>
                <w:sz w:val="15"/>
              </w:rPr>
              <w:t>PACS/VNA</w:t>
            </w:r>
          </w:p>
        </w:tc>
        <w:tc>
          <w:tcPr>
            <w:tcW w:type="dxa" w:w="8496"/>
            <w:vAlign w:val="top"/>
            <w:tcMar>
              <w:top w:w="60" w:type="dxa"/>
              <w:start w:w="60" w:type="dxa"/>
              <w:bottom w:w="60" w:type="dxa"/>
              <w:end w:w="60" w:type="dxa"/>
            </w:tcMar>
          </w:tcPr>
          <w:p>
            <w:pPr>
              <w:spacing w:after="20"/>
            </w:pPr>
            <w:r>
              <w:rPr>
                <w:sz w:val="15"/>
              </w:rPr>
              <w:t>Images reside in DICOM-aware storage; application keeps accession/study/report/linkage metadata.</w:t>
            </w:r>
          </w:p>
        </w:tc>
      </w:tr>
      <w:tr>
        <w:tc>
          <w:tcPr>
            <w:tcW w:type="dxa" w:w="2304"/>
            <w:vAlign w:val="top"/>
            <w:tcMar>
              <w:top w:w="60" w:type="dxa"/>
              <w:start w:w="60" w:type="dxa"/>
              <w:bottom w:w="60" w:type="dxa"/>
              <w:end w:w="60" w:type="dxa"/>
            </w:tcMar>
          </w:tcPr>
          <w:p>
            <w:pPr>
              <w:spacing w:after="20"/>
            </w:pPr>
            <w:r>
              <w:rPr>
                <w:sz w:val="15"/>
              </w:rPr>
              <w:t>Terminology</w:t>
            </w:r>
          </w:p>
        </w:tc>
        <w:tc>
          <w:tcPr>
            <w:tcW w:type="dxa" w:w="8496"/>
            <w:vAlign w:val="top"/>
            <w:tcMar>
              <w:top w:w="60" w:type="dxa"/>
              <w:start w:w="60" w:type="dxa"/>
              <w:bottom w:w="60" w:type="dxa"/>
              <w:end w:w="60" w:type="dxa"/>
            </w:tcMar>
          </w:tcPr>
          <w:p>
            <w:pPr>
              <w:spacing w:after="20"/>
            </w:pPr>
            <w:r>
              <w:rPr>
                <w:sz w:val="15"/>
              </w:rPr>
              <w:t>Versioned code systems/value sets, local mappings and validation cache.</w:t>
            </w:r>
          </w:p>
        </w:tc>
      </w:tr>
    </w:tbl>
    <w:p>
      <w:pPr>
        <w:spacing w:after="20"/>
      </w:pPr>
    </w:p>
    <w:p>
      <w:pPr>
        <w:pStyle w:val="Heading1"/>
      </w:pPr>
      <w:r>
        <w:t>18. Interoperability and External Integrations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D9EAF7"/>
            <w:vAlign w:val="center"/>
            <w:tcMar>
              <w:top w:w="60" w:type="dxa"/>
              <w:start w:w="60" w:type="dxa"/>
              <w:bottom w:w="60" w:type="dxa"/>
              <w:end w:w="60" w:type="dxa"/>
            </w:tcMar>
          </w:tcPr>
          <w:p>
            <w:r>
              <w:rPr>
                <w:b/>
                <w:sz w:val="14"/>
              </w:rPr>
              <w:t>Integration</w:t>
            </w:r>
          </w:p>
        </w:tc>
        <w:tc>
          <w:tcPr>
            <w:tcW w:type="dxa" w:w="8352"/>
            <w:shd w:fill="D9EAF7"/>
            <w:vAlign w:val="center"/>
            <w:tcMar>
              <w:top w:w="60" w:type="dxa"/>
              <w:start w:w="60" w:type="dxa"/>
              <w:bottom w:w="60" w:type="dxa"/>
              <w:end w:w="60" w:type="dxa"/>
            </w:tcMar>
          </w:tcPr>
          <w:p>
            <w:r>
              <w:rPr>
                <w:b/>
                <w:sz w:val="14"/>
              </w:rPr>
              <w:t>Architecture</w:t>
            </w:r>
          </w:p>
        </w:tc>
      </w:tr>
      <w:tr>
        <w:tc>
          <w:tcPr>
            <w:tcW w:type="dxa" w:w="2448"/>
            <w:vAlign w:val="top"/>
            <w:tcMar>
              <w:top w:w="60" w:type="dxa"/>
              <w:start w:w="60" w:type="dxa"/>
              <w:bottom w:w="60" w:type="dxa"/>
              <w:end w:w="60" w:type="dxa"/>
            </w:tcMar>
          </w:tcPr>
          <w:p>
            <w:pPr>
              <w:spacing w:after="20"/>
            </w:pPr>
            <w:r>
              <w:rPr>
                <w:sz w:val="14"/>
              </w:rPr>
              <w:t>FHIR / ABDM</w:t>
            </w:r>
          </w:p>
        </w:tc>
        <w:tc>
          <w:tcPr>
            <w:tcW w:type="dxa" w:w="8352"/>
            <w:vAlign w:val="top"/>
            <w:tcMar>
              <w:top w:w="60" w:type="dxa"/>
              <w:start w:w="60" w:type="dxa"/>
              <w:bottom w:w="60" w:type="dxa"/>
              <w:end w:w="60" w:type="dxa"/>
            </w:tcMar>
          </w:tcPr>
          <w:p>
            <w:pPr>
              <w:spacing w:after="20"/>
            </w:pPr>
            <w:r>
              <w:rPr>
                <w:sz w:val="14"/>
              </w:rPr>
              <w:t>FHIR R4 canonical interoperability with ABDM implementation-guide profiles; compatibility adapter isolates IG version changes. Current published v6.5.0 is baseline while v7.0.0 July-2026 release/draft artifacts are tracked and regression-tested before activation.</w:t>
            </w:r>
          </w:p>
        </w:tc>
      </w:tr>
      <w:tr>
        <w:tc>
          <w:tcPr>
            <w:tcW w:type="dxa" w:w="2448"/>
            <w:vAlign w:val="top"/>
            <w:tcMar>
              <w:top w:w="60" w:type="dxa"/>
              <w:start w:w="60" w:type="dxa"/>
              <w:bottom w:w="60" w:type="dxa"/>
              <w:end w:w="60" w:type="dxa"/>
            </w:tcMar>
          </w:tcPr>
          <w:p>
            <w:pPr>
              <w:spacing w:after="20"/>
            </w:pPr>
            <w:r>
              <w:rPr>
                <w:sz w:val="14"/>
              </w:rPr>
              <w:t>ABHA/HFR/HPR</w:t>
            </w:r>
          </w:p>
        </w:tc>
        <w:tc>
          <w:tcPr>
            <w:tcW w:type="dxa" w:w="8352"/>
            <w:vAlign w:val="top"/>
            <w:tcMar>
              <w:top w:w="60" w:type="dxa"/>
              <w:start w:w="60" w:type="dxa"/>
              <w:bottom w:w="60" w:type="dxa"/>
              <w:end w:w="60" w:type="dxa"/>
            </w:tcMar>
          </w:tcPr>
          <w:p>
            <w:pPr>
              <w:spacing w:after="20"/>
            </w:pPr>
            <w:r>
              <w:rPr>
                <w:sz w:val="14"/>
              </w:rPr>
              <w:t>Configurable adapters for identity/provider/facility ecosystem workflows according to applicable ABDM APIs and certification/onboarding requirements.</w:t>
            </w:r>
          </w:p>
        </w:tc>
      </w:tr>
      <w:tr>
        <w:tc>
          <w:tcPr>
            <w:tcW w:type="dxa" w:w="2448"/>
            <w:vAlign w:val="top"/>
            <w:tcMar>
              <w:top w:w="60" w:type="dxa"/>
              <w:start w:w="60" w:type="dxa"/>
              <w:bottom w:w="60" w:type="dxa"/>
              <w:end w:w="60" w:type="dxa"/>
            </w:tcMar>
          </w:tcPr>
          <w:p>
            <w:pPr>
              <w:spacing w:after="20"/>
            </w:pPr>
            <w:r>
              <w:rPr>
                <w:sz w:val="14"/>
              </w:rPr>
              <w:t>NHCX</w:t>
            </w:r>
          </w:p>
        </w:tc>
        <w:tc>
          <w:tcPr>
            <w:tcW w:type="dxa" w:w="8352"/>
            <w:vAlign w:val="top"/>
            <w:tcMar>
              <w:top w:w="60" w:type="dxa"/>
              <w:start w:w="60" w:type="dxa"/>
              <w:bottom w:w="60" w:type="dxa"/>
              <w:end w:w="60" w:type="dxa"/>
            </w:tcMar>
          </w:tcPr>
          <w:p>
            <w:pPr>
              <w:spacing w:after="20"/>
            </w:pPr>
            <w:r>
              <w:rPr>
                <w:sz w:val="14"/>
              </w:rPr>
              <w:t>Claims/coverage interoperability adapter and conformance test pack; keep payer-specific legacy adapters during migration.</w:t>
            </w:r>
          </w:p>
        </w:tc>
      </w:tr>
      <w:tr>
        <w:tc>
          <w:tcPr>
            <w:tcW w:type="dxa" w:w="2448"/>
            <w:vAlign w:val="top"/>
            <w:tcMar>
              <w:top w:w="60" w:type="dxa"/>
              <w:start w:w="60" w:type="dxa"/>
              <w:bottom w:w="60" w:type="dxa"/>
              <w:end w:w="60" w:type="dxa"/>
            </w:tcMar>
          </w:tcPr>
          <w:p>
            <w:pPr>
              <w:spacing w:after="20"/>
            </w:pPr>
            <w:r>
              <w:rPr>
                <w:sz w:val="14"/>
              </w:rPr>
              <w:t>DICOM / DICOMweb</w:t>
            </w:r>
          </w:p>
        </w:tc>
        <w:tc>
          <w:tcPr>
            <w:tcW w:type="dxa" w:w="8352"/>
            <w:vAlign w:val="top"/>
            <w:tcMar>
              <w:top w:w="60" w:type="dxa"/>
              <w:start w:w="60" w:type="dxa"/>
              <w:bottom w:w="60" w:type="dxa"/>
              <w:end w:w="60" w:type="dxa"/>
            </w:tcMar>
          </w:tcPr>
          <w:p>
            <w:pPr>
              <w:spacing w:after="20"/>
            </w:pPr>
            <w:r>
              <w:rPr>
                <w:sz w:val="14"/>
              </w:rPr>
              <w:t>Imaging orders/worklist/report/viewer/PACS exchange.</w:t>
            </w:r>
          </w:p>
        </w:tc>
      </w:tr>
      <w:tr>
        <w:tc>
          <w:tcPr>
            <w:tcW w:type="dxa" w:w="2448"/>
            <w:vAlign w:val="top"/>
            <w:tcMar>
              <w:top w:w="60" w:type="dxa"/>
              <w:start w:w="60" w:type="dxa"/>
              <w:bottom w:w="60" w:type="dxa"/>
              <w:end w:w="60" w:type="dxa"/>
            </w:tcMar>
          </w:tcPr>
          <w:p>
            <w:pPr>
              <w:spacing w:after="20"/>
            </w:pPr>
            <w:r>
              <w:rPr>
                <w:sz w:val="14"/>
              </w:rPr>
              <w:t>HL7 v2 / vendor protocols</w:t>
            </w:r>
          </w:p>
        </w:tc>
        <w:tc>
          <w:tcPr>
            <w:tcW w:type="dxa" w:w="8352"/>
            <w:vAlign w:val="top"/>
            <w:tcMar>
              <w:top w:w="60" w:type="dxa"/>
              <w:start w:w="60" w:type="dxa"/>
              <w:bottom w:w="60" w:type="dxa"/>
              <w:end w:w="60" w:type="dxa"/>
            </w:tcMar>
          </w:tcPr>
          <w:p>
            <w:pPr>
              <w:spacing w:after="20"/>
            </w:pPr>
            <w:r>
              <w:rPr>
                <w:sz w:val="14"/>
              </w:rPr>
              <w:t>Legacy lab, ADT and device connectivity through integration engine/adapters.</w:t>
            </w:r>
          </w:p>
        </w:tc>
      </w:tr>
      <w:tr>
        <w:tc>
          <w:tcPr>
            <w:tcW w:type="dxa" w:w="2448"/>
            <w:vAlign w:val="top"/>
            <w:tcMar>
              <w:top w:w="60" w:type="dxa"/>
              <w:start w:w="60" w:type="dxa"/>
              <w:bottom w:w="60" w:type="dxa"/>
              <w:end w:w="60" w:type="dxa"/>
            </w:tcMar>
          </w:tcPr>
          <w:p>
            <w:pPr>
              <w:spacing w:after="20"/>
            </w:pPr>
            <w:r>
              <w:rPr>
                <w:sz w:val="14"/>
              </w:rPr>
              <w:t>Analyzer/device</w:t>
            </w:r>
          </w:p>
        </w:tc>
        <w:tc>
          <w:tcPr>
            <w:tcW w:type="dxa" w:w="8352"/>
            <w:vAlign w:val="top"/>
            <w:tcMar>
              <w:top w:w="60" w:type="dxa"/>
              <w:start w:w="60" w:type="dxa"/>
              <w:bottom w:w="60" w:type="dxa"/>
              <w:end w:w="60" w:type="dxa"/>
            </w:tcMar>
          </w:tcPr>
          <w:p>
            <w:pPr>
              <w:spacing w:after="20"/>
            </w:pPr>
            <w:r>
              <w:rPr>
                <w:sz w:val="14"/>
              </w:rPr>
              <w:t>ASTM/vendor TCP/file/API/serial gateways as required; normalized observations retain raw source metadata.</w:t>
            </w:r>
          </w:p>
        </w:tc>
      </w:tr>
      <w:tr>
        <w:tc>
          <w:tcPr>
            <w:tcW w:type="dxa" w:w="2448"/>
            <w:vAlign w:val="top"/>
            <w:tcMar>
              <w:top w:w="60" w:type="dxa"/>
              <w:start w:w="60" w:type="dxa"/>
              <w:bottom w:w="60" w:type="dxa"/>
              <w:end w:w="60" w:type="dxa"/>
            </w:tcMar>
          </w:tcPr>
          <w:p>
            <w:pPr>
              <w:spacing w:after="20"/>
            </w:pPr>
            <w:r>
              <w:rPr>
                <w:sz w:val="14"/>
              </w:rPr>
              <w:t>Payment</w:t>
            </w:r>
          </w:p>
        </w:tc>
        <w:tc>
          <w:tcPr>
            <w:tcW w:type="dxa" w:w="8352"/>
            <w:vAlign w:val="top"/>
            <w:tcMar>
              <w:top w:w="60" w:type="dxa"/>
              <w:start w:w="60" w:type="dxa"/>
              <w:bottom w:w="60" w:type="dxa"/>
              <w:end w:w="60" w:type="dxa"/>
            </w:tcMar>
          </w:tcPr>
          <w:p>
            <w:pPr>
              <w:spacing w:after="20"/>
            </w:pPr>
            <w:r>
              <w:rPr>
                <w:sz w:val="14"/>
              </w:rPr>
              <w:t>UPI/payment gateway/bank reconciliation adapters with tokenized provider references; avoid storing sensitive payment credentials.</w:t>
            </w:r>
          </w:p>
        </w:tc>
      </w:tr>
      <w:tr>
        <w:tc>
          <w:tcPr>
            <w:tcW w:type="dxa" w:w="2448"/>
            <w:vAlign w:val="top"/>
            <w:tcMar>
              <w:top w:w="60" w:type="dxa"/>
              <w:start w:w="60" w:type="dxa"/>
              <w:bottom w:w="60" w:type="dxa"/>
              <w:end w:w="60" w:type="dxa"/>
            </w:tcMar>
          </w:tcPr>
          <w:p>
            <w:pPr>
              <w:spacing w:after="20"/>
            </w:pPr>
            <w:r>
              <w:rPr>
                <w:sz w:val="14"/>
              </w:rPr>
              <w:t>Accounting/ERP</w:t>
            </w:r>
          </w:p>
        </w:tc>
        <w:tc>
          <w:tcPr>
            <w:tcW w:type="dxa" w:w="8352"/>
            <w:vAlign w:val="top"/>
            <w:tcMar>
              <w:top w:w="60" w:type="dxa"/>
              <w:start w:w="60" w:type="dxa"/>
              <w:bottom w:w="60" w:type="dxa"/>
              <w:end w:w="60" w:type="dxa"/>
            </w:tcMar>
          </w:tcPr>
          <w:p>
            <w:pPr>
              <w:spacing w:after="20"/>
            </w:pPr>
            <w:r>
              <w:rPr>
                <w:sz w:val="14"/>
              </w:rPr>
              <w:t>GL, cost center, receivables/payables, tax invoice and master-data interfaces to external ERP where hospital retains one.</w:t>
            </w:r>
          </w:p>
        </w:tc>
      </w:tr>
      <w:tr>
        <w:tc>
          <w:tcPr>
            <w:tcW w:type="dxa" w:w="2448"/>
            <w:vAlign w:val="top"/>
            <w:tcMar>
              <w:top w:w="60" w:type="dxa"/>
              <w:start w:w="60" w:type="dxa"/>
              <w:bottom w:w="60" w:type="dxa"/>
              <w:end w:w="60" w:type="dxa"/>
            </w:tcMar>
          </w:tcPr>
          <w:p>
            <w:pPr>
              <w:spacing w:after="20"/>
            </w:pPr>
            <w:r>
              <w:rPr>
                <w:sz w:val="14"/>
              </w:rPr>
              <w:t>Messaging</w:t>
            </w:r>
          </w:p>
        </w:tc>
        <w:tc>
          <w:tcPr>
            <w:tcW w:type="dxa" w:w="8352"/>
            <w:vAlign w:val="top"/>
            <w:tcMar>
              <w:top w:w="60" w:type="dxa"/>
              <w:start w:w="60" w:type="dxa"/>
              <w:bottom w:w="60" w:type="dxa"/>
              <w:end w:w="60" w:type="dxa"/>
            </w:tcMar>
          </w:tcPr>
          <w:p>
            <w:pPr>
              <w:spacing w:after="20"/>
            </w:pPr>
            <w:r>
              <w:rPr>
                <w:sz w:val="14"/>
              </w:rPr>
              <w:t>SMS, email, push and approved messaging-provider adapters with preference/consent and delivery status.</w:t>
            </w:r>
          </w:p>
        </w:tc>
      </w:tr>
      <w:tr>
        <w:tc>
          <w:tcPr>
            <w:tcW w:type="dxa" w:w="2448"/>
            <w:vAlign w:val="top"/>
            <w:tcMar>
              <w:top w:w="60" w:type="dxa"/>
              <w:start w:w="60" w:type="dxa"/>
              <w:bottom w:w="60" w:type="dxa"/>
              <w:end w:w="60" w:type="dxa"/>
            </w:tcMar>
          </w:tcPr>
          <w:p>
            <w:pPr>
              <w:spacing w:after="20"/>
            </w:pPr>
            <w:r>
              <w:rPr>
                <w:sz w:val="14"/>
              </w:rPr>
              <w:t>Logistics</w:t>
            </w:r>
          </w:p>
        </w:tc>
        <w:tc>
          <w:tcPr>
            <w:tcW w:type="dxa" w:w="8352"/>
            <w:vAlign w:val="top"/>
            <w:tcMar>
              <w:top w:w="60" w:type="dxa"/>
              <w:start w:w="60" w:type="dxa"/>
              <w:bottom w:w="60" w:type="dxa"/>
              <w:end w:w="60" w:type="dxa"/>
            </w:tcMar>
          </w:tcPr>
          <w:p>
            <w:pPr>
              <w:spacing w:after="20"/>
            </w:pPr>
            <w:r>
              <w:rPr>
                <w:sz w:val="14"/>
              </w:rPr>
              <w:t>Maps/serviceability/routing and 3PL/courier adapters for sample and medicine movement.</w:t>
            </w:r>
          </w:p>
        </w:tc>
      </w:tr>
    </w:tbl>
    <w:p>
      <w:pPr>
        <w:spacing w:after="20"/>
      </w:pPr>
    </w:p>
    <w:p>
      <w:pPr>
        <w:pStyle w:val="Heading1"/>
      </w:pPr>
      <w:r>
        <w:t>19. Security, Privacy, Safety and Compliance Baseline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AF7"/>
            <w:vAlign w:val="center"/>
            <w:tcMar>
              <w:top w:w="60" w:type="dxa"/>
              <w:start w:w="60" w:type="dxa"/>
              <w:bottom w:w="60" w:type="dxa"/>
              <w:end w:w="60" w:type="dxa"/>
            </w:tcMar>
          </w:tcPr>
          <w:p>
            <w:r>
              <w:rPr>
                <w:b/>
                <w:sz w:val="14"/>
              </w:rPr>
              <w:t>ID</w:t>
            </w:r>
          </w:p>
        </w:tc>
        <w:tc>
          <w:tcPr>
            <w:tcW w:type="dxa" w:w="9360"/>
            <w:shd w:fill="D9EAF7"/>
            <w:vAlign w:val="center"/>
            <w:tcMar>
              <w:top w:w="60" w:type="dxa"/>
              <w:start w:w="60" w:type="dxa"/>
              <w:bottom w:w="60" w:type="dxa"/>
              <w:end w:w="60" w:type="dxa"/>
            </w:tcMar>
          </w:tcPr>
          <w:p>
            <w:r>
              <w:rPr>
                <w:b/>
                <w:sz w:val="14"/>
              </w:rPr>
              <w:t>Requirement</w:t>
            </w:r>
          </w:p>
        </w:tc>
      </w:tr>
      <w:tr>
        <w:tc>
          <w:tcPr>
            <w:tcW w:type="dxa" w:w="1440"/>
            <w:vAlign w:val="top"/>
            <w:tcMar>
              <w:top w:w="60" w:type="dxa"/>
              <w:start w:w="60" w:type="dxa"/>
              <w:bottom w:w="60" w:type="dxa"/>
              <w:end w:w="60" w:type="dxa"/>
            </w:tcMar>
          </w:tcPr>
          <w:p>
            <w:pPr>
              <w:spacing w:after="20"/>
            </w:pPr>
            <w:r>
              <w:rPr>
                <w:sz w:val="14"/>
              </w:rPr>
              <w:t>SEC-001</w:t>
            </w:r>
          </w:p>
        </w:tc>
        <w:tc>
          <w:tcPr>
            <w:tcW w:type="dxa" w:w="9360"/>
            <w:vAlign w:val="top"/>
            <w:tcMar>
              <w:top w:w="60" w:type="dxa"/>
              <w:start w:w="60" w:type="dxa"/>
              <w:bottom w:w="60" w:type="dxa"/>
              <w:end w:w="60" w:type="dxa"/>
            </w:tcMar>
          </w:tcPr>
          <w:p>
            <w:pPr>
              <w:spacing w:after="20"/>
            </w:pPr>
            <w:r>
              <w:rPr>
                <w:sz w:val="14"/>
              </w:rPr>
              <w:t>Zero-trust service/user authentication; OIDC/OAuth2-compatible identity; MFA for privileged roles.</w:t>
            </w:r>
          </w:p>
        </w:tc>
      </w:tr>
      <w:tr>
        <w:tc>
          <w:tcPr>
            <w:tcW w:type="dxa" w:w="1440"/>
            <w:vAlign w:val="top"/>
            <w:tcMar>
              <w:top w:w="60" w:type="dxa"/>
              <w:start w:w="60" w:type="dxa"/>
              <w:bottom w:w="60" w:type="dxa"/>
              <w:end w:w="60" w:type="dxa"/>
            </w:tcMar>
          </w:tcPr>
          <w:p>
            <w:pPr>
              <w:spacing w:after="20"/>
            </w:pPr>
            <w:r>
              <w:rPr>
                <w:sz w:val="14"/>
              </w:rPr>
              <w:t>SEC-002</w:t>
            </w:r>
          </w:p>
        </w:tc>
        <w:tc>
          <w:tcPr>
            <w:tcW w:type="dxa" w:w="9360"/>
            <w:vAlign w:val="top"/>
            <w:tcMar>
              <w:top w:w="60" w:type="dxa"/>
              <w:start w:w="60" w:type="dxa"/>
              <w:bottom w:w="60" w:type="dxa"/>
              <w:end w:w="60" w:type="dxa"/>
            </w:tcMar>
          </w:tcPr>
          <w:p>
            <w:pPr>
              <w:spacing w:after="20"/>
            </w:pPr>
            <w:r>
              <w:rPr>
                <w:sz w:val="14"/>
              </w:rPr>
              <w:t>Fine-grained authorization and purpose-of-use; patient-context restrictions; break-glass with reason and review.</w:t>
            </w:r>
          </w:p>
        </w:tc>
      </w:tr>
      <w:tr>
        <w:tc>
          <w:tcPr>
            <w:tcW w:type="dxa" w:w="1440"/>
            <w:vAlign w:val="top"/>
            <w:tcMar>
              <w:top w:w="60" w:type="dxa"/>
              <w:start w:w="60" w:type="dxa"/>
              <w:bottom w:w="60" w:type="dxa"/>
              <w:end w:w="60" w:type="dxa"/>
            </w:tcMar>
          </w:tcPr>
          <w:p>
            <w:pPr>
              <w:spacing w:after="20"/>
            </w:pPr>
            <w:r>
              <w:rPr>
                <w:sz w:val="14"/>
              </w:rPr>
              <w:t>SEC-003</w:t>
            </w:r>
          </w:p>
        </w:tc>
        <w:tc>
          <w:tcPr>
            <w:tcW w:type="dxa" w:w="9360"/>
            <w:vAlign w:val="top"/>
            <w:tcMar>
              <w:top w:w="60" w:type="dxa"/>
              <w:start w:w="60" w:type="dxa"/>
              <w:bottom w:w="60" w:type="dxa"/>
              <w:end w:w="60" w:type="dxa"/>
            </w:tcMar>
          </w:tcPr>
          <w:p>
            <w:pPr>
              <w:spacing w:after="20"/>
            </w:pPr>
            <w:r>
              <w:rPr>
                <w:sz w:val="14"/>
              </w:rPr>
              <w:t>TLS in transit; managed encryption at rest; tenant/customer-managed key option for enterprise.</w:t>
            </w:r>
          </w:p>
        </w:tc>
      </w:tr>
      <w:tr>
        <w:tc>
          <w:tcPr>
            <w:tcW w:type="dxa" w:w="1440"/>
            <w:vAlign w:val="top"/>
            <w:tcMar>
              <w:top w:w="60" w:type="dxa"/>
              <w:start w:w="60" w:type="dxa"/>
              <w:bottom w:w="60" w:type="dxa"/>
              <w:end w:w="60" w:type="dxa"/>
            </w:tcMar>
          </w:tcPr>
          <w:p>
            <w:pPr>
              <w:spacing w:after="20"/>
            </w:pPr>
            <w:r>
              <w:rPr>
                <w:sz w:val="14"/>
              </w:rPr>
              <w:t>SEC-004</w:t>
            </w:r>
          </w:p>
        </w:tc>
        <w:tc>
          <w:tcPr>
            <w:tcW w:type="dxa" w:w="9360"/>
            <w:vAlign w:val="top"/>
            <w:tcMar>
              <w:top w:w="60" w:type="dxa"/>
              <w:start w:w="60" w:type="dxa"/>
              <w:bottom w:w="60" w:type="dxa"/>
              <w:end w:w="60" w:type="dxa"/>
            </w:tcMar>
          </w:tcPr>
          <w:p>
            <w:pPr>
              <w:spacing w:after="20"/>
            </w:pPr>
            <w:r>
              <w:rPr>
                <w:sz w:val="14"/>
              </w:rPr>
              <w:t>Secrets in secret manager/HSM-backed services; rotation and no secrets committed to repositories.</w:t>
            </w:r>
          </w:p>
        </w:tc>
      </w:tr>
      <w:tr>
        <w:tc>
          <w:tcPr>
            <w:tcW w:type="dxa" w:w="1440"/>
            <w:vAlign w:val="top"/>
            <w:tcMar>
              <w:top w:w="60" w:type="dxa"/>
              <w:start w:w="60" w:type="dxa"/>
              <w:bottom w:w="60" w:type="dxa"/>
              <w:end w:w="60" w:type="dxa"/>
            </w:tcMar>
          </w:tcPr>
          <w:p>
            <w:pPr>
              <w:spacing w:after="20"/>
            </w:pPr>
            <w:r>
              <w:rPr>
                <w:sz w:val="14"/>
              </w:rPr>
              <w:t>SEC-005</w:t>
            </w:r>
          </w:p>
        </w:tc>
        <w:tc>
          <w:tcPr>
            <w:tcW w:type="dxa" w:w="9360"/>
            <w:vAlign w:val="top"/>
            <w:tcMar>
              <w:top w:w="60" w:type="dxa"/>
              <w:start w:w="60" w:type="dxa"/>
              <w:bottom w:w="60" w:type="dxa"/>
              <w:end w:w="60" w:type="dxa"/>
            </w:tcMar>
          </w:tcPr>
          <w:p>
            <w:pPr>
              <w:spacing w:after="20"/>
            </w:pPr>
            <w:r>
              <w:rPr>
                <w:sz w:val="14"/>
              </w:rPr>
              <w:t>Tamper-evident audit trail for read/export and write of sensitive domains; correlation across UI/API/workflow.</w:t>
            </w:r>
          </w:p>
        </w:tc>
      </w:tr>
      <w:tr>
        <w:tc>
          <w:tcPr>
            <w:tcW w:type="dxa" w:w="1440"/>
            <w:vAlign w:val="top"/>
            <w:tcMar>
              <w:top w:w="60" w:type="dxa"/>
              <w:start w:w="60" w:type="dxa"/>
              <w:bottom w:w="60" w:type="dxa"/>
              <w:end w:w="60" w:type="dxa"/>
            </w:tcMar>
          </w:tcPr>
          <w:p>
            <w:pPr>
              <w:spacing w:after="20"/>
            </w:pPr>
            <w:r>
              <w:rPr>
                <w:sz w:val="14"/>
              </w:rPr>
              <w:t>SEC-006</w:t>
            </w:r>
          </w:p>
        </w:tc>
        <w:tc>
          <w:tcPr>
            <w:tcW w:type="dxa" w:w="9360"/>
            <w:vAlign w:val="top"/>
            <w:tcMar>
              <w:top w:w="60" w:type="dxa"/>
              <w:start w:w="60" w:type="dxa"/>
              <w:bottom w:w="60" w:type="dxa"/>
              <w:end w:w="60" w:type="dxa"/>
            </w:tcMar>
          </w:tcPr>
          <w:p>
            <w:pPr>
              <w:spacing w:after="20"/>
            </w:pPr>
            <w:r>
              <w:rPr>
                <w:sz w:val="14"/>
              </w:rPr>
              <w:t>DPDP-aligned privacy center: notice, purpose, consent where relied upon, withdrawal, rights handling, grievances, processors and retention governance.</w:t>
            </w:r>
          </w:p>
        </w:tc>
      </w:tr>
      <w:tr>
        <w:tc>
          <w:tcPr>
            <w:tcW w:type="dxa" w:w="1440"/>
            <w:vAlign w:val="top"/>
            <w:tcMar>
              <w:top w:w="60" w:type="dxa"/>
              <w:start w:w="60" w:type="dxa"/>
              <w:bottom w:w="60" w:type="dxa"/>
              <w:end w:w="60" w:type="dxa"/>
            </w:tcMar>
          </w:tcPr>
          <w:p>
            <w:pPr>
              <w:spacing w:after="20"/>
            </w:pPr>
            <w:r>
              <w:rPr>
                <w:sz w:val="14"/>
              </w:rPr>
              <w:t>SEC-007</w:t>
            </w:r>
          </w:p>
        </w:tc>
        <w:tc>
          <w:tcPr>
            <w:tcW w:type="dxa" w:w="9360"/>
            <w:vAlign w:val="top"/>
            <w:tcMar>
              <w:top w:w="60" w:type="dxa"/>
              <w:start w:w="60" w:type="dxa"/>
              <w:bottom w:w="60" w:type="dxa"/>
              <w:end w:w="60" w:type="dxa"/>
            </w:tcMar>
          </w:tcPr>
          <w:p>
            <w:pPr>
              <w:spacing w:after="20"/>
            </w:pPr>
            <w:r>
              <w:rPr>
                <w:sz w:val="14"/>
              </w:rPr>
              <w:t>Children/guardian data flows and age-sensitive consent/authorization are explicit and configurable.</w:t>
            </w:r>
          </w:p>
        </w:tc>
      </w:tr>
      <w:tr>
        <w:tc>
          <w:tcPr>
            <w:tcW w:type="dxa" w:w="1440"/>
            <w:vAlign w:val="top"/>
            <w:tcMar>
              <w:top w:w="60" w:type="dxa"/>
              <w:start w:w="60" w:type="dxa"/>
              <w:bottom w:w="60" w:type="dxa"/>
              <w:end w:w="60" w:type="dxa"/>
            </w:tcMar>
          </w:tcPr>
          <w:p>
            <w:pPr>
              <w:spacing w:after="20"/>
            </w:pPr>
            <w:r>
              <w:rPr>
                <w:sz w:val="14"/>
              </w:rPr>
              <w:t>SEC-008</w:t>
            </w:r>
          </w:p>
        </w:tc>
        <w:tc>
          <w:tcPr>
            <w:tcW w:type="dxa" w:w="9360"/>
            <w:vAlign w:val="top"/>
            <w:tcMar>
              <w:top w:w="60" w:type="dxa"/>
              <w:start w:w="60" w:type="dxa"/>
              <w:bottom w:w="60" w:type="dxa"/>
              <w:end w:w="60" w:type="dxa"/>
            </w:tcMar>
          </w:tcPr>
          <w:p>
            <w:pPr>
              <w:spacing w:after="20"/>
            </w:pPr>
            <w:r>
              <w:rPr>
                <w:sz w:val="14"/>
              </w:rPr>
              <w:t>Data minimization, field-level masking, restricted-note segmentation, export controls and watermarking of sensitive reports.</w:t>
            </w:r>
          </w:p>
        </w:tc>
      </w:tr>
      <w:tr>
        <w:tc>
          <w:tcPr>
            <w:tcW w:type="dxa" w:w="1440"/>
            <w:vAlign w:val="top"/>
            <w:tcMar>
              <w:top w:w="60" w:type="dxa"/>
              <w:start w:w="60" w:type="dxa"/>
              <w:bottom w:w="60" w:type="dxa"/>
              <w:end w:w="60" w:type="dxa"/>
            </w:tcMar>
          </w:tcPr>
          <w:p>
            <w:pPr>
              <w:spacing w:after="20"/>
            </w:pPr>
            <w:r>
              <w:rPr>
                <w:sz w:val="14"/>
              </w:rPr>
              <w:t>SEC-009</w:t>
            </w:r>
          </w:p>
        </w:tc>
        <w:tc>
          <w:tcPr>
            <w:tcW w:type="dxa" w:w="9360"/>
            <w:vAlign w:val="top"/>
            <w:tcMar>
              <w:top w:w="60" w:type="dxa"/>
              <w:start w:w="60" w:type="dxa"/>
              <w:bottom w:w="60" w:type="dxa"/>
              <w:end w:w="60" w:type="dxa"/>
            </w:tcMar>
          </w:tcPr>
          <w:p>
            <w:pPr>
              <w:spacing w:after="20"/>
            </w:pPr>
            <w:r>
              <w:rPr>
                <w:sz w:val="14"/>
              </w:rPr>
              <w:t>Secure SDLC: SAST, dependency/SBOM, secret scan, container/IaC scan, DAST, penetration test and remediation SLAs.</w:t>
            </w:r>
          </w:p>
        </w:tc>
      </w:tr>
      <w:tr>
        <w:tc>
          <w:tcPr>
            <w:tcW w:type="dxa" w:w="1440"/>
            <w:vAlign w:val="top"/>
            <w:tcMar>
              <w:top w:w="60" w:type="dxa"/>
              <w:start w:w="60" w:type="dxa"/>
              <w:bottom w:w="60" w:type="dxa"/>
              <w:end w:w="60" w:type="dxa"/>
            </w:tcMar>
          </w:tcPr>
          <w:p>
            <w:pPr>
              <w:spacing w:after="20"/>
            </w:pPr>
            <w:r>
              <w:rPr>
                <w:sz w:val="14"/>
              </w:rPr>
              <w:t>SEC-010</w:t>
            </w:r>
          </w:p>
        </w:tc>
        <w:tc>
          <w:tcPr>
            <w:tcW w:type="dxa" w:w="9360"/>
            <w:vAlign w:val="top"/>
            <w:tcMar>
              <w:top w:w="60" w:type="dxa"/>
              <w:start w:w="60" w:type="dxa"/>
              <w:bottom w:w="60" w:type="dxa"/>
              <w:end w:w="60" w:type="dxa"/>
            </w:tcMar>
          </w:tcPr>
          <w:p>
            <w:pPr>
              <w:spacing w:after="20"/>
            </w:pPr>
            <w:r>
              <w:rPr>
                <w:sz w:val="14"/>
              </w:rPr>
              <w:t>Clinical safety: AI/CDS advisory labeling, provenance, human confirmation, override reason, high-risk change review and fail-safe operation.</w:t>
            </w:r>
          </w:p>
        </w:tc>
      </w:tr>
      <w:tr>
        <w:tc>
          <w:tcPr>
            <w:tcW w:type="dxa" w:w="1440"/>
            <w:vAlign w:val="top"/>
            <w:tcMar>
              <w:top w:w="60" w:type="dxa"/>
              <w:start w:w="60" w:type="dxa"/>
              <w:bottom w:w="60" w:type="dxa"/>
              <w:end w:w="60" w:type="dxa"/>
            </w:tcMar>
          </w:tcPr>
          <w:p>
            <w:pPr>
              <w:spacing w:after="20"/>
            </w:pPr>
            <w:r>
              <w:rPr>
                <w:sz w:val="14"/>
              </w:rPr>
              <w:t>SEC-011</w:t>
            </w:r>
          </w:p>
        </w:tc>
        <w:tc>
          <w:tcPr>
            <w:tcW w:type="dxa" w:w="9360"/>
            <w:vAlign w:val="top"/>
            <w:tcMar>
              <w:top w:w="60" w:type="dxa"/>
              <w:start w:w="60" w:type="dxa"/>
              <w:bottom w:w="60" w:type="dxa"/>
              <w:end w:w="60" w:type="dxa"/>
            </w:tcMar>
          </w:tcPr>
          <w:p>
            <w:pPr>
              <w:spacing w:after="20"/>
            </w:pPr>
            <w:r>
              <w:rPr>
                <w:sz w:val="14"/>
              </w:rPr>
              <w:t>Backup/restore tests, cross-region/site DR profile, ransomware-resilient immutable backup option and incident response.</w:t>
            </w:r>
          </w:p>
        </w:tc>
      </w:tr>
      <w:tr>
        <w:tc>
          <w:tcPr>
            <w:tcW w:type="dxa" w:w="1440"/>
            <w:vAlign w:val="top"/>
            <w:tcMar>
              <w:top w:w="60" w:type="dxa"/>
              <w:start w:w="60" w:type="dxa"/>
              <w:bottom w:w="60" w:type="dxa"/>
              <w:end w:w="60" w:type="dxa"/>
            </w:tcMar>
          </w:tcPr>
          <w:p>
            <w:pPr>
              <w:spacing w:after="20"/>
            </w:pPr>
            <w:r>
              <w:rPr>
                <w:sz w:val="14"/>
              </w:rPr>
              <w:t>SEC-012</w:t>
            </w:r>
          </w:p>
        </w:tc>
        <w:tc>
          <w:tcPr>
            <w:tcW w:type="dxa" w:w="9360"/>
            <w:vAlign w:val="top"/>
            <w:tcMar>
              <w:top w:w="60" w:type="dxa"/>
              <w:start w:w="60" w:type="dxa"/>
              <w:bottom w:w="60" w:type="dxa"/>
              <w:end w:w="60" w:type="dxa"/>
            </w:tcMar>
          </w:tcPr>
          <w:p>
            <w:pPr>
              <w:spacing w:after="20"/>
            </w:pPr>
            <w:r>
              <w:rPr>
                <w:sz w:val="14"/>
              </w:rPr>
              <w:t>NABL/ISO 15189 support features for laboratories: document control evidence, sample traceability, QC, equipment/calibration, personnel/competency and audit records; accreditation remains organization/scope specific.</w:t>
            </w:r>
          </w:p>
        </w:tc>
      </w:tr>
    </w:tbl>
    <w:p>
      <w:pPr>
        <w:spacing w:after="20"/>
      </w:pPr>
    </w:p>
    <w:p>
      <w:pPr>
        <w:pStyle w:val="Heading2"/>
      </w:pPr>
      <w:r>
        <w:t>19.1 Regulatory Design Position</w:t>
      </w:r>
    </w:p>
    <w:p>
      <w:r>
        <w:t>The product shall be designed for compliance enablement, not marketed as automatically making a hospital, laboratory, pharmacy or insurer compliant. Legal, clinical safety, drug-control, insurance, tax, accreditation and retention requirements must be validated against the customer's jurisdiction, licenses, scope and deployment before production use.</w:t>
      </w:r>
    </w:p>
    <w:p>
      <w:r>
        <w:t>For India, the design baseline explicitly incorporates the Digital Personal Data Protection Act, 2023 and the notified Digital Personal Data Protection Rules, 2025 with phased commencement; privacy controls must therefore be feature-flagged/effective-date aware as provisions become applicable.</w:t>
      </w:r>
    </w:p>
    <w:p>
      <w:pPr>
        <w:pStyle w:val="Heading1"/>
      </w:pPr>
      <w:r>
        <w:t>20. AI/ML and Rust Intelligence Layer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AF7"/>
            <w:vAlign w:val="center"/>
            <w:tcMar>
              <w:top w:w="60" w:type="dxa"/>
              <w:start w:w="60" w:type="dxa"/>
              <w:bottom w:w="60" w:type="dxa"/>
              <w:end w:w="60" w:type="dxa"/>
            </w:tcMar>
          </w:tcPr>
          <w:p>
            <w:r>
              <w:rPr>
                <w:b/>
                <w:sz w:val="14"/>
              </w:rPr>
              <w:t>ID</w:t>
            </w:r>
          </w:p>
        </w:tc>
        <w:tc>
          <w:tcPr>
            <w:tcW w:type="dxa" w:w="9360"/>
            <w:shd w:fill="D9EAF7"/>
            <w:vAlign w:val="center"/>
            <w:tcMar>
              <w:top w:w="60" w:type="dxa"/>
              <w:start w:w="60" w:type="dxa"/>
              <w:bottom w:w="60" w:type="dxa"/>
              <w:end w:w="60" w:type="dxa"/>
            </w:tcMar>
          </w:tcPr>
          <w:p>
            <w:r>
              <w:rPr>
                <w:b/>
                <w:sz w:val="14"/>
              </w:rPr>
              <w:t>Requirement</w:t>
            </w:r>
          </w:p>
        </w:tc>
      </w:tr>
      <w:tr>
        <w:tc>
          <w:tcPr>
            <w:tcW w:type="dxa" w:w="1440"/>
            <w:vAlign w:val="top"/>
            <w:tcMar>
              <w:top w:w="60" w:type="dxa"/>
              <w:start w:w="60" w:type="dxa"/>
              <w:bottom w:w="60" w:type="dxa"/>
              <w:end w:w="60" w:type="dxa"/>
            </w:tcMar>
          </w:tcPr>
          <w:p>
            <w:pPr>
              <w:spacing w:after="20"/>
            </w:pPr>
            <w:r>
              <w:rPr>
                <w:sz w:val="14"/>
              </w:rPr>
              <w:t>AI-001</w:t>
            </w:r>
          </w:p>
        </w:tc>
        <w:tc>
          <w:tcPr>
            <w:tcW w:type="dxa" w:w="9360"/>
            <w:vAlign w:val="top"/>
            <w:tcMar>
              <w:top w:w="60" w:type="dxa"/>
              <w:start w:w="60" w:type="dxa"/>
              <w:bottom w:w="60" w:type="dxa"/>
              <w:end w:w="60" w:type="dxa"/>
            </w:tcMar>
          </w:tcPr>
          <w:p>
            <w:pPr>
              <w:spacing w:after="20"/>
            </w:pPr>
            <w:r>
              <w:rPr>
                <w:sz w:val="14"/>
              </w:rPr>
              <w:t>Document intelligence for pharma purchase orders, invoices, prescriptions, referral forms and selected claims attachments.</w:t>
            </w:r>
          </w:p>
        </w:tc>
      </w:tr>
      <w:tr>
        <w:tc>
          <w:tcPr>
            <w:tcW w:type="dxa" w:w="1440"/>
            <w:vAlign w:val="top"/>
            <w:tcMar>
              <w:top w:w="60" w:type="dxa"/>
              <w:start w:w="60" w:type="dxa"/>
              <w:bottom w:w="60" w:type="dxa"/>
              <w:end w:w="60" w:type="dxa"/>
            </w:tcMar>
          </w:tcPr>
          <w:p>
            <w:pPr>
              <w:spacing w:after="20"/>
            </w:pPr>
            <w:r>
              <w:rPr>
                <w:sz w:val="14"/>
              </w:rPr>
              <w:t>AI-002</w:t>
            </w:r>
          </w:p>
        </w:tc>
        <w:tc>
          <w:tcPr>
            <w:tcW w:type="dxa" w:w="9360"/>
            <w:vAlign w:val="top"/>
            <w:tcMar>
              <w:top w:w="60" w:type="dxa"/>
              <w:start w:w="60" w:type="dxa"/>
              <w:bottom w:w="60" w:type="dxa"/>
              <w:end w:w="60" w:type="dxa"/>
            </w:tcMar>
          </w:tcPr>
          <w:p>
            <w:pPr>
              <w:spacing w:after="20"/>
            </w:pPr>
            <w:r>
              <w:rPr>
                <w:sz w:val="14"/>
              </w:rPr>
              <w:t>Entity/SKU/test/provider matching with confidence, explanations/candidate list and deterministic validation before transaction posting.</w:t>
            </w:r>
          </w:p>
        </w:tc>
      </w:tr>
      <w:tr>
        <w:tc>
          <w:tcPr>
            <w:tcW w:type="dxa" w:w="1440"/>
            <w:vAlign w:val="top"/>
            <w:tcMar>
              <w:top w:w="60" w:type="dxa"/>
              <w:start w:w="60" w:type="dxa"/>
              <w:bottom w:w="60" w:type="dxa"/>
              <w:end w:w="60" w:type="dxa"/>
            </w:tcMar>
          </w:tcPr>
          <w:p>
            <w:pPr>
              <w:spacing w:after="20"/>
            </w:pPr>
            <w:r>
              <w:rPr>
                <w:sz w:val="14"/>
              </w:rPr>
              <w:t>AI-003</w:t>
            </w:r>
          </w:p>
        </w:tc>
        <w:tc>
          <w:tcPr>
            <w:tcW w:type="dxa" w:w="9360"/>
            <w:vAlign w:val="top"/>
            <w:tcMar>
              <w:top w:w="60" w:type="dxa"/>
              <w:start w:w="60" w:type="dxa"/>
              <w:bottom w:w="60" w:type="dxa"/>
              <w:end w:w="60" w:type="dxa"/>
            </w:tcMar>
          </w:tcPr>
          <w:p>
            <w:pPr>
              <w:spacing w:after="20"/>
            </w:pPr>
            <w:r>
              <w:rPr>
                <w:sz w:val="14"/>
              </w:rPr>
              <w:t>Clinical NLP assistance for summarization, coding suggestions, registry abstraction and note structuring; clinician validates final chart.</w:t>
            </w:r>
          </w:p>
        </w:tc>
      </w:tr>
      <w:tr>
        <w:tc>
          <w:tcPr>
            <w:tcW w:type="dxa" w:w="1440"/>
            <w:vAlign w:val="top"/>
            <w:tcMar>
              <w:top w:w="60" w:type="dxa"/>
              <w:start w:w="60" w:type="dxa"/>
              <w:bottom w:w="60" w:type="dxa"/>
              <w:end w:w="60" w:type="dxa"/>
            </w:tcMar>
          </w:tcPr>
          <w:p>
            <w:pPr>
              <w:spacing w:after="20"/>
            </w:pPr>
            <w:r>
              <w:rPr>
                <w:sz w:val="14"/>
              </w:rPr>
              <w:t>AI-004</w:t>
            </w:r>
          </w:p>
        </w:tc>
        <w:tc>
          <w:tcPr>
            <w:tcW w:type="dxa" w:w="9360"/>
            <w:vAlign w:val="top"/>
            <w:tcMar>
              <w:top w:w="60" w:type="dxa"/>
              <w:start w:w="60" w:type="dxa"/>
              <w:bottom w:w="60" w:type="dxa"/>
              <w:end w:w="60" w:type="dxa"/>
            </w:tcMar>
          </w:tcPr>
          <w:p>
            <w:pPr>
              <w:spacing w:after="20"/>
            </w:pPr>
            <w:r>
              <w:rPr>
                <w:sz w:val="14"/>
              </w:rPr>
              <w:t>Claims intelligence: missing-document prediction, likely denial reason, coding anomaly, duplicate/suspicious pattern and query prioritization.</w:t>
            </w:r>
          </w:p>
        </w:tc>
      </w:tr>
      <w:tr>
        <w:tc>
          <w:tcPr>
            <w:tcW w:type="dxa" w:w="1440"/>
            <w:vAlign w:val="top"/>
            <w:tcMar>
              <w:top w:w="60" w:type="dxa"/>
              <w:start w:w="60" w:type="dxa"/>
              <w:bottom w:w="60" w:type="dxa"/>
              <w:end w:w="60" w:type="dxa"/>
            </w:tcMar>
          </w:tcPr>
          <w:p>
            <w:pPr>
              <w:spacing w:after="20"/>
            </w:pPr>
            <w:r>
              <w:rPr>
                <w:sz w:val="14"/>
              </w:rPr>
              <w:t>AI-005</w:t>
            </w:r>
          </w:p>
        </w:tc>
        <w:tc>
          <w:tcPr>
            <w:tcW w:type="dxa" w:w="9360"/>
            <w:vAlign w:val="top"/>
            <w:tcMar>
              <w:top w:w="60" w:type="dxa"/>
              <w:start w:w="60" w:type="dxa"/>
              <w:bottom w:w="60" w:type="dxa"/>
              <w:end w:w="60" w:type="dxa"/>
            </w:tcMar>
          </w:tcPr>
          <w:p>
            <w:pPr>
              <w:spacing w:after="20"/>
            </w:pPr>
            <w:r>
              <w:rPr>
                <w:sz w:val="14"/>
              </w:rPr>
              <w:t>Pharmacy/pharma demand forecasting by SKU-location; lead-time and seasonality; probabilistic forecast intervals.</w:t>
            </w:r>
          </w:p>
        </w:tc>
      </w:tr>
      <w:tr>
        <w:tc>
          <w:tcPr>
            <w:tcW w:type="dxa" w:w="1440"/>
            <w:vAlign w:val="top"/>
            <w:tcMar>
              <w:top w:w="60" w:type="dxa"/>
              <w:start w:w="60" w:type="dxa"/>
              <w:bottom w:w="60" w:type="dxa"/>
              <w:end w:w="60" w:type="dxa"/>
            </w:tcMar>
          </w:tcPr>
          <w:p>
            <w:pPr>
              <w:spacing w:after="20"/>
            </w:pPr>
            <w:r>
              <w:rPr>
                <w:sz w:val="14"/>
              </w:rPr>
              <w:t>AI-006</w:t>
            </w:r>
          </w:p>
        </w:tc>
        <w:tc>
          <w:tcPr>
            <w:tcW w:type="dxa" w:w="9360"/>
            <w:vAlign w:val="top"/>
            <w:tcMar>
              <w:top w:w="60" w:type="dxa"/>
              <w:start w:w="60" w:type="dxa"/>
              <w:bottom w:w="60" w:type="dxa"/>
              <w:end w:w="60" w:type="dxa"/>
            </w:tcMar>
          </w:tcPr>
          <w:p>
            <w:pPr>
              <w:spacing w:after="20"/>
            </w:pPr>
            <w:r>
              <w:rPr>
                <w:sz w:val="14"/>
              </w:rPr>
              <w:t>Inventory optimization: reorder, safety stock, inter-location balancing, expiry risk and substitution opportunity.</w:t>
            </w:r>
          </w:p>
        </w:tc>
      </w:tr>
      <w:tr>
        <w:tc>
          <w:tcPr>
            <w:tcW w:type="dxa" w:w="1440"/>
            <w:vAlign w:val="top"/>
            <w:tcMar>
              <w:top w:w="60" w:type="dxa"/>
              <w:start w:w="60" w:type="dxa"/>
              <w:bottom w:w="60" w:type="dxa"/>
              <w:end w:w="60" w:type="dxa"/>
            </w:tcMar>
          </w:tcPr>
          <w:p>
            <w:pPr>
              <w:spacing w:after="20"/>
            </w:pPr>
            <w:r>
              <w:rPr>
                <w:sz w:val="14"/>
              </w:rPr>
              <w:t>AI-007</w:t>
            </w:r>
          </w:p>
        </w:tc>
        <w:tc>
          <w:tcPr>
            <w:tcW w:type="dxa" w:w="9360"/>
            <w:vAlign w:val="top"/>
            <w:tcMar>
              <w:top w:w="60" w:type="dxa"/>
              <w:start w:w="60" w:type="dxa"/>
              <w:bottom w:w="60" w:type="dxa"/>
              <w:end w:w="60" w:type="dxa"/>
            </w:tcMar>
          </w:tcPr>
          <w:p>
            <w:pPr>
              <w:spacing w:after="20"/>
            </w:pPr>
            <w:r>
              <w:rPr>
                <w:sz w:val="14"/>
              </w:rPr>
              <w:t>Diagnostics: TAT prediction, workload balancing, home-collection routing and anomaly flags; no autonomous result sign-off.</w:t>
            </w:r>
          </w:p>
        </w:tc>
      </w:tr>
      <w:tr>
        <w:tc>
          <w:tcPr>
            <w:tcW w:type="dxa" w:w="1440"/>
            <w:vAlign w:val="top"/>
            <w:tcMar>
              <w:top w:w="60" w:type="dxa"/>
              <w:start w:w="60" w:type="dxa"/>
              <w:bottom w:w="60" w:type="dxa"/>
              <w:end w:w="60" w:type="dxa"/>
            </w:tcMar>
          </w:tcPr>
          <w:p>
            <w:pPr>
              <w:spacing w:after="20"/>
            </w:pPr>
            <w:r>
              <w:rPr>
                <w:sz w:val="14"/>
              </w:rPr>
              <w:t>AI-008</w:t>
            </w:r>
          </w:p>
        </w:tc>
        <w:tc>
          <w:tcPr>
            <w:tcW w:type="dxa" w:w="9360"/>
            <w:vAlign w:val="top"/>
            <w:tcMar>
              <w:top w:w="60" w:type="dxa"/>
              <w:start w:w="60" w:type="dxa"/>
              <w:bottom w:w="60" w:type="dxa"/>
              <w:end w:w="60" w:type="dxa"/>
            </w:tcMar>
          </w:tcPr>
          <w:p>
            <w:pPr>
              <w:spacing w:after="20"/>
            </w:pPr>
            <w:r>
              <w:rPr>
                <w:sz w:val="14"/>
              </w:rPr>
              <w:t>Hospital operations: no-show, bed/discharge readiness, queue load, OT utilization and staffing forecasts subject to bias/operational review.</w:t>
            </w:r>
          </w:p>
        </w:tc>
      </w:tr>
      <w:tr>
        <w:tc>
          <w:tcPr>
            <w:tcW w:type="dxa" w:w="1440"/>
            <w:vAlign w:val="top"/>
            <w:tcMar>
              <w:top w:w="60" w:type="dxa"/>
              <w:start w:w="60" w:type="dxa"/>
              <w:bottom w:w="60" w:type="dxa"/>
              <w:end w:w="60" w:type="dxa"/>
            </w:tcMar>
          </w:tcPr>
          <w:p>
            <w:pPr>
              <w:spacing w:after="20"/>
            </w:pPr>
            <w:r>
              <w:rPr>
                <w:sz w:val="14"/>
              </w:rPr>
              <w:t>AI-009</w:t>
            </w:r>
          </w:p>
        </w:tc>
        <w:tc>
          <w:tcPr>
            <w:tcW w:type="dxa" w:w="9360"/>
            <w:vAlign w:val="top"/>
            <w:tcMar>
              <w:top w:w="60" w:type="dxa"/>
              <w:start w:w="60" w:type="dxa"/>
              <w:bottom w:w="60" w:type="dxa"/>
              <w:end w:w="60" w:type="dxa"/>
            </w:tcMar>
          </w:tcPr>
          <w:p>
            <w:pPr>
              <w:spacing w:after="20"/>
            </w:pPr>
            <w:r>
              <w:rPr>
                <w:sz w:val="14"/>
              </w:rPr>
              <w:t>SCADA anomaly detection, energy baseline deviation and maintenance failure-risk ranking.</w:t>
            </w:r>
          </w:p>
        </w:tc>
      </w:tr>
      <w:tr>
        <w:tc>
          <w:tcPr>
            <w:tcW w:type="dxa" w:w="1440"/>
            <w:vAlign w:val="top"/>
            <w:tcMar>
              <w:top w:w="60" w:type="dxa"/>
              <w:start w:w="60" w:type="dxa"/>
              <w:bottom w:w="60" w:type="dxa"/>
              <w:end w:w="60" w:type="dxa"/>
            </w:tcMar>
          </w:tcPr>
          <w:p>
            <w:pPr>
              <w:spacing w:after="20"/>
            </w:pPr>
            <w:r>
              <w:rPr>
                <w:sz w:val="14"/>
              </w:rPr>
              <w:t>AI-010</w:t>
            </w:r>
          </w:p>
        </w:tc>
        <w:tc>
          <w:tcPr>
            <w:tcW w:type="dxa" w:w="9360"/>
            <w:vAlign w:val="top"/>
            <w:tcMar>
              <w:top w:w="60" w:type="dxa"/>
              <w:start w:w="60" w:type="dxa"/>
              <w:bottom w:w="60" w:type="dxa"/>
              <w:end w:w="60" w:type="dxa"/>
            </w:tcMar>
          </w:tcPr>
          <w:p>
            <w:pPr>
              <w:spacing w:after="20"/>
            </w:pPr>
            <w:r>
              <w:rPr>
                <w:sz w:val="14"/>
              </w:rPr>
              <w:t>Patient engagement: multilingual intent routing, navigation/support assistant and personalized reminders with guardrails.</w:t>
            </w:r>
          </w:p>
        </w:tc>
      </w:tr>
      <w:tr>
        <w:tc>
          <w:tcPr>
            <w:tcW w:type="dxa" w:w="1440"/>
            <w:vAlign w:val="top"/>
            <w:tcMar>
              <w:top w:w="60" w:type="dxa"/>
              <w:start w:w="60" w:type="dxa"/>
              <w:bottom w:w="60" w:type="dxa"/>
              <w:end w:w="60" w:type="dxa"/>
            </w:tcMar>
          </w:tcPr>
          <w:p>
            <w:pPr>
              <w:spacing w:after="20"/>
            </w:pPr>
            <w:r>
              <w:rPr>
                <w:sz w:val="14"/>
              </w:rPr>
              <w:t>AI-011</w:t>
            </w:r>
          </w:p>
        </w:tc>
        <w:tc>
          <w:tcPr>
            <w:tcW w:type="dxa" w:w="9360"/>
            <w:vAlign w:val="top"/>
            <w:tcMar>
              <w:top w:w="60" w:type="dxa"/>
              <w:start w:w="60" w:type="dxa"/>
              <w:bottom w:w="60" w:type="dxa"/>
              <w:end w:w="60" w:type="dxa"/>
            </w:tcMar>
          </w:tcPr>
          <w:p>
            <w:pPr>
              <w:spacing w:after="20"/>
            </w:pPr>
            <w:r>
              <w:rPr>
                <w:sz w:val="14"/>
              </w:rPr>
              <w:t>Model registry stores model/version, training-data lineage summary, evaluation, owner, intended use, risk class, approval and rollback.</w:t>
            </w:r>
          </w:p>
        </w:tc>
      </w:tr>
      <w:tr>
        <w:tc>
          <w:tcPr>
            <w:tcW w:type="dxa" w:w="1440"/>
            <w:vAlign w:val="top"/>
            <w:tcMar>
              <w:top w:w="60" w:type="dxa"/>
              <w:start w:w="60" w:type="dxa"/>
              <w:bottom w:w="60" w:type="dxa"/>
              <w:end w:w="60" w:type="dxa"/>
            </w:tcMar>
          </w:tcPr>
          <w:p>
            <w:pPr>
              <w:spacing w:after="20"/>
            </w:pPr>
            <w:r>
              <w:rPr>
                <w:sz w:val="14"/>
              </w:rPr>
              <w:t>AI-012</w:t>
            </w:r>
          </w:p>
        </w:tc>
        <w:tc>
          <w:tcPr>
            <w:tcW w:type="dxa" w:w="9360"/>
            <w:vAlign w:val="top"/>
            <w:tcMar>
              <w:top w:w="60" w:type="dxa"/>
              <w:start w:w="60" w:type="dxa"/>
              <w:bottom w:w="60" w:type="dxa"/>
              <w:end w:w="60" w:type="dxa"/>
            </w:tcMar>
          </w:tcPr>
          <w:p>
            <w:pPr>
              <w:spacing w:after="20"/>
            </w:pPr>
            <w:r>
              <w:rPr>
                <w:sz w:val="14"/>
              </w:rPr>
              <w:t>Inference record captures input references, model/version, output, confidence, latency, human disposition and downstream action.</w:t>
            </w:r>
          </w:p>
        </w:tc>
      </w:tr>
      <w:tr>
        <w:tc>
          <w:tcPr>
            <w:tcW w:type="dxa" w:w="1440"/>
            <w:vAlign w:val="top"/>
            <w:tcMar>
              <w:top w:w="60" w:type="dxa"/>
              <w:start w:w="60" w:type="dxa"/>
              <w:bottom w:w="60" w:type="dxa"/>
              <w:end w:w="60" w:type="dxa"/>
            </w:tcMar>
          </w:tcPr>
          <w:p>
            <w:pPr>
              <w:spacing w:after="20"/>
            </w:pPr>
            <w:r>
              <w:rPr>
                <w:sz w:val="14"/>
              </w:rPr>
              <w:t>AI-013</w:t>
            </w:r>
          </w:p>
        </w:tc>
        <w:tc>
          <w:tcPr>
            <w:tcW w:type="dxa" w:w="9360"/>
            <w:vAlign w:val="top"/>
            <w:tcMar>
              <w:top w:w="60" w:type="dxa"/>
              <w:start w:w="60" w:type="dxa"/>
              <w:bottom w:w="60" w:type="dxa"/>
              <w:end w:w="60" w:type="dxa"/>
            </w:tcMar>
          </w:tcPr>
          <w:p>
            <w:pPr>
              <w:spacing w:after="20"/>
            </w:pPr>
            <w:r>
              <w:rPr>
                <w:sz w:val="14"/>
              </w:rPr>
              <w:t>High-risk clinical use cases require prospective validation, monitoring, drift detection, governance and regulatory classification review.</w:t>
            </w:r>
          </w:p>
        </w:tc>
      </w:tr>
    </w:tbl>
    <w:p>
      <w:pPr>
        <w:spacing w:after="20"/>
      </w:pPr>
    </w:p>
    <w:p>
      <w:pPr>
        <w:pStyle w:val="Heading1"/>
      </w:pPr>
      <w:r>
        <w:t>21. Analytics, Command Centers and KPI Framework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D9EAF7"/>
            <w:vAlign w:val="center"/>
            <w:tcMar>
              <w:top w:w="60" w:type="dxa"/>
              <w:start w:w="60" w:type="dxa"/>
              <w:bottom w:w="60" w:type="dxa"/>
              <w:end w:w="60" w:type="dxa"/>
            </w:tcMar>
          </w:tcPr>
          <w:p>
            <w:r>
              <w:rPr>
                <w:b/>
                <w:sz w:val="14"/>
              </w:rPr>
              <w:t>Domain</w:t>
            </w:r>
          </w:p>
        </w:tc>
        <w:tc>
          <w:tcPr>
            <w:tcW w:type="dxa" w:w="8640"/>
            <w:shd w:fill="D9EAF7"/>
            <w:vAlign w:val="center"/>
            <w:tcMar>
              <w:top w:w="60" w:type="dxa"/>
              <w:start w:w="60" w:type="dxa"/>
              <w:bottom w:w="60" w:type="dxa"/>
              <w:end w:w="60" w:type="dxa"/>
            </w:tcMar>
          </w:tcPr>
          <w:p>
            <w:r>
              <w:rPr>
                <w:b/>
                <w:sz w:val="14"/>
              </w:rPr>
              <w:t>Representative KPIs</w:t>
            </w:r>
          </w:p>
        </w:tc>
      </w:tr>
      <w:tr>
        <w:tc>
          <w:tcPr>
            <w:tcW w:type="dxa" w:w="2160"/>
            <w:vAlign w:val="top"/>
            <w:tcMar>
              <w:top w:w="60" w:type="dxa"/>
              <w:start w:w="60" w:type="dxa"/>
              <w:bottom w:w="60" w:type="dxa"/>
              <w:end w:w="60" w:type="dxa"/>
            </w:tcMar>
          </w:tcPr>
          <w:p>
            <w:pPr>
              <w:spacing w:after="20"/>
            </w:pPr>
            <w:r>
              <w:rPr>
                <w:sz w:val="14"/>
              </w:rPr>
              <w:t>Clinical</w:t>
            </w:r>
          </w:p>
        </w:tc>
        <w:tc>
          <w:tcPr>
            <w:tcW w:type="dxa" w:w="8640"/>
            <w:vAlign w:val="top"/>
            <w:tcMar>
              <w:top w:w="60" w:type="dxa"/>
              <w:start w:w="60" w:type="dxa"/>
              <w:bottom w:w="60" w:type="dxa"/>
              <w:end w:w="60" w:type="dxa"/>
            </w:tcMar>
          </w:tcPr>
          <w:p>
            <w:pPr>
              <w:spacing w:after="20"/>
            </w:pPr>
            <w:r>
              <w:rPr>
                <w:sz w:val="14"/>
              </w:rPr>
              <w:t>Mortality/complications where risk-adjusted and appropriate; readmission; infection; medication safety; pathway compliance; specialty outcomes.</w:t>
            </w:r>
          </w:p>
        </w:tc>
      </w:tr>
      <w:tr>
        <w:tc>
          <w:tcPr>
            <w:tcW w:type="dxa" w:w="2160"/>
            <w:vAlign w:val="top"/>
            <w:tcMar>
              <w:top w:w="60" w:type="dxa"/>
              <w:start w:w="60" w:type="dxa"/>
              <w:bottom w:w="60" w:type="dxa"/>
              <w:end w:w="60" w:type="dxa"/>
            </w:tcMar>
          </w:tcPr>
          <w:p>
            <w:pPr>
              <w:spacing w:after="20"/>
            </w:pPr>
            <w:r>
              <w:rPr>
                <w:sz w:val="14"/>
              </w:rPr>
              <w:t>Patient flow</w:t>
            </w:r>
          </w:p>
        </w:tc>
        <w:tc>
          <w:tcPr>
            <w:tcW w:type="dxa" w:w="8640"/>
            <w:vAlign w:val="top"/>
            <w:tcMar>
              <w:top w:w="60" w:type="dxa"/>
              <w:start w:w="60" w:type="dxa"/>
              <w:bottom w:w="60" w:type="dxa"/>
              <w:end w:w="60" w:type="dxa"/>
            </w:tcMar>
          </w:tcPr>
          <w:p>
            <w:pPr>
              <w:spacing w:after="20"/>
            </w:pPr>
            <w:r>
              <w:rPr>
                <w:sz w:val="14"/>
              </w:rPr>
              <w:t>OP wait, ER door-to-triage/doctor/disposition, bed occupancy, discharge-before-noon, bed turnaround, LOS.</w:t>
            </w:r>
          </w:p>
        </w:tc>
      </w:tr>
      <w:tr>
        <w:tc>
          <w:tcPr>
            <w:tcW w:type="dxa" w:w="2160"/>
            <w:vAlign w:val="top"/>
            <w:tcMar>
              <w:top w:w="60" w:type="dxa"/>
              <w:start w:w="60" w:type="dxa"/>
              <w:bottom w:w="60" w:type="dxa"/>
              <w:end w:w="60" w:type="dxa"/>
            </w:tcMar>
          </w:tcPr>
          <w:p>
            <w:pPr>
              <w:spacing w:after="20"/>
            </w:pPr>
            <w:r>
              <w:rPr>
                <w:sz w:val="14"/>
              </w:rPr>
              <w:t>OT/ICU</w:t>
            </w:r>
          </w:p>
        </w:tc>
        <w:tc>
          <w:tcPr>
            <w:tcW w:type="dxa" w:w="8640"/>
            <w:vAlign w:val="top"/>
            <w:tcMar>
              <w:top w:w="60" w:type="dxa"/>
              <w:start w:w="60" w:type="dxa"/>
              <w:bottom w:w="60" w:type="dxa"/>
              <w:end w:w="60" w:type="dxa"/>
            </w:tcMar>
          </w:tcPr>
          <w:p>
            <w:pPr>
              <w:spacing w:after="20"/>
            </w:pPr>
            <w:r>
              <w:rPr>
                <w:sz w:val="14"/>
              </w:rPr>
              <w:t>OT utilization, cancellation, on-time start, turnover, ICU utilization, device days and selected quality indicators.</w:t>
            </w:r>
          </w:p>
        </w:tc>
      </w:tr>
      <w:tr>
        <w:tc>
          <w:tcPr>
            <w:tcW w:type="dxa" w:w="2160"/>
            <w:vAlign w:val="top"/>
            <w:tcMar>
              <w:top w:w="60" w:type="dxa"/>
              <w:start w:w="60" w:type="dxa"/>
              <w:bottom w:w="60" w:type="dxa"/>
              <w:end w:w="60" w:type="dxa"/>
            </w:tcMar>
          </w:tcPr>
          <w:p>
            <w:pPr>
              <w:spacing w:after="20"/>
            </w:pPr>
            <w:r>
              <w:rPr>
                <w:sz w:val="14"/>
              </w:rPr>
              <w:t>Diagnostics</w:t>
            </w:r>
          </w:p>
        </w:tc>
        <w:tc>
          <w:tcPr>
            <w:tcW w:type="dxa" w:w="8640"/>
            <w:vAlign w:val="top"/>
            <w:tcMar>
              <w:top w:w="60" w:type="dxa"/>
              <w:start w:w="60" w:type="dxa"/>
              <w:bottom w:w="60" w:type="dxa"/>
              <w:end w:w="60" w:type="dxa"/>
            </w:tcMar>
          </w:tcPr>
          <w:p>
            <w:pPr>
              <w:spacing w:after="20"/>
            </w:pPr>
            <w:r>
              <w:rPr>
                <w:sz w:val="14"/>
              </w:rPr>
              <w:t>Collection-to-receipt, TAT, redraw/rejection, critical result acknowledgment, analyzer downtime, referral rate.</w:t>
            </w:r>
          </w:p>
        </w:tc>
      </w:tr>
      <w:tr>
        <w:tc>
          <w:tcPr>
            <w:tcW w:type="dxa" w:w="2160"/>
            <w:vAlign w:val="top"/>
            <w:tcMar>
              <w:top w:w="60" w:type="dxa"/>
              <w:start w:w="60" w:type="dxa"/>
              <w:bottom w:w="60" w:type="dxa"/>
              <w:end w:w="60" w:type="dxa"/>
            </w:tcMar>
          </w:tcPr>
          <w:p>
            <w:pPr>
              <w:spacing w:after="20"/>
            </w:pPr>
            <w:r>
              <w:rPr>
                <w:sz w:val="14"/>
              </w:rPr>
              <w:t>Pharmacy</w:t>
            </w:r>
          </w:p>
        </w:tc>
        <w:tc>
          <w:tcPr>
            <w:tcW w:type="dxa" w:w="8640"/>
            <w:vAlign w:val="top"/>
            <w:tcMar>
              <w:top w:w="60" w:type="dxa"/>
              <w:start w:w="60" w:type="dxa"/>
              <w:bottom w:w="60" w:type="dxa"/>
              <w:end w:w="60" w:type="dxa"/>
            </w:tcMar>
          </w:tcPr>
          <w:p>
            <w:pPr>
              <w:spacing w:after="20"/>
            </w:pPr>
            <w:r>
              <w:rPr>
                <w:sz w:val="14"/>
              </w:rPr>
              <w:t>Prescription turnaround, fill rate, stockout, expiry, substitution, delivery SLA, inventory turns.</w:t>
            </w:r>
          </w:p>
        </w:tc>
      </w:tr>
      <w:tr>
        <w:tc>
          <w:tcPr>
            <w:tcW w:type="dxa" w:w="2160"/>
            <w:vAlign w:val="top"/>
            <w:tcMar>
              <w:top w:w="60" w:type="dxa"/>
              <w:start w:w="60" w:type="dxa"/>
              <w:bottom w:w="60" w:type="dxa"/>
              <w:end w:w="60" w:type="dxa"/>
            </w:tcMar>
          </w:tcPr>
          <w:p>
            <w:pPr>
              <w:spacing w:after="20"/>
            </w:pPr>
            <w:r>
              <w:rPr>
                <w:sz w:val="14"/>
              </w:rPr>
              <w:t>Pharma network</w:t>
            </w:r>
          </w:p>
        </w:tc>
        <w:tc>
          <w:tcPr>
            <w:tcW w:type="dxa" w:w="8640"/>
            <w:vAlign w:val="top"/>
            <w:tcMar>
              <w:top w:w="60" w:type="dxa"/>
              <w:start w:w="60" w:type="dxa"/>
              <w:bottom w:w="60" w:type="dxa"/>
              <w:end w:w="60" w:type="dxa"/>
            </w:tcMar>
          </w:tcPr>
          <w:p>
            <w:pPr>
              <w:spacing w:after="20"/>
            </w:pPr>
            <w:r>
              <w:rPr>
                <w:sz w:val="14"/>
              </w:rPr>
              <w:t>Order cycle time, straight-through-processing rate, fill rate, OTIF, DSO, return/expiry, scheme leakage.</w:t>
            </w:r>
          </w:p>
        </w:tc>
      </w:tr>
      <w:tr>
        <w:tc>
          <w:tcPr>
            <w:tcW w:type="dxa" w:w="2160"/>
            <w:vAlign w:val="top"/>
            <w:tcMar>
              <w:top w:w="60" w:type="dxa"/>
              <w:start w:w="60" w:type="dxa"/>
              <w:bottom w:w="60" w:type="dxa"/>
              <w:end w:w="60" w:type="dxa"/>
            </w:tcMar>
          </w:tcPr>
          <w:p>
            <w:pPr>
              <w:spacing w:after="20"/>
            </w:pPr>
            <w:r>
              <w:rPr>
                <w:sz w:val="14"/>
              </w:rPr>
              <w:t>Insurance</w:t>
            </w:r>
          </w:p>
        </w:tc>
        <w:tc>
          <w:tcPr>
            <w:tcW w:type="dxa" w:w="8640"/>
            <w:vAlign w:val="top"/>
            <w:tcMar>
              <w:top w:w="60" w:type="dxa"/>
              <w:start w:w="60" w:type="dxa"/>
              <w:bottom w:w="60" w:type="dxa"/>
              <w:end w:w="60" w:type="dxa"/>
            </w:tcMar>
          </w:tcPr>
          <w:p>
            <w:pPr>
              <w:spacing w:after="20"/>
            </w:pPr>
            <w:r>
              <w:rPr>
                <w:sz w:val="14"/>
              </w:rPr>
              <w:t>Preauth TAT, clean claim rate, query rate, denial rate, days in AR, settlement variance.</w:t>
            </w:r>
          </w:p>
        </w:tc>
      </w:tr>
      <w:tr>
        <w:tc>
          <w:tcPr>
            <w:tcW w:type="dxa" w:w="2160"/>
            <w:vAlign w:val="top"/>
            <w:tcMar>
              <w:top w:w="60" w:type="dxa"/>
              <w:start w:w="60" w:type="dxa"/>
              <w:bottom w:w="60" w:type="dxa"/>
              <w:end w:w="60" w:type="dxa"/>
            </w:tcMar>
          </w:tcPr>
          <w:p>
            <w:pPr>
              <w:spacing w:after="20"/>
            </w:pPr>
            <w:r>
              <w:rPr>
                <w:sz w:val="14"/>
              </w:rPr>
              <w:t>HR</w:t>
            </w:r>
          </w:p>
        </w:tc>
        <w:tc>
          <w:tcPr>
            <w:tcW w:type="dxa" w:w="8640"/>
            <w:vAlign w:val="top"/>
            <w:tcMar>
              <w:top w:w="60" w:type="dxa"/>
              <w:start w:w="60" w:type="dxa"/>
              <w:bottom w:w="60" w:type="dxa"/>
              <w:end w:w="60" w:type="dxa"/>
            </w:tcMar>
          </w:tcPr>
          <w:p>
            <w:pPr>
              <w:spacing w:after="20"/>
            </w:pPr>
            <w:r>
              <w:rPr>
                <w:sz w:val="14"/>
              </w:rPr>
              <w:t>Roster coverage, overtime, absenteeism, attrition, vacancy, credential expiry, payroll exception.</w:t>
            </w:r>
          </w:p>
        </w:tc>
      </w:tr>
      <w:tr>
        <w:tc>
          <w:tcPr>
            <w:tcW w:type="dxa" w:w="2160"/>
            <w:vAlign w:val="top"/>
            <w:tcMar>
              <w:top w:w="60" w:type="dxa"/>
              <w:start w:w="60" w:type="dxa"/>
              <w:bottom w:w="60" w:type="dxa"/>
              <w:end w:w="60" w:type="dxa"/>
            </w:tcMar>
          </w:tcPr>
          <w:p>
            <w:pPr>
              <w:spacing w:after="20"/>
            </w:pPr>
            <w:r>
              <w:rPr>
                <w:sz w:val="14"/>
              </w:rPr>
              <w:t>Facilities</w:t>
            </w:r>
          </w:p>
        </w:tc>
        <w:tc>
          <w:tcPr>
            <w:tcW w:type="dxa" w:w="8640"/>
            <w:vAlign w:val="top"/>
            <w:tcMar>
              <w:top w:w="60" w:type="dxa"/>
              <w:start w:w="60" w:type="dxa"/>
              <w:bottom w:w="60" w:type="dxa"/>
              <w:end w:w="60" w:type="dxa"/>
            </w:tcMar>
          </w:tcPr>
          <w:p>
            <w:pPr>
              <w:spacing w:after="20"/>
            </w:pPr>
            <w:r>
              <w:rPr>
                <w:sz w:val="14"/>
              </w:rPr>
              <w:t>Critical alarms, downtime, energy intensity, water use, equipment availability, preventive maintenance compliance.</w:t>
            </w:r>
          </w:p>
        </w:tc>
      </w:tr>
      <w:tr>
        <w:tc>
          <w:tcPr>
            <w:tcW w:type="dxa" w:w="2160"/>
            <w:vAlign w:val="top"/>
            <w:tcMar>
              <w:top w:w="60" w:type="dxa"/>
              <w:start w:w="60" w:type="dxa"/>
              <w:bottom w:w="60" w:type="dxa"/>
              <w:end w:w="60" w:type="dxa"/>
            </w:tcMar>
          </w:tcPr>
          <w:p>
            <w:pPr>
              <w:spacing w:after="20"/>
            </w:pPr>
            <w:r>
              <w:rPr>
                <w:sz w:val="14"/>
              </w:rPr>
              <w:t>Digital</w:t>
            </w:r>
          </w:p>
        </w:tc>
        <w:tc>
          <w:tcPr>
            <w:tcW w:type="dxa" w:w="8640"/>
            <w:vAlign w:val="top"/>
            <w:tcMar>
              <w:top w:w="60" w:type="dxa"/>
              <w:start w:w="60" w:type="dxa"/>
              <w:bottom w:w="60" w:type="dxa"/>
              <w:end w:w="60" w:type="dxa"/>
            </w:tcMar>
          </w:tcPr>
          <w:p>
            <w:pPr>
              <w:spacing w:after="20"/>
            </w:pPr>
            <w:r>
              <w:rPr>
                <w:sz w:val="14"/>
              </w:rPr>
              <w:t>API latency/error, availability, queue lag, job failure, crash-free sessions, adoption, task completion.</w:t>
            </w:r>
          </w:p>
        </w:tc>
      </w:tr>
    </w:tbl>
    <w:p>
      <w:pPr>
        <w:spacing w:after="20"/>
      </w:pPr>
    </w:p>
    <w:p>
      <w:pPr>
        <w:pStyle w:val="Heading1"/>
      </w:pPr>
      <w:r>
        <w:t>22. Non-Functional Requirements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96"/>
            <w:shd w:fill="D9EAF7"/>
            <w:vAlign w:val="center"/>
            <w:tcMar>
              <w:top w:w="60" w:type="dxa"/>
              <w:start w:w="60" w:type="dxa"/>
              <w:bottom w:w="60" w:type="dxa"/>
              <w:end w:w="60" w:type="dxa"/>
            </w:tcMar>
          </w:tcPr>
          <w:p>
            <w:r>
              <w:rPr>
                <w:b/>
                <w:sz w:val="13"/>
              </w:rPr>
              <w:t>ID</w:t>
            </w:r>
          </w:p>
        </w:tc>
        <w:tc>
          <w:tcPr>
            <w:tcW w:type="dxa" w:w="1584"/>
            <w:shd w:fill="D9EAF7"/>
            <w:vAlign w:val="center"/>
            <w:tcMar>
              <w:top w:w="60" w:type="dxa"/>
              <w:start w:w="60" w:type="dxa"/>
              <w:bottom w:w="60" w:type="dxa"/>
              <w:end w:w="60" w:type="dxa"/>
            </w:tcMar>
          </w:tcPr>
          <w:p>
            <w:r>
              <w:rPr>
                <w:b/>
                <w:sz w:val="13"/>
              </w:rPr>
              <w:t>Area</w:t>
            </w:r>
          </w:p>
        </w:tc>
        <w:tc>
          <w:tcPr>
            <w:tcW w:type="dxa" w:w="7920"/>
            <w:shd w:fill="D9EAF7"/>
            <w:vAlign w:val="center"/>
            <w:tcMar>
              <w:top w:w="60" w:type="dxa"/>
              <w:start w:w="60" w:type="dxa"/>
              <w:bottom w:w="60" w:type="dxa"/>
              <w:end w:w="60" w:type="dxa"/>
            </w:tcMar>
          </w:tcPr>
          <w:p>
            <w:r>
              <w:rPr>
                <w:b/>
                <w:sz w:val="13"/>
              </w:rPr>
              <w:t>Requirement</w:t>
            </w:r>
          </w:p>
        </w:tc>
      </w:tr>
      <w:tr>
        <w:tc>
          <w:tcPr>
            <w:tcW w:type="dxa" w:w="1296"/>
            <w:vAlign w:val="top"/>
            <w:tcMar>
              <w:top w:w="60" w:type="dxa"/>
              <w:start w:w="60" w:type="dxa"/>
              <w:bottom w:w="60" w:type="dxa"/>
              <w:end w:w="60" w:type="dxa"/>
            </w:tcMar>
          </w:tcPr>
          <w:p>
            <w:pPr>
              <w:spacing w:after="20"/>
            </w:pPr>
            <w:r>
              <w:rPr>
                <w:sz w:val="13"/>
              </w:rPr>
              <w:t>NFR-001</w:t>
            </w:r>
          </w:p>
        </w:tc>
        <w:tc>
          <w:tcPr>
            <w:tcW w:type="dxa" w:w="1584"/>
            <w:vAlign w:val="top"/>
            <w:tcMar>
              <w:top w:w="60" w:type="dxa"/>
              <w:start w:w="60" w:type="dxa"/>
              <w:bottom w:w="60" w:type="dxa"/>
              <w:end w:w="60" w:type="dxa"/>
            </w:tcMar>
          </w:tcPr>
          <w:p>
            <w:pPr>
              <w:spacing w:after="20"/>
            </w:pPr>
            <w:r>
              <w:rPr>
                <w:sz w:val="13"/>
              </w:rPr>
              <w:t>Availability</w:t>
            </w:r>
          </w:p>
        </w:tc>
        <w:tc>
          <w:tcPr>
            <w:tcW w:type="dxa" w:w="7920"/>
            <w:vAlign w:val="top"/>
            <w:tcMar>
              <w:top w:w="60" w:type="dxa"/>
              <w:start w:w="60" w:type="dxa"/>
              <w:bottom w:w="60" w:type="dxa"/>
              <w:end w:w="60" w:type="dxa"/>
            </w:tcMar>
          </w:tcPr>
          <w:p>
            <w:pPr>
              <w:spacing w:after="20"/>
            </w:pPr>
            <w:r>
              <w:rPr>
                <w:sz w:val="13"/>
              </w:rPr>
              <w:t>Core clinical/ADT/billing target 99.95% monthly for SaaS premium profile; planned maintenance excluded only by contract.</w:t>
            </w:r>
          </w:p>
        </w:tc>
      </w:tr>
      <w:tr>
        <w:tc>
          <w:tcPr>
            <w:tcW w:type="dxa" w:w="1296"/>
            <w:vAlign w:val="top"/>
            <w:tcMar>
              <w:top w:w="60" w:type="dxa"/>
              <w:start w:w="60" w:type="dxa"/>
              <w:bottom w:w="60" w:type="dxa"/>
              <w:end w:w="60" w:type="dxa"/>
            </w:tcMar>
          </w:tcPr>
          <w:p>
            <w:pPr>
              <w:spacing w:after="20"/>
            </w:pPr>
            <w:r>
              <w:rPr>
                <w:sz w:val="13"/>
              </w:rPr>
              <w:t>NFR-002</w:t>
            </w:r>
          </w:p>
        </w:tc>
        <w:tc>
          <w:tcPr>
            <w:tcW w:type="dxa" w:w="1584"/>
            <w:vAlign w:val="top"/>
            <w:tcMar>
              <w:top w:w="60" w:type="dxa"/>
              <w:start w:w="60" w:type="dxa"/>
              <w:bottom w:w="60" w:type="dxa"/>
              <w:end w:w="60" w:type="dxa"/>
            </w:tcMar>
          </w:tcPr>
          <w:p>
            <w:pPr>
              <w:spacing w:after="20"/>
            </w:pPr>
            <w:r>
              <w:rPr>
                <w:sz w:val="13"/>
              </w:rPr>
              <w:t>Performance</w:t>
            </w:r>
          </w:p>
        </w:tc>
        <w:tc>
          <w:tcPr>
            <w:tcW w:type="dxa" w:w="7920"/>
            <w:vAlign w:val="top"/>
            <w:tcMar>
              <w:top w:w="60" w:type="dxa"/>
              <w:start w:w="60" w:type="dxa"/>
              <w:bottom w:w="60" w:type="dxa"/>
              <w:end w:w="60" w:type="dxa"/>
            </w:tcMar>
          </w:tcPr>
          <w:p>
            <w:pPr>
              <w:spacing w:after="20"/>
            </w:pPr>
            <w:r>
              <w:rPr>
                <w:sz w:val="13"/>
              </w:rPr>
              <w:t>Typical interactive RPC p95 &lt; 400 ms within deployment region excluding vendor dependencies; high-complexity searches/jobs asynchronous.</w:t>
            </w:r>
          </w:p>
        </w:tc>
      </w:tr>
      <w:tr>
        <w:tc>
          <w:tcPr>
            <w:tcW w:type="dxa" w:w="1296"/>
            <w:vAlign w:val="top"/>
            <w:tcMar>
              <w:top w:w="60" w:type="dxa"/>
              <w:start w:w="60" w:type="dxa"/>
              <w:bottom w:w="60" w:type="dxa"/>
              <w:end w:w="60" w:type="dxa"/>
            </w:tcMar>
          </w:tcPr>
          <w:p>
            <w:pPr>
              <w:spacing w:after="20"/>
            </w:pPr>
            <w:r>
              <w:rPr>
                <w:sz w:val="13"/>
              </w:rPr>
              <w:t>NFR-003</w:t>
            </w:r>
          </w:p>
        </w:tc>
        <w:tc>
          <w:tcPr>
            <w:tcW w:type="dxa" w:w="1584"/>
            <w:vAlign w:val="top"/>
            <w:tcMar>
              <w:top w:w="60" w:type="dxa"/>
              <w:start w:w="60" w:type="dxa"/>
              <w:bottom w:w="60" w:type="dxa"/>
              <w:end w:w="60" w:type="dxa"/>
            </w:tcMar>
          </w:tcPr>
          <w:p>
            <w:pPr>
              <w:spacing w:after="20"/>
            </w:pPr>
            <w:r>
              <w:rPr>
                <w:sz w:val="13"/>
              </w:rPr>
              <w:t>Scale</w:t>
            </w:r>
          </w:p>
        </w:tc>
        <w:tc>
          <w:tcPr>
            <w:tcW w:type="dxa" w:w="7920"/>
            <w:vAlign w:val="top"/>
            <w:tcMar>
              <w:top w:w="60" w:type="dxa"/>
              <w:start w:w="60" w:type="dxa"/>
              <w:bottom w:w="60" w:type="dxa"/>
              <w:end w:w="60" w:type="dxa"/>
            </w:tcMar>
          </w:tcPr>
          <w:p>
            <w:pPr>
              <w:spacing w:after="20"/>
            </w:pPr>
            <w:r>
              <w:rPr>
                <w:sz w:val="13"/>
              </w:rPr>
              <w:t>Horizontal scale for multi-hospital groups; partitioning strategy for observations/audit/events/telemetry.</w:t>
            </w:r>
          </w:p>
        </w:tc>
      </w:tr>
      <w:tr>
        <w:tc>
          <w:tcPr>
            <w:tcW w:type="dxa" w:w="1296"/>
            <w:vAlign w:val="top"/>
            <w:tcMar>
              <w:top w:w="60" w:type="dxa"/>
              <w:start w:w="60" w:type="dxa"/>
              <w:bottom w:w="60" w:type="dxa"/>
              <w:end w:w="60" w:type="dxa"/>
            </w:tcMar>
          </w:tcPr>
          <w:p>
            <w:pPr>
              <w:spacing w:after="20"/>
            </w:pPr>
            <w:r>
              <w:rPr>
                <w:sz w:val="13"/>
              </w:rPr>
              <w:t>NFR-004</w:t>
            </w:r>
          </w:p>
        </w:tc>
        <w:tc>
          <w:tcPr>
            <w:tcW w:type="dxa" w:w="1584"/>
            <w:vAlign w:val="top"/>
            <w:tcMar>
              <w:top w:w="60" w:type="dxa"/>
              <w:start w:w="60" w:type="dxa"/>
              <w:bottom w:w="60" w:type="dxa"/>
              <w:end w:w="60" w:type="dxa"/>
            </w:tcMar>
          </w:tcPr>
          <w:p>
            <w:pPr>
              <w:spacing w:after="20"/>
            </w:pPr>
            <w:r>
              <w:rPr>
                <w:sz w:val="13"/>
              </w:rPr>
              <w:t>Concurrency</w:t>
            </w:r>
          </w:p>
        </w:tc>
        <w:tc>
          <w:tcPr>
            <w:tcW w:type="dxa" w:w="7920"/>
            <w:vAlign w:val="top"/>
            <w:tcMar>
              <w:top w:w="60" w:type="dxa"/>
              <w:start w:w="60" w:type="dxa"/>
              <w:bottom w:w="60" w:type="dxa"/>
              <w:end w:w="60" w:type="dxa"/>
            </w:tcMar>
          </w:tcPr>
          <w:p>
            <w:pPr>
              <w:spacing w:after="20"/>
            </w:pPr>
            <w:r>
              <w:rPr>
                <w:sz w:val="13"/>
              </w:rPr>
              <w:t>Design for 10,000+ concurrent users per large deployment class; validate with workload model.</w:t>
            </w:r>
          </w:p>
        </w:tc>
      </w:tr>
      <w:tr>
        <w:tc>
          <w:tcPr>
            <w:tcW w:type="dxa" w:w="1296"/>
            <w:vAlign w:val="top"/>
            <w:tcMar>
              <w:top w:w="60" w:type="dxa"/>
              <w:start w:w="60" w:type="dxa"/>
              <w:bottom w:w="60" w:type="dxa"/>
              <w:end w:w="60" w:type="dxa"/>
            </w:tcMar>
          </w:tcPr>
          <w:p>
            <w:pPr>
              <w:spacing w:after="20"/>
            </w:pPr>
            <w:r>
              <w:rPr>
                <w:sz w:val="13"/>
              </w:rPr>
              <w:t>NFR-005</w:t>
            </w:r>
          </w:p>
        </w:tc>
        <w:tc>
          <w:tcPr>
            <w:tcW w:type="dxa" w:w="1584"/>
            <w:vAlign w:val="top"/>
            <w:tcMar>
              <w:top w:w="60" w:type="dxa"/>
              <w:start w:w="60" w:type="dxa"/>
              <w:bottom w:w="60" w:type="dxa"/>
              <w:end w:w="60" w:type="dxa"/>
            </w:tcMar>
          </w:tcPr>
          <w:p>
            <w:pPr>
              <w:spacing w:after="20"/>
            </w:pPr>
            <w:r>
              <w:rPr>
                <w:sz w:val="13"/>
              </w:rPr>
              <w:t>Resilience</w:t>
            </w:r>
          </w:p>
        </w:tc>
        <w:tc>
          <w:tcPr>
            <w:tcW w:type="dxa" w:w="7920"/>
            <w:vAlign w:val="top"/>
            <w:tcMar>
              <w:top w:w="60" w:type="dxa"/>
              <w:start w:w="60" w:type="dxa"/>
              <w:bottom w:w="60" w:type="dxa"/>
              <w:end w:w="60" w:type="dxa"/>
            </w:tcMar>
          </w:tcPr>
          <w:p>
            <w:pPr>
              <w:spacing w:after="20"/>
            </w:pPr>
            <w:r>
              <w:rPr>
                <w:sz w:val="13"/>
              </w:rPr>
              <w:t>Circuit breakers/timeouts/backpressure for external integrations; local clinical work should degrade gracefully when optional vendors fail.</w:t>
            </w:r>
          </w:p>
        </w:tc>
      </w:tr>
      <w:tr>
        <w:tc>
          <w:tcPr>
            <w:tcW w:type="dxa" w:w="1296"/>
            <w:vAlign w:val="top"/>
            <w:tcMar>
              <w:top w:w="60" w:type="dxa"/>
              <w:start w:w="60" w:type="dxa"/>
              <w:bottom w:w="60" w:type="dxa"/>
              <w:end w:w="60" w:type="dxa"/>
            </w:tcMar>
          </w:tcPr>
          <w:p>
            <w:pPr>
              <w:spacing w:after="20"/>
            </w:pPr>
            <w:r>
              <w:rPr>
                <w:sz w:val="13"/>
              </w:rPr>
              <w:t>NFR-006</w:t>
            </w:r>
          </w:p>
        </w:tc>
        <w:tc>
          <w:tcPr>
            <w:tcW w:type="dxa" w:w="1584"/>
            <w:vAlign w:val="top"/>
            <w:tcMar>
              <w:top w:w="60" w:type="dxa"/>
              <w:start w:w="60" w:type="dxa"/>
              <w:bottom w:w="60" w:type="dxa"/>
              <w:end w:w="60" w:type="dxa"/>
            </w:tcMar>
          </w:tcPr>
          <w:p>
            <w:pPr>
              <w:spacing w:after="20"/>
            </w:pPr>
            <w:r>
              <w:rPr>
                <w:sz w:val="13"/>
              </w:rPr>
              <w:t>DR</w:t>
            </w:r>
          </w:p>
        </w:tc>
        <w:tc>
          <w:tcPr>
            <w:tcW w:type="dxa" w:w="7920"/>
            <w:vAlign w:val="top"/>
            <w:tcMar>
              <w:top w:w="60" w:type="dxa"/>
              <w:start w:w="60" w:type="dxa"/>
              <w:bottom w:w="60" w:type="dxa"/>
              <w:end w:w="60" w:type="dxa"/>
            </w:tcMar>
          </w:tcPr>
          <w:p>
            <w:pPr>
              <w:spacing w:after="20"/>
            </w:pPr>
            <w:r>
              <w:rPr>
                <w:sz w:val="13"/>
              </w:rPr>
              <w:t>Tiered RPO/RTO; proposed core tier RPO ≤ 5 min and RTO ≤ 60 min for enterprise SaaS, validated contractually.</w:t>
            </w:r>
          </w:p>
        </w:tc>
      </w:tr>
      <w:tr>
        <w:tc>
          <w:tcPr>
            <w:tcW w:type="dxa" w:w="1296"/>
            <w:vAlign w:val="top"/>
            <w:tcMar>
              <w:top w:w="60" w:type="dxa"/>
              <w:start w:w="60" w:type="dxa"/>
              <w:bottom w:w="60" w:type="dxa"/>
              <w:end w:w="60" w:type="dxa"/>
            </w:tcMar>
          </w:tcPr>
          <w:p>
            <w:pPr>
              <w:spacing w:after="20"/>
            </w:pPr>
            <w:r>
              <w:rPr>
                <w:sz w:val="13"/>
              </w:rPr>
              <w:t>NFR-007</w:t>
            </w:r>
          </w:p>
        </w:tc>
        <w:tc>
          <w:tcPr>
            <w:tcW w:type="dxa" w:w="1584"/>
            <w:vAlign w:val="top"/>
            <w:tcMar>
              <w:top w:w="60" w:type="dxa"/>
              <w:start w:w="60" w:type="dxa"/>
              <w:bottom w:w="60" w:type="dxa"/>
              <w:end w:w="60" w:type="dxa"/>
            </w:tcMar>
          </w:tcPr>
          <w:p>
            <w:pPr>
              <w:spacing w:after="20"/>
            </w:pPr>
            <w:r>
              <w:rPr>
                <w:sz w:val="13"/>
              </w:rPr>
              <w:t>Data integrity</w:t>
            </w:r>
          </w:p>
        </w:tc>
        <w:tc>
          <w:tcPr>
            <w:tcW w:type="dxa" w:w="7920"/>
            <w:vAlign w:val="top"/>
            <w:tcMar>
              <w:top w:w="60" w:type="dxa"/>
              <w:start w:w="60" w:type="dxa"/>
              <w:bottom w:w="60" w:type="dxa"/>
              <w:end w:w="60" w:type="dxa"/>
            </w:tcMar>
          </w:tcPr>
          <w:p>
            <w:pPr>
              <w:spacing w:after="20"/>
            </w:pPr>
            <w:r>
              <w:rPr>
                <w:sz w:val="13"/>
              </w:rPr>
              <w:t>No untracked destructive update of financial, inventory or finalized clinical records.</w:t>
            </w:r>
          </w:p>
        </w:tc>
      </w:tr>
      <w:tr>
        <w:tc>
          <w:tcPr>
            <w:tcW w:type="dxa" w:w="1296"/>
            <w:vAlign w:val="top"/>
            <w:tcMar>
              <w:top w:w="60" w:type="dxa"/>
              <w:start w:w="60" w:type="dxa"/>
              <w:bottom w:w="60" w:type="dxa"/>
              <w:end w:w="60" w:type="dxa"/>
            </w:tcMar>
          </w:tcPr>
          <w:p>
            <w:pPr>
              <w:spacing w:after="20"/>
            </w:pPr>
            <w:r>
              <w:rPr>
                <w:sz w:val="13"/>
              </w:rPr>
              <w:t>NFR-008</w:t>
            </w:r>
          </w:p>
        </w:tc>
        <w:tc>
          <w:tcPr>
            <w:tcW w:type="dxa" w:w="1584"/>
            <w:vAlign w:val="top"/>
            <w:tcMar>
              <w:top w:w="60" w:type="dxa"/>
              <w:start w:w="60" w:type="dxa"/>
              <w:bottom w:w="60" w:type="dxa"/>
              <w:end w:w="60" w:type="dxa"/>
            </w:tcMar>
          </w:tcPr>
          <w:p>
            <w:pPr>
              <w:spacing w:after="20"/>
            </w:pPr>
            <w:r>
              <w:rPr>
                <w:sz w:val="13"/>
              </w:rPr>
              <w:t>Security</w:t>
            </w:r>
          </w:p>
        </w:tc>
        <w:tc>
          <w:tcPr>
            <w:tcW w:type="dxa" w:w="7920"/>
            <w:vAlign w:val="top"/>
            <w:tcMar>
              <w:top w:w="60" w:type="dxa"/>
              <w:start w:w="60" w:type="dxa"/>
              <w:bottom w:w="60" w:type="dxa"/>
              <w:end w:w="60" w:type="dxa"/>
            </w:tcMar>
          </w:tcPr>
          <w:p>
            <w:pPr>
              <w:spacing w:after="20"/>
            </w:pPr>
            <w:r>
              <w:rPr>
                <w:sz w:val="13"/>
              </w:rPr>
              <w:t>OWASP-class controls, secure headers, CSRF/XSS/SQLi protections, rate limits and bot/abuse controls.</w:t>
            </w:r>
          </w:p>
        </w:tc>
      </w:tr>
      <w:tr>
        <w:tc>
          <w:tcPr>
            <w:tcW w:type="dxa" w:w="1296"/>
            <w:vAlign w:val="top"/>
            <w:tcMar>
              <w:top w:w="60" w:type="dxa"/>
              <w:start w:w="60" w:type="dxa"/>
              <w:bottom w:w="60" w:type="dxa"/>
              <w:end w:w="60" w:type="dxa"/>
            </w:tcMar>
          </w:tcPr>
          <w:p>
            <w:pPr>
              <w:spacing w:after="20"/>
            </w:pPr>
            <w:r>
              <w:rPr>
                <w:sz w:val="13"/>
              </w:rPr>
              <w:t>NFR-009</w:t>
            </w:r>
          </w:p>
        </w:tc>
        <w:tc>
          <w:tcPr>
            <w:tcW w:type="dxa" w:w="1584"/>
            <w:vAlign w:val="top"/>
            <w:tcMar>
              <w:top w:w="60" w:type="dxa"/>
              <w:start w:w="60" w:type="dxa"/>
              <w:bottom w:w="60" w:type="dxa"/>
              <w:end w:w="60" w:type="dxa"/>
            </w:tcMar>
          </w:tcPr>
          <w:p>
            <w:pPr>
              <w:spacing w:after="20"/>
            </w:pPr>
            <w:r>
              <w:rPr>
                <w:sz w:val="13"/>
              </w:rPr>
              <w:t>Privacy</w:t>
            </w:r>
          </w:p>
        </w:tc>
        <w:tc>
          <w:tcPr>
            <w:tcW w:type="dxa" w:w="7920"/>
            <w:vAlign w:val="top"/>
            <w:tcMar>
              <w:top w:w="60" w:type="dxa"/>
              <w:start w:w="60" w:type="dxa"/>
              <w:bottom w:w="60" w:type="dxa"/>
              <w:end w:w="60" w:type="dxa"/>
            </w:tcMar>
          </w:tcPr>
          <w:p>
            <w:pPr>
              <w:spacing w:after="20"/>
            </w:pPr>
            <w:r>
              <w:rPr>
                <w:sz w:val="13"/>
              </w:rPr>
              <w:t>Purpose limitation, consent/notice, minimization, retention, access review and auditable export.</w:t>
            </w:r>
          </w:p>
        </w:tc>
      </w:tr>
      <w:tr>
        <w:tc>
          <w:tcPr>
            <w:tcW w:type="dxa" w:w="1296"/>
            <w:vAlign w:val="top"/>
            <w:tcMar>
              <w:top w:w="60" w:type="dxa"/>
              <w:start w:w="60" w:type="dxa"/>
              <w:bottom w:w="60" w:type="dxa"/>
              <w:end w:w="60" w:type="dxa"/>
            </w:tcMar>
          </w:tcPr>
          <w:p>
            <w:pPr>
              <w:spacing w:after="20"/>
            </w:pPr>
            <w:r>
              <w:rPr>
                <w:sz w:val="13"/>
              </w:rPr>
              <w:t>NFR-010</w:t>
            </w:r>
          </w:p>
        </w:tc>
        <w:tc>
          <w:tcPr>
            <w:tcW w:type="dxa" w:w="1584"/>
            <w:vAlign w:val="top"/>
            <w:tcMar>
              <w:top w:w="60" w:type="dxa"/>
              <w:start w:w="60" w:type="dxa"/>
              <w:bottom w:w="60" w:type="dxa"/>
              <w:end w:w="60" w:type="dxa"/>
            </w:tcMar>
          </w:tcPr>
          <w:p>
            <w:pPr>
              <w:spacing w:after="20"/>
            </w:pPr>
            <w:r>
              <w:rPr>
                <w:sz w:val="13"/>
              </w:rPr>
              <w:t>Accessibility</w:t>
            </w:r>
          </w:p>
        </w:tc>
        <w:tc>
          <w:tcPr>
            <w:tcW w:type="dxa" w:w="7920"/>
            <w:vAlign w:val="top"/>
            <w:tcMar>
              <w:top w:w="60" w:type="dxa"/>
              <w:start w:w="60" w:type="dxa"/>
              <w:bottom w:w="60" w:type="dxa"/>
              <w:end w:w="60" w:type="dxa"/>
            </w:tcMar>
          </w:tcPr>
          <w:p>
            <w:pPr>
              <w:spacing w:after="20"/>
            </w:pPr>
            <w:r>
              <w:rPr>
                <w:sz w:val="13"/>
              </w:rPr>
              <w:t>WCAG 2.2 AA target for patient and major staff web/mobile journeys.</w:t>
            </w:r>
          </w:p>
        </w:tc>
      </w:tr>
      <w:tr>
        <w:tc>
          <w:tcPr>
            <w:tcW w:type="dxa" w:w="1296"/>
            <w:vAlign w:val="top"/>
            <w:tcMar>
              <w:top w:w="60" w:type="dxa"/>
              <w:start w:w="60" w:type="dxa"/>
              <w:bottom w:w="60" w:type="dxa"/>
              <w:end w:w="60" w:type="dxa"/>
            </w:tcMar>
          </w:tcPr>
          <w:p>
            <w:pPr>
              <w:spacing w:after="20"/>
            </w:pPr>
            <w:r>
              <w:rPr>
                <w:sz w:val="13"/>
              </w:rPr>
              <w:t>NFR-011</w:t>
            </w:r>
          </w:p>
        </w:tc>
        <w:tc>
          <w:tcPr>
            <w:tcW w:type="dxa" w:w="1584"/>
            <w:vAlign w:val="top"/>
            <w:tcMar>
              <w:top w:w="60" w:type="dxa"/>
              <w:start w:w="60" w:type="dxa"/>
              <w:bottom w:w="60" w:type="dxa"/>
              <w:end w:w="60" w:type="dxa"/>
            </w:tcMar>
          </w:tcPr>
          <w:p>
            <w:pPr>
              <w:spacing w:after="20"/>
            </w:pPr>
            <w:r>
              <w:rPr>
                <w:sz w:val="13"/>
              </w:rPr>
              <w:t>Localization</w:t>
            </w:r>
          </w:p>
        </w:tc>
        <w:tc>
          <w:tcPr>
            <w:tcW w:type="dxa" w:w="7920"/>
            <w:vAlign w:val="top"/>
            <w:tcMar>
              <w:top w:w="60" w:type="dxa"/>
              <w:start w:w="60" w:type="dxa"/>
              <w:bottom w:w="60" w:type="dxa"/>
              <w:end w:w="60" w:type="dxa"/>
            </w:tcMar>
          </w:tcPr>
          <w:p>
            <w:pPr>
              <w:spacing w:after="20"/>
            </w:pPr>
            <w:r>
              <w:rPr>
                <w:sz w:val="13"/>
              </w:rPr>
              <w:t>Indian formats plus configurable locale/time zone/currency/language.</w:t>
            </w:r>
          </w:p>
        </w:tc>
      </w:tr>
      <w:tr>
        <w:tc>
          <w:tcPr>
            <w:tcW w:type="dxa" w:w="1296"/>
            <w:vAlign w:val="top"/>
            <w:tcMar>
              <w:top w:w="60" w:type="dxa"/>
              <w:start w:w="60" w:type="dxa"/>
              <w:bottom w:w="60" w:type="dxa"/>
              <w:end w:w="60" w:type="dxa"/>
            </w:tcMar>
          </w:tcPr>
          <w:p>
            <w:pPr>
              <w:spacing w:after="20"/>
            </w:pPr>
            <w:r>
              <w:rPr>
                <w:sz w:val="13"/>
              </w:rPr>
              <w:t>NFR-012</w:t>
            </w:r>
          </w:p>
        </w:tc>
        <w:tc>
          <w:tcPr>
            <w:tcW w:type="dxa" w:w="1584"/>
            <w:vAlign w:val="top"/>
            <w:tcMar>
              <w:top w:w="60" w:type="dxa"/>
              <w:start w:w="60" w:type="dxa"/>
              <w:bottom w:w="60" w:type="dxa"/>
              <w:end w:w="60" w:type="dxa"/>
            </w:tcMar>
          </w:tcPr>
          <w:p>
            <w:pPr>
              <w:spacing w:after="20"/>
            </w:pPr>
            <w:r>
              <w:rPr>
                <w:sz w:val="13"/>
              </w:rPr>
              <w:t>Observability</w:t>
            </w:r>
          </w:p>
        </w:tc>
        <w:tc>
          <w:tcPr>
            <w:tcW w:type="dxa" w:w="7920"/>
            <w:vAlign w:val="top"/>
            <w:tcMar>
              <w:top w:w="60" w:type="dxa"/>
              <w:start w:w="60" w:type="dxa"/>
              <w:bottom w:w="60" w:type="dxa"/>
              <w:end w:w="60" w:type="dxa"/>
            </w:tcMar>
          </w:tcPr>
          <w:p>
            <w:pPr>
              <w:spacing w:after="20"/>
            </w:pPr>
            <w:r>
              <w:rPr>
                <w:sz w:val="13"/>
              </w:rPr>
              <w:t>Trace ID across browser/mobile → RPC → workflow → DB/event/vendor; actionable SLOs.</w:t>
            </w:r>
          </w:p>
        </w:tc>
      </w:tr>
      <w:tr>
        <w:tc>
          <w:tcPr>
            <w:tcW w:type="dxa" w:w="1296"/>
            <w:vAlign w:val="top"/>
            <w:tcMar>
              <w:top w:w="60" w:type="dxa"/>
              <w:start w:w="60" w:type="dxa"/>
              <w:bottom w:w="60" w:type="dxa"/>
              <w:end w:w="60" w:type="dxa"/>
            </w:tcMar>
          </w:tcPr>
          <w:p>
            <w:pPr>
              <w:spacing w:after="20"/>
            </w:pPr>
            <w:r>
              <w:rPr>
                <w:sz w:val="13"/>
              </w:rPr>
              <w:t>NFR-013</w:t>
            </w:r>
          </w:p>
        </w:tc>
        <w:tc>
          <w:tcPr>
            <w:tcW w:type="dxa" w:w="1584"/>
            <w:vAlign w:val="top"/>
            <w:tcMar>
              <w:top w:w="60" w:type="dxa"/>
              <w:start w:w="60" w:type="dxa"/>
              <w:bottom w:w="60" w:type="dxa"/>
              <w:end w:w="60" w:type="dxa"/>
            </w:tcMar>
          </w:tcPr>
          <w:p>
            <w:pPr>
              <w:spacing w:after="20"/>
            </w:pPr>
            <w:r>
              <w:rPr>
                <w:sz w:val="13"/>
              </w:rPr>
              <w:t>Maintainability</w:t>
            </w:r>
          </w:p>
        </w:tc>
        <w:tc>
          <w:tcPr>
            <w:tcW w:type="dxa" w:w="7920"/>
            <w:vAlign w:val="top"/>
            <w:tcMar>
              <w:top w:w="60" w:type="dxa"/>
              <w:start w:w="60" w:type="dxa"/>
              <w:bottom w:w="60" w:type="dxa"/>
              <w:end w:w="60" w:type="dxa"/>
            </w:tcMar>
          </w:tcPr>
          <w:p>
            <w:pPr>
              <w:spacing w:after="20"/>
            </w:pPr>
            <w:r>
              <w:rPr>
                <w:sz w:val="13"/>
              </w:rPr>
              <w:t>Bounded-context ownership, static analysis, code review, architecture tests and migration discipline.</w:t>
            </w:r>
          </w:p>
        </w:tc>
      </w:tr>
      <w:tr>
        <w:tc>
          <w:tcPr>
            <w:tcW w:type="dxa" w:w="1296"/>
            <w:vAlign w:val="top"/>
            <w:tcMar>
              <w:top w:w="60" w:type="dxa"/>
              <w:start w:w="60" w:type="dxa"/>
              <w:bottom w:w="60" w:type="dxa"/>
              <w:end w:w="60" w:type="dxa"/>
            </w:tcMar>
          </w:tcPr>
          <w:p>
            <w:pPr>
              <w:spacing w:after="20"/>
            </w:pPr>
            <w:r>
              <w:rPr>
                <w:sz w:val="13"/>
              </w:rPr>
              <w:t>NFR-014</w:t>
            </w:r>
          </w:p>
        </w:tc>
        <w:tc>
          <w:tcPr>
            <w:tcW w:type="dxa" w:w="1584"/>
            <w:vAlign w:val="top"/>
            <w:tcMar>
              <w:top w:w="60" w:type="dxa"/>
              <w:start w:w="60" w:type="dxa"/>
              <w:bottom w:w="60" w:type="dxa"/>
              <w:end w:w="60" w:type="dxa"/>
            </w:tcMar>
          </w:tcPr>
          <w:p>
            <w:pPr>
              <w:spacing w:after="20"/>
            </w:pPr>
            <w:r>
              <w:rPr>
                <w:sz w:val="13"/>
              </w:rPr>
              <w:t>Testability</w:t>
            </w:r>
          </w:p>
        </w:tc>
        <w:tc>
          <w:tcPr>
            <w:tcW w:type="dxa" w:w="7920"/>
            <w:vAlign w:val="top"/>
            <w:tcMar>
              <w:top w:w="60" w:type="dxa"/>
              <w:start w:w="60" w:type="dxa"/>
              <w:bottom w:w="60" w:type="dxa"/>
              <w:end w:w="60" w:type="dxa"/>
            </w:tcMar>
          </w:tcPr>
          <w:p>
            <w:pPr>
              <w:spacing w:after="20"/>
            </w:pPr>
            <w:r>
              <w:rPr>
                <w:sz w:val="13"/>
              </w:rPr>
              <w:t>Unit/domain, repository integration, contract, workflow, e2e, performance, chaos/failure and clinical safety regression suites.</w:t>
            </w:r>
          </w:p>
        </w:tc>
      </w:tr>
      <w:tr>
        <w:tc>
          <w:tcPr>
            <w:tcW w:type="dxa" w:w="1296"/>
            <w:vAlign w:val="top"/>
            <w:tcMar>
              <w:top w:w="60" w:type="dxa"/>
              <w:start w:w="60" w:type="dxa"/>
              <w:bottom w:w="60" w:type="dxa"/>
              <w:end w:w="60" w:type="dxa"/>
            </w:tcMar>
          </w:tcPr>
          <w:p>
            <w:pPr>
              <w:spacing w:after="20"/>
            </w:pPr>
            <w:r>
              <w:rPr>
                <w:sz w:val="13"/>
              </w:rPr>
              <w:t>NFR-015</w:t>
            </w:r>
          </w:p>
        </w:tc>
        <w:tc>
          <w:tcPr>
            <w:tcW w:type="dxa" w:w="1584"/>
            <w:vAlign w:val="top"/>
            <w:tcMar>
              <w:top w:w="60" w:type="dxa"/>
              <w:start w:w="60" w:type="dxa"/>
              <w:bottom w:w="60" w:type="dxa"/>
              <w:end w:w="60" w:type="dxa"/>
            </w:tcMar>
          </w:tcPr>
          <w:p>
            <w:pPr>
              <w:spacing w:after="20"/>
            </w:pPr>
            <w:r>
              <w:rPr>
                <w:sz w:val="13"/>
              </w:rPr>
              <w:t>Audit retention</w:t>
            </w:r>
          </w:p>
        </w:tc>
        <w:tc>
          <w:tcPr>
            <w:tcW w:type="dxa" w:w="7920"/>
            <w:vAlign w:val="top"/>
            <w:tcMar>
              <w:top w:w="60" w:type="dxa"/>
              <w:start w:w="60" w:type="dxa"/>
              <w:bottom w:w="60" w:type="dxa"/>
              <w:end w:w="60" w:type="dxa"/>
            </w:tcMar>
          </w:tcPr>
          <w:p>
            <w:pPr>
              <w:spacing w:after="20"/>
            </w:pPr>
            <w:r>
              <w:rPr>
                <w:sz w:val="13"/>
              </w:rPr>
              <w:t>Configurable by record class and applicable law/policy; legal hold capability.</w:t>
            </w:r>
          </w:p>
        </w:tc>
      </w:tr>
      <w:tr>
        <w:tc>
          <w:tcPr>
            <w:tcW w:type="dxa" w:w="1296"/>
            <w:vAlign w:val="top"/>
            <w:tcMar>
              <w:top w:w="60" w:type="dxa"/>
              <w:start w:w="60" w:type="dxa"/>
              <w:bottom w:w="60" w:type="dxa"/>
              <w:end w:w="60" w:type="dxa"/>
            </w:tcMar>
          </w:tcPr>
          <w:p>
            <w:pPr>
              <w:spacing w:after="20"/>
            </w:pPr>
            <w:r>
              <w:rPr>
                <w:sz w:val="13"/>
              </w:rPr>
              <w:t>NFR-016</w:t>
            </w:r>
          </w:p>
        </w:tc>
        <w:tc>
          <w:tcPr>
            <w:tcW w:type="dxa" w:w="1584"/>
            <w:vAlign w:val="top"/>
            <w:tcMar>
              <w:top w:w="60" w:type="dxa"/>
              <w:start w:w="60" w:type="dxa"/>
              <w:bottom w:w="60" w:type="dxa"/>
              <w:end w:w="60" w:type="dxa"/>
            </w:tcMar>
          </w:tcPr>
          <w:p>
            <w:pPr>
              <w:spacing w:after="20"/>
            </w:pPr>
            <w:r>
              <w:rPr>
                <w:sz w:val="13"/>
              </w:rPr>
              <w:t>Exportability</w:t>
            </w:r>
          </w:p>
        </w:tc>
        <w:tc>
          <w:tcPr>
            <w:tcW w:type="dxa" w:w="7920"/>
            <w:vAlign w:val="top"/>
            <w:tcMar>
              <w:top w:w="60" w:type="dxa"/>
              <w:start w:w="60" w:type="dxa"/>
              <w:bottom w:w="60" w:type="dxa"/>
              <w:end w:w="60" w:type="dxa"/>
            </w:tcMar>
          </w:tcPr>
          <w:p>
            <w:pPr>
              <w:spacing w:after="20"/>
            </w:pPr>
            <w:r>
              <w:rPr>
                <w:sz w:val="13"/>
              </w:rPr>
              <w:t>Patient/tenant data export in structured/document formats with access control and asynchronous jobs.</w:t>
            </w:r>
          </w:p>
        </w:tc>
      </w:tr>
      <w:tr>
        <w:tc>
          <w:tcPr>
            <w:tcW w:type="dxa" w:w="1296"/>
            <w:vAlign w:val="top"/>
            <w:tcMar>
              <w:top w:w="60" w:type="dxa"/>
              <w:start w:w="60" w:type="dxa"/>
              <w:bottom w:w="60" w:type="dxa"/>
              <w:end w:w="60" w:type="dxa"/>
            </w:tcMar>
          </w:tcPr>
          <w:p>
            <w:pPr>
              <w:spacing w:after="20"/>
            </w:pPr>
            <w:r>
              <w:rPr>
                <w:sz w:val="13"/>
              </w:rPr>
              <w:t>NFR-017</w:t>
            </w:r>
          </w:p>
        </w:tc>
        <w:tc>
          <w:tcPr>
            <w:tcW w:type="dxa" w:w="1584"/>
            <w:vAlign w:val="top"/>
            <w:tcMar>
              <w:top w:w="60" w:type="dxa"/>
              <w:start w:w="60" w:type="dxa"/>
              <w:bottom w:w="60" w:type="dxa"/>
              <w:end w:w="60" w:type="dxa"/>
            </w:tcMar>
          </w:tcPr>
          <w:p>
            <w:pPr>
              <w:spacing w:after="20"/>
            </w:pPr>
            <w:r>
              <w:rPr>
                <w:sz w:val="13"/>
              </w:rPr>
              <w:t>Upgradeability</w:t>
            </w:r>
          </w:p>
        </w:tc>
        <w:tc>
          <w:tcPr>
            <w:tcW w:type="dxa" w:w="7920"/>
            <w:vAlign w:val="top"/>
            <w:tcMar>
              <w:top w:w="60" w:type="dxa"/>
              <w:start w:w="60" w:type="dxa"/>
              <w:bottom w:w="60" w:type="dxa"/>
              <w:end w:w="60" w:type="dxa"/>
            </w:tcMar>
          </w:tcPr>
          <w:p>
            <w:pPr>
              <w:spacing w:after="20"/>
            </w:pPr>
            <w:r>
              <w:rPr>
                <w:sz w:val="13"/>
              </w:rPr>
              <w:t>Backward-compatible contracts and rolling deployment for normal releases; DB migrations expand/contract.</w:t>
            </w:r>
          </w:p>
        </w:tc>
      </w:tr>
      <w:tr>
        <w:tc>
          <w:tcPr>
            <w:tcW w:type="dxa" w:w="1296"/>
            <w:vAlign w:val="top"/>
            <w:tcMar>
              <w:top w:w="60" w:type="dxa"/>
              <w:start w:w="60" w:type="dxa"/>
              <w:bottom w:w="60" w:type="dxa"/>
              <w:end w:w="60" w:type="dxa"/>
            </w:tcMar>
          </w:tcPr>
          <w:p>
            <w:pPr>
              <w:spacing w:after="20"/>
            </w:pPr>
            <w:r>
              <w:rPr>
                <w:sz w:val="13"/>
              </w:rPr>
              <w:t>NFR-018</w:t>
            </w:r>
          </w:p>
        </w:tc>
        <w:tc>
          <w:tcPr>
            <w:tcW w:type="dxa" w:w="1584"/>
            <w:vAlign w:val="top"/>
            <w:tcMar>
              <w:top w:w="60" w:type="dxa"/>
              <w:start w:w="60" w:type="dxa"/>
              <w:bottom w:w="60" w:type="dxa"/>
              <w:end w:w="60" w:type="dxa"/>
            </w:tcMar>
          </w:tcPr>
          <w:p>
            <w:pPr>
              <w:spacing w:after="20"/>
            </w:pPr>
            <w:r>
              <w:rPr>
                <w:sz w:val="13"/>
              </w:rPr>
              <w:t>Offline</w:t>
            </w:r>
          </w:p>
        </w:tc>
        <w:tc>
          <w:tcPr>
            <w:tcW w:type="dxa" w:w="7920"/>
            <w:vAlign w:val="top"/>
            <w:tcMar>
              <w:top w:w="60" w:type="dxa"/>
              <w:start w:w="60" w:type="dxa"/>
              <w:bottom w:w="60" w:type="dxa"/>
              <w:end w:w="60" w:type="dxa"/>
            </w:tcMar>
          </w:tcPr>
          <w:p>
            <w:pPr>
              <w:spacing w:after="20"/>
            </w:pPr>
            <w:r>
              <w:rPr>
                <w:sz w:val="13"/>
              </w:rPr>
              <w:t>Selected mobile/edge workflows queue signed/idempotent mutations and reconcile with conflict policy.</w:t>
            </w:r>
          </w:p>
        </w:tc>
      </w:tr>
    </w:tbl>
    <w:p>
      <w:pPr>
        <w:spacing w:after="20"/>
      </w:pPr>
    </w:p>
    <w:p>
      <w:pPr>
        <w:pStyle w:val="Heading1"/>
      </w:pPr>
      <w:r>
        <w:t>23. Initial Protobuf Service Catalogue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D9EAF7"/>
            <w:vAlign w:val="center"/>
            <w:tcMar>
              <w:top w:w="60" w:type="dxa"/>
              <w:start w:w="60" w:type="dxa"/>
              <w:bottom w:w="60" w:type="dxa"/>
              <w:end w:w="60" w:type="dxa"/>
            </w:tcMar>
          </w:tcPr>
          <w:p>
            <w:r>
              <w:rPr>
                <w:b/>
                <w:sz w:val="14"/>
              </w:rPr>
              <w:t>Service</w:t>
            </w:r>
          </w:p>
        </w:tc>
        <w:tc>
          <w:tcPr>
            <w:tcW w:type="dxa" w:w="7920"/>
            <w:shd w:fill="D9EAF7"/>
            <w:vAlign w:val="center"/>
            <w:tcMar>
              <w:top w:w="60" w:type="dxa"/>
              <w:start w:w="60" w:type="dxa"/>
              <w:bottom w:w="60" w:type="dxa"/>
              <w:end w:w="60" w:type="dxa"/>
            </w:tcMar>
          </w:tcPr>
          <w:p>
            <w:r>
              <w:rPr>
                <w:b/>
                <w:sz w:val="14"/>
              </w:rPr>
              <w:t>Representative RPCs</w:t>
            </w:r>
          </w:p>
        </w:tc>
      </w:tr>
      <w:tr>
        <w:tc>
          <w:tcPr>
            <w:tcW w:type="dxa" w:w="2880"/>
            <w:vAlign w:val="top"/>
            <w:tcMar>
              <w:top w:w="60" w:type="dxa"/>
              <w:start w:w="60" w:type="dxa"/>
              <w:bottom w:w="60" w:type="dxa"/>
              <w:end w:w="60" w:type="dxa"/>
            </w:tcMar>
          </w:tcPr>
          <w:p>
            <w:pPr>
              <w:spacing w:after="20"/>
            </w:pPr>
            <w:r>
              <w:rPr>
                <w:sz w:val="14"/>
              </w:rPr>
              <w:t>PatientService</w:t>
            </w:r>
          </w:p>
        </w:tc>
        <w:tc>
          <w:tcPr>
            <w:tcW w:type="dxa" w:w="7920"/>
            <w:vAlign w:val="top"/>
            <w:tcMar>
              <w:top w:w="60" w:type="dxa"/>
              <w:start w:w="60" w:type="dxa"/>
              <w:bottom w:w="60" w:type="dxa"/>
              <w:end w:w="60" w:type="dxa"/>
            </w:tcMar>
          </w:tcPr>
          <w:p>
            <w:pPr>
              <w:spacing w:after="20"/>
            </w:pPr>
            <w:r>
              <w:rPr>
                <w:sz w:val="14"/>
              </w:rPr>
              <w:t>Create/Get/Update/SearchPatient; MergeCandidate; MergePatient; LinkExternalIdentifier</w:t>
            </w:r>
          </w:p>
        </w:tc>
      </w:tr>
      <w:tr>
        <w:tc>
          <w:tcPr>
            <w:tcW w:type="dxa" w:w="2880"/>
            <w:vAlign w:val="top"/>
            <w:tcMar>
              <w:top w:w="60" w:type="dxa"/>
              <w:start w:w="60" w:type="dxa"/>
              <w:bottom w:w="60" w:type="dxa"/>
              <w:end w:w="60" w:type="dxa"/>
            </w:tcMar>
          </w:tcPr>
          <w:p>
            <w:pPr>
              <w:spacing w:after="20"/>
            </w:pPr>
            <w:r>
              <w:rPr>
                <w:sz w:val="14"/>
              </w:rPr>
              <w:t>AppointmentService</w:t>
            </w:r>
          </w:p>
        </w:tc>
        <w:tc>
          <w:tcPr>
            <w:tcW w:type="dxa" w:w="7920"/>
            <w:vAlign w:val="top"/>
            <w:tcMar>
              <w:top w:w="60" w:type="dxa"/>
              <w:start w:w="60" w:type="dxa"/>
              <w:bottom w:w="60" w:type="dxa"/>
              <w:end w:w="60" w:type="dxa"/>
            </w:tcMar>
          </w:tcPr>
          <w:p>
            <w:pPr>
              <w:spacing w:after="20"/>
            </w:pPr>
            <w:r>
              <w:rPr>
                <w:sz w:val="14"/>
              </w:rPr>
              <w:t>SearchSlots; Book; Reschedule; Cancel; CheckIn; QueueStatus</w:t>
            </w:r>
          </w:p>
        </w:tc>
      </w:tr>
      <w:tr>
        <w:tc>
          <w:tcPr>
            <w:tcW w:type="dxa" w:w="2880"/>
            <w:vAlign w:val="top"/>
            <w:tcMar>
              <w:top w:w="60" w:type="dxa"/>
              <w:start w:w="60" w:type="dxa"/>
              <w:bottom w:w="60" w:type="dxa"/>
              <w:end w:w="60" w:type="dxa"/>
            </w:tcMar>
          </w:tcPr>
          <w:p>
            <w:pPr>
              <w:spacing w:after="20"/>
            </w:pPr>
            <w:r>
              <w:rPr>
                <w:sz w:val="14"/>
              </w:rPr>
              <w:t>EncounterService</w:t>
            </w:r>
          </w:p>
        </w:tc>
        <w:tc>
          <w:tcPr>
            <w:tcW w:type="dxa" w:w="7920"/>
            <w:vAlign w:val="top"/>
            <w:tcMar>
              <w:top w:w="60" w:type="dxa"/>
              <w:start w:w="60" w:type="dxa"/>
              <w:bottom w:w="60" w:type="dxa"/>
              <w:end w:w="60" w:type="dxa"/>
            </w:tcMar>
          </w:tcPr>
          <w:p>
            <w:pPr>
              <w:spacing w:after="20"/>
            </w:pPr>
            <w:r>
              <w:rPr>
                <w:sz w:val="14"/>
              </w:rPr>
              <w:t>StartEncounter; Admit; Transfer; Discharge; GetTimelineContext</w:t>
            </w:r>
          </w:p>
        </w:tc>
      </w:tr>
      <w:tr>
        <w:tc>
          <w:tcPr>
            <w:tcW w:type="dxa" w:w="2880"/>
            <w:vAlign w:val="top"/>
            <w:tcMar>
              <w:top w:w="60" w:type="dxa"/>
              <w:start w:w="60" w:type="dxa"/>
              <w:bottom w:w="60" w:type="dxa"/>
              <w:end w:w="60" w:type="dxa"/>
            </w:tcMar>
          </w:tcPr>
          <w:p>
            <w:pPr>
              <w:spacing w:after="20"/>
            </w:pPr>
            <w:r>
              <w:rPr>
                <w:sz w:val="14"/>
              </w:rPr>
              <w:t>ClinicalDocumentService</w:t>
            </w:r>
          </w:p>
        </w:tc>
        <w:tc>
          <w:tcPr>
            <w:tcW w:type="dxa" w:w="7920"/>
            <w:vAlign w:val="top"/>
            <w:tcMar>
              <w:top w:w="60" w:type="dxa"/>
              <w:start w:w="60" w:type="dxa"/>
              <w:bottom w:w="60" w:type="dxa"/>
              <w:end w:w="60" w:type="dxa"/>
            </w:tcMar>
          </w:tcPr>
          <w:p>
            <w:pPr>
              <w:spacing w:after="20"/>
            </w:pPr>
            <w:r>
              <w:rPr>
                <w:sz w:val="14"/>
              </w:rPr>
              <w:t>CreateDraft; Sign; Amend; Addendum; GetVersionHistory</w:t>
            </w:r>
          </w:p>
        </w:tc>
      </w:tr>
      <w:tr>
        <w:tc>
          <w:tcPr>
            <w:tcW w:type="dxa" w:w="2880"/>
            <w:vAlign w:val="top"/>
            <w:tcMar>
              <w:top w:w="60" w:type="dxa"/>
              <w:start w:w="60" w:type="dxa"/>
              <w:bottom w:w="60" w:type="dxa"/>
              <w:end w:w="60" w:type="dxa"/>
            </w:tcMar>
          </w:tcPr>
          <w:p>
            <w:pPr>
              <w:spacing w:after="20"/>
            </w:pPr>
            <w:r>
              <w:rPr>
                <w:sz w:val="14"/>
              </w:rPr>
              <w:t>ObservationService</w:t>
            </w:r>
          </w:p>
        </w:tc>
        <w:tc>
          <w:tcPr>
            <w:tcW w:type="dxa" w:w="7920"/>
            <w:vAlign w:val="top"/>
            <w:tcMar>
              <w:top w:w="60" w:type="dxa"/>
              <w:start w:w="60" w:type="dxa"/>
              <w:bottom w:w="60" w:type="dxa"/>
              <w:end w:w="60" w:type="dxa"/>
            </w:tcMar>
          </w:tcPr>
          <w:p>
            <w:pPr>
              <w:spacing w:after="20"/>
            </w:pPr>
            <w:r>
              <w:rPr>
                <w:sz w:val="14"/>
              </w:rPr>
              <w:t>RecordObservation; RecordBatch; GetTrend</w:t>
            </w:r>
          </w:p>
        </w:tc>
      </w:tr>
      <w:tr>
        <w:tc>
          <w:tcPr>
            <w:tcW w:type="dxa" w:w="2880"/>
            <w:vAlign w:val="top"/>
            <w:tcMar>
              <w:top w:w="60" w:type="dxa"/>
              <w:start w:w="60" w:type="dxa"/>
              <w:bottom w:w="60" w:type="dxa"/>
              <w:end w:w="60" w:type="dxa"/>
            </w:tcMar>
          </w:tcPr>
          <w:p>
            <w:pPr>
              <w:spacing w:after="20"/>
            </w:pPr>
            <w:r>
              <w:rPr>
                <w:sz w:val="14"/>
              </w:rPr>
              <w:t>OrderService</w:t>
            </w:r>
          </w:p>
        </w:tc>
        <w:tc>
          <w:tcPr>
            <w:tcW w:type="dxa" w:w="7920"/>
            <w:vAlign w:val="top"/>
            <w:tcMar>
              <w:top w:w="60" w:type="dxa"/>
              <w:start w:w="60" w:type="dxa"/>
              <w:bottom w:w="60" w:type="dxa"/>
              <w:end w:w="60" w:type="dxa"/>
            </w:tcMar>
          </w:tcPr>
          <w:p>
            <w:pPr>
              <w:spacing w:after="20"/>
            </w:pPr>
            <w:r>
              <w:rPr>
                <w:sz w:val="14"/>
              </w:rPr>
              <w:t>PlaceOrder; ModifyOrder; CancelOrder; GetOrder; SearchWorklist</w:t>
            </w:r>
          </w:p>
        </w:tc>
      </w:tr>
      <w:tr>
        <w:tc>
          <w:tcPr>
            <w:tcW w:type="dxa" w:w="2880"/>
            <w:vAlign w:val="top"/>
            <w:tcMar>
              <w:top w:w="60" w:type="dxa"/>
              <w:start w:w="60" w:type="dxa"/>
              <w:bottom w:w="60" w:type="dxa"/>
              <w:end w:w="60" w:type="dxa"/>
            </w:tcMar>
          </w:tcPr>
          <w:p>
            <w:pPr>
              <w:spacing w:after="20"/>
            </w:pPr>
            <w:r>
              <w:rPr>
                <w:sz w:val="14"/>
              </w:rPr>
              <w:t>MedicationService</w:t>
            </w:r>
          </w:p>
        </w:tc>
        <w:tc>
          <w:tcPr>
            <w:tcW w:type="dxa" w:w="7920"/>
            <w:vAlign w:val="top"/>
            <w:tcMar>
              <w:top w:w="60" w:type="dxa"/>
              <w:start w:w="60" w:type="dxa"/>
              <w:bottom w:w="60" w:type="dxa"/>
              <w:end w:w="60" w:type="dxa"/>
            </w:tcMar>
          </w:tcPr>
          <w:p>
            <w:pPr>
              <w:spacing w:after="20"/>
            </w:pPr>
            <w:r>
              <w:rPr>
                <w:sz w:val="14"/>
              </w:rPr>
              <w:t>Prescribe; Verify; Reconcile; DispenseRequest</w:t>
            </w:r>
          </w:p>
        </w:tc>
      </w:tr>
      <w:tr>
        <w:tc>
          <w:tcPr>
            <w:tcW w:type="dxa" w:w="2880"/>
            <w:vAlign w:val="top"/>
            <w:tcMar>
              <w:top w:w="60" w:type="dxa"/>
              <w:start w:w="60" w:type="dxa"/>
              <w:bottom w:w="60" w:type="dxa"/>
              <w:end w:w="60" w:type="dxa"/>
            </w:tcMar>
          </w:tcPr>
          <w:p>
            <w:pPr>
              <w:spacing w:after="20"/>
            </w:pPr>
            <w:r>
              <w:rPr>
                <w:sz w:val="14"/>
              </w:rPr>
              <w:t>BillingService</w:t>
            </w:r>
          </w:p>
        </w:tc>
        <w:tc>
          <w:tcPr>
            <w:tcW w:type="dxa" w:w="7920"/>
            <w:vAlign w:val="top"/>
            <w:tcMar>
              <w:top w:w="60" w:type="dxa"/>
              <w:start w:w="60" w:type="dxa"/>
              <w:bottom w:w="60" w:type="dxa"/>
              <w:end w:w="60" w:type="dxa"/>
            </w:tcMar>
          </w:tcPr>
          <w:p>
            <w:pPr>
              <w:spacing w:after="20"/>
            </w:pPr>
            <w:r>
              <w:rPr>
                <w:sz w:val="14"/>
              </w:rPr>
              <w:t>Estimate; PostCharge; Invoice; ReceivePayment; Refund; Reconcile</w:t>
            </w:r>
          </w:p>
        </w:tc>
      </w:tr>
      <w:tr>
        <w:tc>
          <w:tcPr>
            <w:tcW w:type="dxa" w:w="2880"/>
            <w:vAlign w:val="top"/>
            <w:tcMar>
              <w:top w:w="60" w:type="dxa"/>
              <w:start w:w="60" w:type="dxa"/>
              <w:bottom w:w="60" w:type="dxa"/>
              <w:end w:w="60" w:type="dxa"/>
            </w:tcMar>
          </w:tcPr>
          <w:p>
            <w:pPr>
              <w:spacing w:after="20"/>
            </w:pPr>
            <w:r>
              <w:rPr>
                <w:sz w:val="14"/>
              </w:rPr>
              <w:t>ClaimService</w:t>
            </w:r>
          </w:p>
        </w:tc>
        <w:tc>
          <w:tcPr>
            <w:tcW w:type="dxa" w:w="7920"/>
            <w:vAlign w:val="top"/>
            <w:tcMar>
              <w:top w:w="60" w:type="dxa"/>
              <w:start w:w="60" w:type="dxa"/>
              <w:bottom w:w="60" w:type="dxa"/>
              <w:end w:w="60" w:type="dxa"/>
            </w:tcMar>
          </w:tcPr>
          <w:p>
            <w:pPr>
              <w:spacing w:after="20"/>
            </w:pPr>
            <w:r>
              <w:rPr>
                <w:sz w:val="14"/>
              </w:rPr>
              <w:t>CheckEligibility; CreatePreauth; SubmitEnhancement; SubmitClaim; RespondQuery; ReconcileSettlement</w:t>
            </w:r>
          </w:p>
        </w:tc>
      </w:tr>
      <w:tr>
        <w:tc>
          <w:tcPr>
            <w:tcW w:type="dxa" w:w="2880"/>
            <w:vAlign w:val="top"/>
            <w:tcMar>
              <w:top w:w="60" w:type="dxa"/>
              <w:start w:w="60" w:type="dxa"/>
              <w:bottom w:w="60" w:type="dxa"/>
              <w:end w:w="60" w:type="dxa"/>
            </w:tcMar>
          </w:tcPr>
          <w:p>
            <w:pPr>
              <w:spacing w:after="20"/>
            </w:pPr>
            <w:r>
              <w:rPr>
                <w:sz w:val="14"/>
              </w:rPr>
              <w:t>PharmaOrderService</w:t>
            </w:r>
          </w:p>
        </w:tc>
        <w:tc>
          <w:tcPr>
            <w:tcW w:type="dxa" w:w="7920"/>
            <w:vAlign w:val="top"/>
            <w:tcMar>
              <w:top w:w="60" w:type="dxa"/>
              <w:start w:w="60" w:type="dxa"/>
              <w:bottom w:w="60" w:type="dxa"/>
              <w:end w:w="60" w:type="dxa"/>
            </w:tcMar>
          </w:tcPr>
          <w:p>
            <w:pPr>
              <w:spacing w:after="20"/>
            </w:pPr>
            <w:r>
              <w:rPr>
                <w:sz w:val="14"/>
              </w:rPr>
              <w:t>IngestOrder; Validate; Price; Allocate; Confirm; Cancel; GetExceptions</w:t>
            </w:r>
          </w:p>
        </w:tc>
      </w:tr>
      <w:tr>
        <w:tc>
          <w:tcPr>
            <w:tcW w:type="dxa" w:w="2880"/>
            <w:vAlign w:val="top"/>
            <w:tcMar>
              <w:top w:w="60" w:type="dxa"/>
              <w:start w:w="60" w:type="dxa"/>
              <w:bottom w:w="60" w:type="dxa"/>
              <w:end w:w="60" w:type="dxa"/>
            </w:tcMar>
          </w:tcPr>
          <w:p>
            <w:pPr>
              <w:spacing w:after="20"/>
            </w:pPr>
            <w:r>
              <w:rPr>
                <w:sz w:val="14"/>
              </w:rPr>
              <w:t>InventoryService</w:t>
            </w:r>
          </w:p>
        </w:tc>
        <w:tc>
          <w:tcPr>
            <w:tcW w:type="dxa" w:w="7920"/>
            <w:vAlign w:val="top"/>
            <w:tcMar>
              <w:top w:w="60" w:type="dxa"/>
              <w:start w:w="60" w:type="dxa"/>
              <w:bottom w:w="60" w:type="dxa"/>
              <w:end w:w="60" w:type="dxa"/>
            </w:tcMar>
          </w:tcPr>
          <w:p>
            <w:pPr>
              <w:spacing w:after="20"/>
            </w:pPr>
            <w:r>
              <w:rPr>
                <w:sz w:val="14"/>
              </w:rPr>
              <w:t>GetATP; Reserve; Release; Move; Adjust; BatchTrace; ExpiryExposure</w:t>
            </w:r>
          </w:p>
        </w:tc>
      </w:tr>
      <w:tr>
        <w:tc>
          <w:tcPr>
            <w:tcW w:type="dxa" w:w="2880"/>
            <w:vAlign w:val="top"/>
            <w:tcMar>
              <w:top w:w="60" w:type="dxa"/>
              <w:start w:w="60" w:type="dxa"/>
              <w:bottom w:w="60" w:type="dxa"/>
              <w:end w:w="60" w:type="dxa"/>
            </w:tcMar>
          </w:tcPr>
          <w:p>
            <w:pPr>
              <w:spacing w:after="20"/>
            </w:pPr>
            <w:r>
              <w:rPr>
                <w:sz w:val="14"/>
              </w:rPr>
              <w:t>WarehouseService</w:t>
            </w:r>
          </w:p>
        </w:tc>
        <w:tc>
          <w:tcPr>
            <w:tcW w:type="dxa" w:w="7920"/>
            <w:vAlign w:val="top"/>
            <w:tcMar>
              <w:top w:w="60" w:type="dxa"/>
              <w:start w:w="60" w:type="dxa"/>
              <w:bottom w:w="60" w:type="dxa"/>
              <w:end w:w="60" w:type="dxa"/>
            </w:tcMar>
          </w:tcPr>
          <w:p>
            <w:pPr>
              <w:spacing w:after="20"/>
            </w:pPr>
            <w:r>
              <w:rPr>
                <w:sz w:val="14"/>
              </w:rPr>
              <w:t>Receive; PutAway; CreateWave; Pick; Pack; Dispatch; ConfirmPOD</w:t>
            </w:r>
          </w:p>
        </w:tc>
      </w:tr>
      <w:tr>
        <w:tc>
          <w:tcPr>
            <w:tcW w:type="dxa" w:w="2880"/>
            <w:vAlign w:val="top"/>
            <w:tcMar>
              <w:top w:w="60" w:type="dxa"/>
              <w:start w:w="60" w:type="dxa"/>
              <w:bottom w:w="60" w:type="dxa"/>
              <w:end w:w="60" w:type="dxa"/>
            </w:tcMar>
          </w:tcPr>
          <w:p>
            <w:pPr>
              <w:spacing w:after="20"/>
            </w:pPr>
            <w:r>
              <w:rPr>
                <w:sz w:val="14"/>
              </w:rPr>
              <w:t>PharmacyService</w:t>
            </w:r>
          </w:p>
        </w:tc>
        <w:tc>
          <w:tcPr>
            <w:tcW w:type="dxa" w:w="7920"/>
            <w:vAlign w:val="top"/>
            <w:tcMar>
              <w:top w:w="60" w:type="dxa"/>
              <w:start w:w="60" w:type="dxa"/>
              <w:bottom w:w="60" w:type="dxa"/>
              <w:end w:w="60" w:type="dxa"/>
            </w:tcMar>
          </w:tcPr>
          <w:p>
            <w:pPr>
              <w:spacing w:after="20"/>
            </w:pPr>
            <w:r>
              <w:rPr>
                <w:sz w:val="14"/>
              </w:rPr>
              <w:t>CreateFill; VerifyPrescription; Dispense; PartialFill; CreateDelivery</w:t>
            </w:r>
          </w:p>
        </w:tc>
      </w:tr>
      <w:tr>
        <w:tc>
          <w:tcPr>
            <w:tcW w:type="dxa" w:w="2880"/>
            <w:vAlign w:val="top"/>
            <w:tcMar>
              <w:top w:w="60" w:type="dxa"/>
              <w:start w:w="60" w:type="dxa"/>
              <w:bottom w:w="60" w:type="dxa"/>
              <w:end w:w="60" w:type="dxa"/>
            </w:tcMar>
          </w:tcPr>
          <w:p>
            <w:pPr>
              <w:spacing w:after="20"/>
            </w:pPr>
            <w:r>
              <w:rPr>
                <w:sz w:val="14"/>
              </w:rPr>
              <w:t>LabService</w:t>
            </w:r>
          </w:p>
        </w:tc>
        <w:tc>
          <w:tcPr>
            <w:tcW w:type="dxa" w:w="7920"/>
            <w:vAlign w:val="top"/>
            <w:tcMar>
              <w:top w:w="60" w:type="dxa"/>
              <w:start w:w="60" w:type="dxa"/>
              <w:bottom w:w="60" w:type="dxa"/>
              <w:end w:w="60" w:type="dxa"/>
            </w:tcMar>
          </w:tcPr>
          <w:p>
            <w:pPr>
              <w:spacing w:after="20"/>
            </w:pPr>
            <w:r>
              <w:rPr>
                <w:sz w:val="14"/>
              </w:rPr>
              <w:t>Accession; Collect; Receive; Route; RecordResult; Validate; ReleaseReport</w:t>
            </w:r>
          </w:p>
        </w:tc>
      </w:tr>
      <w:tr>
        <w:tc>
          <w:tcPr>
            <w:tcW w:type="dxa" w:w="2880"/>
            <w:vAlign w:val="top"/>
            <w:tcMar>
              <w:top w:w="60" w:type="dxa"/>
              <w:start w:w="60" w:type="dxa"/>
              <w:bottom w:w="60" w:type="dxa"/>
              <w:end w:w="60" w:type="dxa"/>
            </w:tcMar>
          </w:tcPr>
          <w:p>
            <w:pPr>
              <w:spacing w:after="20"/>
            </w:pPr>
            <w:r>
              <w:rPr>
                <w:sz w:val="14"/>
              </w:rPr>
              <w:t>ImagingService</w:t>
            </w:r>
          </w:p>
        </w:tc>
        <w:tc>
          <w:tcPr>
            <w:tcW w:type="dxa" w:w="7920"/>
            <w:vAlign w:val="top"/>
            <w:tcMar>
              <w:top w:w="60" w:type="dxa"/>
              <w:start w:w="60" w:type="dxa"/>
              <w:bottom w:w="60" w:type="dxa"/>
              <w:end w:w="60" w:type="dxa"/>
            </w:tcMar>
          </w:tcPr>
          <w:p>
            <w:pPr>
              <w:spacing w:after="20"/>
            </w:pPr>
            <w:r>
              <w:rPr>
                <w:sz w:val="14"/>
              </w:rPr>
              <w:t>ScheduleStudy; ModalityWorklist; RecordReport; ReleaseReport</w:t>
            </w:r>
          </w:p>
        </w:tc>
      </w:tr>
      <w:tr>
        <w:tc>
          <w:tcPr>
            <w:tcW w:type="dxa" w:w="2880"/>
            <w:vAlign w:val="top"/>
            <w:tcMar>
              <w:top w:w="60" w:type="dxa"/>
              <w:start w:w="60" w:type="dxa"/>
              <w:bottom w:w="60" w:type="dxa"/>
              <w:end w:w="60" w:type="dxa"/>
            </w:tcMar>
          </w:tcPr>
          <w:p>
            <w:pPr>
              <w:spacing w:after="20"/>
            </w:pPr>
            <w:r>
              <w:rPr>
                <w:sz w:val="14"/>
              </w:rPr>
              <w:t>WorkforceService</w:t>
            </w:r>
          </w:p>
        </w:tc>
        <w:tc>
          <w:tcPr>
            <w:tcW w:type="dxa" w:w="7920"/>
            <w:vAlign w:val="top"/>
            <w:tcMar>
              <w:top w:w="60" w:type="dxa"/>
              <w:start w:w="60" w:type="dxa"/>
              <w:bottom w:w="60" w:type="dxa"/>
              <w:end w:w="60" w:type="dxa"/>
            </w:tcMar>
          </w:tcPr>
          <w:p>
            <w:pPr>
              <w:spacing w:after="20"/>
            </w:pPr>
            <w:r>
              <w:rPr>
                <w:sz w:val="14"/>
              </w:rPr>
              <w:t>Employee; Roster; Attendance; Leave; Credential</w:t>
            </w:r>
          </w:p>
        </w:tc>
      </w:tr>
      <w:tr>
        <w:tc>
          <w:tcPr>
            <w:tcW w:type="dxa" w:w="2880"/>
            <w:vAlign w:val="top"/>
            <w:tcMar>
              <w:top w:w="60" w:type="dxa"/>
              <w:start w:w="60" w:type="dxa"/>
              <w:bottom w:w="60" w:type="dxa"/>
              <w:end w:w="60" w:type="dxa"/>
            </w:tcMar>
          </w:tcPr>
          <w:p>
            <w:pPr>
              <w:spacing w:after="20"/>
            </w:pPr>
            <w:r>
              <w:rPr>
                <w:sz w:val="14"/>
              </w:rPr>
              <w:t>PayrollService</w:t>
            </w:r>
          </w:p>
        </w:tc>
        <w:tc>
          <w:tcPr>
            <w:tcW w:type="dxa" w:w="7920"/>
            <w:vAlign w:val="top"/>
            <w:tcMar>
              <w:top w:w="60" w:type="dxa"/>
              <w:start w:w="60" w:type="dxa"/>
              <w:bottom w:w="60" w:type="dxa"/>
              <w:end w:w="60" w:type="dxa"/>
            </w:tcMar>
          </w:tcPr>
          <w:p>
            <w:pPr>
              <w:spacing w:after="20"/>
            </w:pPr>
            <w:r>
              <w:rPr>
                <w:sz w:val="14"/>
              </w:rPr>
              <w:t>PreviewRun; ExecuteRun; FinalizeRun; Payslip</w:t>
            </w:r>
          </w:p>
        </w:tc>
      </w:tr>
      <w:tr>
        <w:tc>
          <w:tcPr>
            <w:tcW w:type="dxa" w:w="2880"/>
            <w:vAlign w:val="top"/>
            <w:tcMar>
              <w:top w:w="60" w:type="dxa"/>
              <w:start w:w="60" w:type="dxa"/>
              <w:bottom w:w="60" w:type="dxa"/>
              <w:end w:w="60" w:type="dxa"/>
            </w:tcMar>
          </w:tcPr>
          <w:p>
            <w:pPr>
              <w:spacing w:after="20"/>
            </w:pPr>
            <w:r>
              <w:rPr>
                <w:sz w:val="14"/>
              </w:rPr>
              <w:t>ScadaService</w:t>
            </w:r>
          </w:p>
        </w:tc>
        <w:tc>
          <w:tcPr>
            <w:tcW w:type="dxa" w:w="7920"/>
            <w:vAlign w:val="top"/>
            <w:tcMar>
              <w:top w:w="60" w:type="dxa"/>
              <w:start w:w="60" w:type="dxa"/>
              <w:bottom w:w="60" w:type="dxa"/>
              <w:end w:w="60" w:type="dxa"/>
            </w:tcMar>
          </w:tcPr>
          <w:p>
            <w:pPr>
              <w:spacing w:after="20"/>
            </w:pPr>
            <w:r>
              <w:rPr>
                <w:sz w:val="14"/>
              </w:rPr>
              <w:t>RegisterPoint; IngestTelemetry; RaiseAlarm; AcknowledgeAlarm; GetTrend</w:t>
            </w:r>
          </w:p>
        </w:tc>
      </w:tr>
      <w:tr>
        <w:tc>
          <w:tcPr>
            <w:tcW w:type="dxa" w:w="2880"/>
            <w:vAlign w:val="top"/>
            <w:tcMar>
              <w:top w:w="60" w:type="dxa"/>
              <w:start w:w="60" w:type="dxa"/>
              <w:bottom w:w="60" w:type="dxa"/>
              <w:end w:w="60" w:type="dxa"/>
            </w:tcMar>
          </w:tcPr>
          <w:p>
            <w:pPr>
              <w:spacing w:after="20"/>
            </w:pPr>
            <w:r>
              <w:rPr>
                <w:sz w:val="14"/>
              </w:rPr>
              <w:t>ConsentService</w:t>
            </w:r>
          </w:p>
        </w:tc>
        <w:tc>
          <w:tcPr>
            <w:tcW w:type="dxa" w:w="7920"/>
            <w:vAlign w:val="top"/>
            <w:tcMar>
              <w:top w:w="60" w:type="dxa"/>
              <w:start w:w="60" w:type="dxa"/>
              <w:bottom w:w="60" w:type="dxa"/>
              <w:end w:w="60" w:type="dxa"/>
            </w:tcMar>
          </w:tcPr>
          <w:p>
            <w:pPr>
              <w:spacing w:after="20"/>
            </w:pPr>
            <w:r>
              <w:rPr>
                <w:sz w:val="14"/>
              </w:rPr>
              <w:t>RecordNotice; Grant; Withdraw; GetPurposeStatus</w:t>
            </w:r>
          </w:p>
        </w:tc>
      </w:tr>
      <w:tr>
        <w:tc>
          <w:tcPr>
            <w:tcW w:type="dxa" w:w="2880"/>
            <w:vAlign w:val="top"/>
            <w:tcMar>
              <w:top w:w="60" w:type="dxa"/>
              <w:start w:w="60" w:type="dxa"/>
              <w:bottom w:w="60" w:type="dxa"/>
              <w:end w:w="60" w:type="dxa"/>
            </w:tcMar>
          </w:tcPr>
          <w:p>
            <w:pPr>
              <w:spacing w:after="20"/>
            </w:pPr>
            <w:r>
              <w:rPr>
                <w:sz w:val="14"/>
              </w:rPr>
              <w:t>DocumentService</w:t>
            </w:r>
          </w:p>
        </w:tc>
        <w:tc>
          <w:tcPr>
            <w:tcW w:type="dxa" w:w="7920"/>
            <w:vAlign w:val="top"/>
            <w:tcMar>
              <w:top w:w="60" w:type="dxa"/>
              <w:start w:w="60" w:type="dxa"/>
              <w:bottom w:w="60" w:type="dxa"/>
              <w:end w:w="60" w:type="dxa"/>
            </w:tcMar>
          </w:tcPr>
          <w:p>
            <w:pPr>
              <w:spacing w:after="20"/>
            </w:pPr>
            <w:r>
              <w:rPr>
                <w:sz w:val="14"/>
              </w:rPr>
              <w:t>Render; Sign; Archive; GetDownloadGrant</w:t>
            </w:r>
          </w:p>
        </w:tc>
      </w:tr>
      <w:tr>
        <w:tc>
          <w:tcPr>
            <w:tcW w:type="dxa" w:w="2880"/>
            <w:vAlign w:val="top"/>
            <w:tcMar>
              <w:top w:w="60" w:type="dxa"/>
              <w:start w:w="60" w:type="dxa"/>
              <w:bottom w:w="60" w:type="dxa"/>
              <w:end w:w="60" w:type="dxa"/>
            </w:tcMar>
          </w:tcPr>
          <w:p>
            <w:pPr>
              <w:spacing w:after="20"/>
            </w:pPr>
            <w:r>
              <w:rPr>
                <w:sz w:val="14"/>
              </w:rPr>
              <w:t>WorkflowService</w:t>
            </w:r>
          </w:p>
        </w:tc>
        <w:tc>
          <w:tcPr>
            <w:tcW w:type="dxa" w:w="7920"/>
            <w:vAlign w:val="top"/>
            <w:tcMar>
              <w:top w:w="60" w:type="dxa"/>
              <w:start w:w="60" w:type="dxa"/>
              <w:bottom w:w="60" w:type="dxa"/>
              <w:end w:w="60" w:type="dxa"/>
            </w:tcMar>
          </w:tcPr>
          <w:p>
            <w:pPr>
              <w:spacing w:after="20"/>
            </w:pPr>
            <w:r>
              <w:rPr>
                <w:sz w:val="14"/>
              </w:rPr>
              <w:t>Start; Signal; GetState; Cancel; RetryStep</w:t>
            </w:r>
          </w:p>
        </w:tc>
      </w:tr>
      <w:tr>
        <w:tc>
          <w:tcPr>
            <w:tcW w:type="dxa" w:w="2880"/>
            <w:vAlign w:val="top"/>
            <w:tcMar>
              <w:top w:w="60" w:type="dxa"/>
              <w:start w:w="60" w:type="dxa"/>
              <w:bottom w:w="60" w:type="dxa"/>
              <w:end w:w="60" w:type="dxa"/>
            </w:tcMar>
          </w:tcPr>
          <w:p>
            <w:pPr>
              <w:spacing w:after="20"/>
            </w:pPr>
            <w:r>
              <w:rPr>
                <w:sz w:val="14"/>
              </w:rPr>
              <w:t>AIService</w:t>
            </w:r>
          </w:p>
        </w:tc>
        <w:tc>
          <w:tcPr>
            <w:tcW w:type="dxa" w:w="7920"/>
            <w:vAlign w:val="top"/>
            <w:tcMar>
              <w:top w:w="60" w:type="dxa"/>
              <w:start w:w="60" w:type="dxa"/>
              <w:bottom w:w="60" w:type="dxa"/>
              <w:end w:w="60" w:type="dxa"/>
            </w:tcMar>
          </w:tcPr>
          <w:p>
            <w:pPr>
              <w:spacing w:after="20"/>
            </w:pPr>
            <w:r>
              <w:rPr>
                <w:sz w:val="14"/>
              </w:rPr>
              <w:t>ExtractDocument; RankMatches; Forecast; Summarize; Explain; SubmitHumanDisposition</w:t>
            </w:r>
          </w:p>
        </w:tc>
      </w:tr>
    </w:tbl>
    <w:p>
      <w:pPr>
        <w:spacing w:after="20"/>
      </w:pPr>
    </w:p>
    <w:p>
      <w:pPr>
        <w:pStyle w:val="Heading1"/>
      </w:pPr>
      <w:r>
        <w:t>24. Domain Event Catalogue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AF7"/>
            <w:vAlign w:val="center"/>
            <w:tcMar>
              <w:top w:w="60" w:type="dxa"/>
              <w:start w:w="60" w:type="dxa"/>
              <w:bottom w:w="60" w:type="dxa"/>
              <w:end w:w="60" w:type="dxa"/>
            </w:tcMar>
          </w:tcPr>
          <w:p>
            <w:r>
              <w:rPr>
                <w:b/>
                <w:sz w:val="14"/>
              </w:rPr>
              <w:t>ID</w:t>
            </w:r>
          </w:p>
        </w:tc>
        <w:tc>
          <w:tcPr>
            <w:tcW w:type="dxa" w:w="9360"/>
            <w:shd w:fill="D9EAF7"/>
            <w:vAlign w:val="center"/>
            <w:tcMar>
              <w:top w:w="60" w:type="dxa"/>
              <w:start w:w="60" w:type="dxa"/>
              <w:bottom w:w="60" w:type="dxa"/>
              <w:end w:w="60" w:type="dxa"/>
            </w:tcMar>
          </w:tcPr>
          <w:p>
            <w:r>
              <w:rPr>
                <w:b/>
                <w:sz w:val="14"/>
              </w:rPr>
              <w:t>Event</w:t>
            </w:r>
          </w:p>
        </w:tc>
      </w:tr>
      <w:tr>
        <w:tc>
          <w:tcPr>
            <w:tcW w:type="dxa" w:w="1440"/>
            <w:vAlign w:val="top"/>
            <w:tcMar>
              <w:top w:w="60" w:type="dxa"/>
              <w:start w:w="60" w:type="dxa"/>
              <w:bottom w:w="60" w:type="dxa"/>
              <w:end w:w="60" w:type="dxa"/>
            </w:tcMar>
          </w:tcPr>
          <w:p>
            <w:pPr>
              <w:spacing w:after="20"/>
            </w:pPr>
            <w:r>
              <w:rPr>
                <w:sz w:val="14"/>
              </w:rPr>
              <w:t>EVT-001</w:t>
            </w:r>
          </w:p>
        </w:tc>
        <w:tc>
          <w:tcPr>
            <w:tcW w:type="dxa" w:w="9360"/>
            <w:vAlign w:val="top"/>
            <w:tcMar>
              <w:top w:w="60" w:type="dxa"/>
              <w:start w:w="60" w:type="dxa"/>
              <w:bottom w:w="60" w:type="dxa"/>
              <w:end w:w="60" w:type="dxa"/>
            </w:tcMar>
          </w:tcPr>
          <w:p>
            <w:pPr>
              <w:spacing w:after="20"/>
            </w:pPr>
            <w:r>
              <w:rPr>
                <w:sz w:val="14"/>
              </w:rPr>
              <w:t>patient.created</w:t>
            </w:r>
          </w:p>
        </w:tc>
      </w:tr>
      <w:tr>
        <w:tc>
          <w:tcPr>
            <w:tcW w:type="dxa" w:w="1440"/>
            <w:vAlign w:val="top"/>
            <w:tcMar>
              <w:top w:w="60" w:type="dxa"/>
              <w:start w:w="60" w:type="dxa"/>
              <w:bottom w:w="60" w:type="dxa"/>
              <w:end w:w="60" w:type="dxa"/>
            </w:tcMar>
          </w:tcPr>
          <w:p>
            <w:pPr>
              <w:spacing w:after="20"/>
            </w:pPr>
            <w:r>
              <w:rPr>
                <w:sz w:val="14"/>
              </w:rPr>
              <w:t>EVT-002</w:t>
            </w:r>
          </w:p>
        </w:tc>
        <w:tc>
          <w:tcPr>
            <w:tcW w:type="dxa" w:w="9360"/>
            <w:vAlign w:val="top"/>
            <w:tcMar>
              <w:top w:w="60" w:type="dxa"/>
              <w:start w:w="60" w:type="dxa"/>
              <w:bottom w:w="60" w:type="dxa"/>
              <w:end w:w="60" w:type="dxa"/>
            </w:tcMar>
          </w:tcPr>
          <w:p>
            <w:pPr>
              <w:spacing w:after="20"/>
            </w:pPr>
            <w:r>
              <w:rPr>
                <w:sz w:val="14"/>
              </w:rPr>
              <w:t>patient.merged</w:t>
            </w:r>
          </w:p>
        </w:tc>
      </w:tr>
      <w:tr>
        <w:tc>
          <w:tcPr>
            <w:tcW w:type="dxa" w:w="1440"/>
            <w:vAlign w:val="top"/>
            <w:tcMar>
              <w:top w:w="60" w:type="dxa"/>
              <w:start w:w="60" w:type="dxa"/>
              <w:bottom w:w="60" w:type="dxa"/>
              <w:end w:w="60" w:type="dxa"/>
            </w:tcMar>
          </w:tcPr>
          <w:p>
            <w:pPr>
              <w:spacing w:after="20"/>
            </w:pPr>
            <w:r>
              <w:rPr>
                <w:sz w:val="14"/>
              </w:rPr>
              <w:t>EVT-003</w:t>
            </w:r>
          </w:p>
        </w:tc>
        <w:tc>
          <w:tcPr>
            <w:tcW w:type="dxa" w:w="9360"/>
            <w:vAlign w:val="top"/>
            <w:tcMar>
              <w:top w:w="60" w:type="dxa"/>
              <w:start w:w="60" w:type="dxa"/>
              <w:bottom w:w="60" w:type="dxa"/>
              <w:end w:w="60" w:type="dxa"/>
            </w:tcMar>
          </w:tcPr>
          <w:p>
            <w:pPr>
              <w:spacing w:after="20"/>
            </w:pPr>
            <w:r>
              <w:rPr>
                <w:sz w:val="14"/>
              </w:rPr>
              <w:t>appointment.booked</w:t>
            </w:r>
          </w:p>
        </w:tc>
      </w:tr>
      <w:tr>
        <w:tc>
          <w:tcPr>
            <w:tcW w:type="dxa" w:w="1440"/>
            <w:vAlign w:val="top"/>
            <w:tcMar>
              <w:top w:w="60" w:type="dxa"/>
              <w:start w:w="60" w:type="dxa"/>
              <w:bottom w:w="60" w:type="dxa"/>
              <w:end w:w="60" w:type="dxa"/>
            </w:tcMar>
          </w:tcPr>
          <w:p>
            <w:pPr>
              <w:spacing w:after="20"/>
            </w:pPr>
            <w:r>
              <w:rPr>
                <w:sz w:val="14"/>
              </w:rPr>
              <w:t>EVT-004</w:t>
            </w:r>
          </w:p>
        </w:tc>
        <w:tc>
          <w:tcPr>
            <w:tcW w:type="dxa" w:w="9360"/>
            <w:vAlign w:val="top"/>
            <w:tcMar>
              <w:top w:w="60" w:type="dxa"/>
              <w:start w:w="60" w:type="dxa"/>
              <w:bottom w:w="60" w:type="dxa"/>
              <w:end w:w="60" w:type="dxa"/>
            </w:tcMar>
          </w:tcPr>
          <w:p>
            <w:pPr>
              <w:spacing w:after="20"/>
            </w:pPr>
            <w:r>
              <w:rPr>
                <w:sz w:val="14"/>
              </w:rPr>
              <w:t>patient.checked_in</w:t>
            </w:r>
          </w:p>
        </w:tc>
      </w:tr>
      <w:tr>
        <w:tc>
          <w:tcPr>
            <w:tcW w:type="dxa" w:w="1440"/>
            <w:vAlign w:val="top"/>
            <w:tcMar>
              <w:top w:w="60" w:type="dxa"/>
              <w:start w:w="60" w:type="dxa"/>
              <w:bottom w:w="60" w:type="dxa"/>
              <w:end w:w="60" w:type="dxa"/>
            </w:tcMar>
          </w:tcPr>
          <w:p>
            <w:pPr>
              <w:spacing w:after="20"/>
            </w:pPr>
            <w:r>
              <w:rPr>
                <w:sz w:val="14"/>
              </w:rPr>
              <w:t>EVT-005</w:t>
            </w:r>
          </w:p>
        </w:tc>
        <w:tc>
          <w:tcPr>
            <w:tcW w:type="dxa" w:w="9360"/>
            <w:vAlign w:val="top"/>
            <w:tcMar>
              <w:top w:w="60" w:type="dxa"/>
              <w:start w:w="60" w:type="dxa"/>
              <w:bottom w:w="60" w:type="dxa"/>
              <w:end w:w="60" w:type="dxa"/>
            </w:tcMar>
          </w:tcPr>
          <w:p>
            <w:pPr>
              <w:spacing w:after="20"/>
            </w:pPr>
            <w:r>
              <w:rPr>
                <w:sz w:val="14"/>
              </w:rPr>
              <w:t>encounter.started</w:t>
            </w:r>
          </w:p>
        </w:tc>
      </w:tr>
      <w:tr>
        <w:tc>
          <w:tcPr>
            <w:tcW w:type="dxa" w:w="1440"/>
            <w:vAlign w:val="top"/>
            <w:tcMar>
              <w:top w:w="60" w:type="dxa"/>
              <w:start w:w="60" w:type="dxa"/>
              <w:bottom w:w="60" w:type="dxa"/>
              <w:end w:w="60" w:type="dxa"/>
            </w:tcMar>
          </w:tcPr>
          <w:p>
            <w:pPr>
              <w:spacing w:after="20"/>
            </w:pPr>
            <w:r>
              <w:rPr>
                <w:sz w:val="14"/>
              </w:rPr>
              <w:t>EVT-006</w:t>
            </w:r>
          </w:p>
        </w:tc>
        <w:tc>
          <w:tcPr>
            <w:tcW w:type="dxa" w:w="9360"/>
            <w:vAlign w:val="top"/>
            <w:tcMar>
              <w:top w:w="60" w:type="dxa"/>
              <w:start w:w="60" w:type="dxa"/>
              <w:bottom w:w="60" w:type="dxa"/>
              <w:end w:w="60" w:type="dxa"/>
            </w:tcMar>
          </w:tcPr>
          <w:p>
            <w:pPr>
              <w:spacing w:after="20"/>
            </w:pPr>
            <w:r>
              <w:rPr>
                <w:sz w:val="14"/>
              </w:rPr>
              <w:t>patient.admitted</w:t>
            </w:r>
          </w:p>
        </w:tc>
      </w:tr>
      <w:tr>
        <w:tc>
          <w:tcPr>
            <w:tcW w:type="dxa" w:w="1440"/>
            <w:vAlign w:val="top"/>
            <w:tcMar>
              <w:top w:w="60" w:type="dxa"/>
              <w:start w:w="60" w:type="dxa"/>
              <w:bottom w:w="60" w:type="dxa"/>
              <w:end w:w="60" w:type="dxa"/>
            </w:tcMar>
          </w:tcPr>
          <w:p>
            <w:pPr>
              <w:spacing w:after="20"/>
            </w:pPr>
            <w:r>
              <w:rPr>
                <w:sz w:val="14"/>
              </w:rPr>
              <w:t>EVT-007</w:t>
            </w:r>
          </w:p>
        </w:tc>
        <w:tc>
          <w:tcPr>
            <w:tcW w:type="dxa" w:w="9360"/>
            <w:vAlign w:val="top"/>
            <w:tcMar>
              <w:top w:w="60" w:type="dxa"/>
              <w:start w:w="60" w:type="dxa"/>
              <w:bottom w:w="60" w:type="dxa"/>
              <w:end w:w="60" w:type="dxa"/>
            </w:tcMar>
          </w:tcPr>
          <w:p>
            <w:pPr>
              <w:spacing w:after="20"/>
            </w:pPr>
            <w:r>
              <w:rPr>
                <w:sz w:val="14"/>
              </w:rPr>
              <w:t>bed.transferred</w:t>
            </w:r>
          </w:p>
        </w:tc>
      </w:tr>
      <w:tr>
        <w:tc>
          <w:tcPr>
            <w:tcW w:type="dxa" w:w="1440"/>
            <w:vAlign w:val="top"/>
            <w:tcMar>
              <w:top w:w="60" w:type="dxa"/>
              <w:start w:w="60" w:type="dxa"/>
              <w:bottom w:w="60" w:type="dxa"/>
              <w:end w:w="60" w:type="dxa"/>
            </w:tcMar>
          </w:tcPr>
          <w:p>
            <w:pPr>
              <w:spacing w:after="20"/>
            </w:pPr>
            <w:r>
              <w:rPr>
                <w:sz w:val="14"/>
              </w:rPr>
              <w:t>EVT-008</w:t>
            </w:r>
          </w:p>
        </w:tc>
        <w:tc>
          <w:tcPr>
            <w:tcW w:type="dxa" w:w="9360"/>
            <w:vAlign w:val="top"/>
            <w:tcMar>
              <w:top w:w="60" w:type="dxa"/>
              <w:start w:w="60" w:type="dxa"/>
              <w:bottom w:w="60" w:type="dxa"/>
              <w:end w:w="60" w:type="dxa"/>
            </w:tcMar>
          </w:tcPr>
          <w:p>
            <w:pPr>
              <w:spacing w:after="20"/>
            </w:pPr>
            <w:r>
              <w:rPr>
                <w:sz w:val="14"/>
              </w:rPr>
              <w:t>patient.discharged</w:t>
            </w:r>
          </w:p>
        </w:tc>
      </w:tr>
      <w:tr>
        <w:tc>
          <w:tcPr>
            <w:tcW w:type="dxa" w:w="1440"/>
            <w:vAlign w:val="top"/>
            <w:tcMar>
              <w:top w:w="60" w:type="dxa"/>
              <w:start w:w="60" w:type="dxa"/>
              <w:bottom w:w="60" w:type="dxa"/>
              <w:end w:w="60" w:type="dxa"/>
            </w:tcMar>
          </w:tcPr>
          <w:p>
            <w:pPr>
              <w:spacing w:after="20"/>
            </w:pPr>
            <w:r>
              <w:rPr>
                <w:sz w:val="14"/>
              </w:rPr>
              <w:t>EVT-009</w:t>
            </w:r>
          </w:p>
        </w:tc>
        <w:tc>
          <w:tcPr>
            <w:tcW w:type="dxa" w:w="9360"/>
            <w:vAlign w:val="top"/>
            <w:tcMar>
              <w:top w:w="60" w:type="dxa"/>
              <w:start w:w="60" w:type="dxa"/>
              <w:bottom w:w="60" w:type="dxa"/>
              <w:end w:w="60" w:type="dxa"/>
            </w:tcMar>
          </w:tcPr>
          <w:p>
            <w:pPr>
              <w:spacing w:after="20"/>
            </w:pPr>
            <w:r>
              <w:rPr>
                <w:sz w:val="14"/>
              </w:rPr>
              <w:t>clinical_document.signed</w:t>
            </w:r>
          </w:p>
        </w:tc>
      </w:tr>
      <w:tr>
        <w:tc>
          <w:tcPr>
            <w:tcW w:type="dxa" w:w="1440"/>
            <w:vAlign w:val="top"/>
            <w:tcMar>
              <w:top w:w="60" w:type="dxa"/>
              <w:start w:w="60" w:type="dxa"/>
              <w:bottom w:w="60" w:type="dxa"/>
              <w:end w:w="60" w:type="dxa"/>
            </w:tcMar>
          </w:tcPr>
          <w:p>
            <w:pPr>
              <w:spacing w:after="20"/>
            </w:pPr>
            <w:r>
              <w:rPr>
                <w:sz w:val="14"/>
              </w:rPr>
              <w:t>EVT-010</w:t>
            </w:r>
          </w:p>
        </w:tc>
        <w:tc>
          <w:tcPr>
            <w:tcW w:type="dxa" w:w="9360"/>
            <w:vAlign w:val="top"/>
            <w:tcMar>
              <w:top w:w="60" w:type="dxa"/>
              <w:start w:w="60" w:type="dxa"/>
              <w:bottom w:w="60" w:type="dxa"/>
              <w:end w:w="60" w:type="dxa"/>
            </w:tcMar>
          </w:tcPr>
          <w:p>
            <w:pPr>
              <w:spacing w:after="20"/>
            </w:pPr>
            <w:r>
              <w:rPr>
                <w:sz w:val="14"/>
              </w:rPr>
              <w:t>observation.recorded</w:t>
            </w:r>
          </w:p>
        </w:tc>
      </w:tr>
      <w:tr>
        <w:tc>
          <w:tcPr>
            <w:tcW w:type="dxa" w:w="1440"/>
            <w:vAlign w:val="top"/>
            <w:tcMar>
              <w:top w:w="60" w:type="dxa"/>
              <w:start w:w="60" w:type="dxa"/>
              <w:bottom w:w="60" w:type="dxa"/>
              <w:end w:w="60" w:type="dxa"/>
            </w:tcMar>
          </w:tcPr>
          <w:p>
            <w:pPr>
              <w:spacing w:after="20"/>
            </w:pPr>
            <w:r>
              <w:rPr>
                <w:sz w:val="14"/>
              </w:rPr>
              <w:t>EVT-011</w:t>
            </w:r>
          </w:p>
        </w:tc>
        <w:tc>
          <w:tcPr>
            <w:tcW w:type="dxa" w:w="9360"/>
            <w:vAlign w:val="top"/>
            <w:tcMar>
              <w:top w:w="60" w:type="dxa"/>
              <w:start w:w="60" w:type="dxa"/>
              <w:bottom w:w="60" w:type="dxa"/>
              <w:end w:w="60" w:type="dxa"/>
            </w:tcMar>
          </w:tcPr>
          <w:p>
            <w:pPr>
              <w:spacing w:after="20"/>
            </w:pPr>
            <w:r>
              <w:rPr>
                <w:sz w:val="14"/>
              </w:rPr>
              <w:t>order.placed</w:t>
            </w:r>
          </w:p>
        </w:tc>
      </w:tr>
      <w:tr>
        <w:tc>
          <w:tcPr>
            <w:tcW w:type="dxa" w:w="1440"/>
            <w:vAlign w:val="top"/>
            <w:tcMar>
              <w:top w:w="60" w:type="dxa"/>
              <w:start w:w="60" w:type="dxa"/>
              <w:bottom w:w="60" w:type="dxa"/>
              <w:end w:w="60" w:type="dxa"/>
            </w:tcMar>
          </w:tcPr>
          <w:p>
            <w:pPr>
              <w:spacing w:after="20"/>
            </w:pPr>
            <w:r>
              <w:rPr>
                <w:sz w:val="14"/>
              </w:rPr>
              <w:t>EVT-012</w:t>
            </w:r>
          </w:p>
        </w:tc>
        <w:tc>
          <w:tcPr>
            <w:tcW w:type="dxa" w:w="9360"/>
            <w:vAlign w:val="top"/>
            <w:tcMar>
              <w:top w:w="60" w:type="dxa"/>
              <w:start w:w="60" w:type="dxa"/>
              <w:bottom w:w="60" w:type="dxa"/>
              <w:end w:w="60" w:type="dxa"/>
            </w:tcMar>
          </w:tcPr>
          <w:p>
            <w:pPr>
              <w:spacing w:after="20"/>
            </w:pPr>
            <w:r>
              <w:rPr>
                <w:sz w:val="14"/>
              </w:rPr>
              <w:t>order.cancelled</w:t>
            </w:r>
          </w:p>
        </w:tc>
      </w:tr>
      <w:tr>
        <w:tc>
          <w:tcPr>
            <w:tcW w:type="dxa" w:w="1440"/>
            <w:vAlign w:val="top"/>
            <w:tcMar>
              <w:top w:w="60" w:type="dxa"/>
              <w:start w:w="60" w:type="dxa"/>
              <w:bottom w:w="60" w:type="dxa"/>
              <w:end w:w="60" w:type="dxa"/>
            </w:tcMar>
          </w:tcPr>
          <w:p>
            <w:pPr>
              <w:spacing w:after="20"/>
            </w:pPr>
            <w:r>
              <w:rPr>
                <w:sz w:val="14"/>
              </w:rPr>
              <w:t>EVT-013</w:t>
            </w:r>
          </w:p>
        </w:tc>
        <w:tc>
          <w:tcPr>
            <w:tcW w:type="dxa" w:w="9360"/>
            <w:vAlign w:val="top"/>
            <w:tcMar>
              <w:top w:w="60" w:type="dxa"/>
              <w:start w:w="60" w:type="dxa"/>
              <w:bottom w:w="60" w:type="dxa"/>
              <w:end w:w="60" w:type="dxa"/>
            </w:tcMar>
          </w:tcPr>
          <w:p>
            <w:pPr>
              <w:spacing w:after="20"/>
            </w:pPr>
            <w:r>
              <w:rPr>
                <w:sz w:val="14"/>
              </w:rPr>
              <w:t>medication.prescribed</w:t>
            </w:r>
          </w:p>
        </w:tc>
      </w:tr>
      <w:tr>
        <w:tc>
          <w:tcPr>
            <w:tcW w:type="dxa" w:w="1440"/>
            <w:vAlign w:val="top"/>
            <w:tcMar>
              <w:top w:w="60" w:type="dxa"/>
              <w:start w:w="60" w:type="dxa"/>
              <w:bottom w:w="60" w:type="dxa"/>
              <w:end w:w="60" w:type="dxa"/>
            </w:tcMar>
          </w:tcPr>
          <w:p>
            <w:pPr>
              <w:spacing w:after="20"/>
            </w:pPr>
            <w:r>
              <w:rPr>
                <w:sz w:val="14"/>
              </w:rPr>
              <w:t>EVT-014</w:t>
            </w:r>
          </w:p>
        </w:tc>
        <w:tc>
          <w:tcPr>
            <w:tcW w:type="dxa" w:w="9360"/>
            <w:vAlign w:val="top"/>
            <w:tcMar>
              <w:top w:w="60" w:type="dxa"/>
              <w:start w:w="60" w:type="dxa"/>
              <w:bottom w:w="60" w:type="dxa"/>
              <w:end w:w="60" w:type="dxa"/>
            </w:tcMar>
          </w:tcPr>
          <w:p>
            <w:pPr>
              <w:spacing w:after="20"/>
            </w:pPr>
            <w:r>
              <w:rPr>
                <w:sz w:val="14"/>
              </w:rPr>
              <w:t>medication.administered</w:t>
            </w:r>
          </w:p>
        </w:tc>
      </w:tr>
      <w:tr>
        <w:tc>
          <w:tcPr>
            <w:tcW w:type="dxa" w:w="1440"/>
            <w:vAlign w:val="top"/>
            <w:tcMar>
              <w:top w:w="60" w:type="dxa"/>
              <w:start w:w="60" w:type="dxa"/>
              <w:bottom w:w="60" w:type="dxa"/>
              <w:end w:w="60" w:type="dxa"/>
            </w:tcMar>
          </w:tcPr>
          <w:p>
            <w:pPr>
              <w:spacing w:after="20"/>
            </w:pPr>
            <w:r>
              <w:rPr>
                <w:sz w:val="14"/>
              </w:rPr>
              <w:t>EVT-015</w:t>
            </w:r>
          </w:p>
        </w:tc>
        <w:tc>
          <w:tcPr>
            <w:tcW w:type="dxa" w:w="9360"/>
            <w:vAlign w:val="top"/>
            <w:tcMar>
              <w:top w:w="60" w:type="dxa"/>
              <w:start w:w="60" w:type="dxa"/>
              <w:bottom w:w="60" w:type="dxa"/>
              <w:end w:w="60" w:type="dxa"/>
            </w:tcMar>
          </w:tcPr>
          <w:p>
            <w:pPr>
              <w:spacing w:after="20"/>
            </w:pPr>
            <w:r>
              <w:rPr>
                <w:sz w:val="14"/>
              </w:rPr>
              <w:t>prescription.ready_for_fulfilment</w:t>
            </w:r>
          </w:p>
        </w:tc>
      </w:tr>
      <w:tr>
        <w:tc>
          <w:tcPr>
            <w:tcW w:type="dxa" w:w="1440"/>
            <w:vAlign w:val="top"/>
            <w:tcMar>
              <w:top w:w="60" w:type="dxa"/>
              <w:start w:w="60" w:type="dxa"/>
              <w:bottom w:w="60" w:type="dxa"/>
              <w:end w:w="60" w:type="dxa"/>
            </w:tcMar>
          </w:tcPr>
          <w:p>
            <w:pPr>
              <w:spacing w:after="20"/>
            </w:pPr>
            <w:r>
              <w:rPr>
                <w:sz w:val="14"/>
              </w:rPr>
              <w:t>EVT-016</w:t>
            </w:r>
          </w:p>
        </w:tc>
        <w:tc>
          <w:tcPr>
            <w:tcW w:type="dxa" w:w="9360"/>
            <w:vAlign w:val="top"/>
            <w:tcMar>
              <w:top w:w="60" w:type="dxa"/>
              <w:start w:w="60" w:type="dxa"/>
              <w:bottom w:w="60" w:type="dxa"/>
              <w:end w:w="60" w:type="dxa"/>
            </w:tcMar>
          </w:tcPr>
          <w:p>
            <w:pPr>
              <w:spacing w:after="20"/>
            </w:pPr>
            <w:r>
              <w:rPr>
                <w:sz w:val="14"/>
              </w:rPr>
              <w:t>lab.accessioned</w:t>
            </w:r>
          </w:p>
        </w:tc>
      </w:tr>
      <w:tr>
        <w:tc>
          <w:tcPr>
            <w:tcW w:type="dxa" w:w="1440"/>
            <w:vAlign w:val="top"/>
            <w:tcMar>
              <w:top w:w="60" w:type="dxa"/>
              <w:start w:w="60" w:type="dxa"/>
              <w:bottom w:w="60" w:type="dxa"/>
              <w:end w:w="60" w:type="dxa"/>
            </w:tcMar>
          </w:tcPr>
          <w:p>
            <w:pPr>
              <w:spacing w:after="20"/>
            </w:pPr>
            <w:r>
              <w:rPr>
                <w:sz w:val="14"/>
              </w:rPr>
              <w:t>EVT-017</w:t>
            </w:r>
          </w:p>
        </w:tc>
        <w:tc>
          <w:tcPr>
            <w:tcW w:type="dxa" w:w="9360"/>
            <w:vAlign w:val="top"/>
            <w:tcMar>
              <w:top w:w="60" w:type="dxa"/>
              <w:start w:w="60" w:type="dxa"/>
              <w:bottom w:w="60" w:type="dxa"/>
              <w:end w:w="60" w:type="dxa"/>
            </w:tcMar>
          </w:tcPr>
          <w:p>
            <w:pPr>
              <w:spacing w:after="20"/>
            </w:pPr>
            <w:r>
              <w:rPr>
                <w:sz w:val="14"/>
              </w:rPr>
              <w:t>specimen.collected</w:t>
            </w:r>
          </w:p>
        </w:tc>
      </w:tr>
      <w:tr>
        <w:tc>
          <w:tcPr>
            <w:tcW w:type="dxa" w:w="1440"/>
            <w:vAlign w:val="top"/>
            <w:tcMar>
              <w:top w:w="60" w:type="dxa"/>
              <w:start w:w="60" w:type="dxa"/>
              <w:bottom w:w="60" w:type="dxa"/>
              <w:end w:w="60" w:type="dxa"/>
            </w:tcMar>
          </w:tcPr>
          <w:p>
            <w:pPr>
              <w:spacing w:after="20"/>
            </w:pPr>
            <w:r>
              <w:rPr>
                <w:sz w:val="14"/>
              </w:rPr>
              <w:t>EVT-018</w:t>
            </w:r>
          </w:p>
        </w:tc>
        <w:tc>
          <w:tcPr>
            <w:tcW w:type="dxa" w:w="9360"/>
            <w:vAlign w:val="top"/>
            <w:tcMar>
              <w:top w:w="60" w:type="dxa"/>
              <w:start w:w="60" w:type="dxa"/>
              <w:bottom w:w="60" w:type="dxa"/>
              <w:end w:w="60" w:type="dxa"/>
            </w:tcMar>
          </w:tcPr>
          <w:p>
            <w:pPr>
              <w:spacing w:after="20"/>
            </w:pPr>
            <w:r>
              <w:rPr>
                <w:sz w:val="14"/>
              </w:rPr>
              <w:t>specimen.received</w:t>
            </w:r>
          </w:p>
        </w:tc>
      </w:tr>
      <w:tr>
        <w:tc>
          <w:tcPr>
            <w:tcW w:type="dxa" w:w="1440"/>
            <w:vAlign w:val="top"/>
            <w:tcMar>
              <w:top w:w="60" w:type="dxa"/>
              <w:start w:w="60" w:type="dxa"/>
              <w:bottom w:w="60" w:type="dxa"/>
              <w:end w:w="60" w:type="dxa"/>
            </w:tcMar>
          </w:tcPr>
          <w:p>
            <w:pPr>
              <w:spacing w:after="20"/>
            </w:pPr>
            <w:r>
              <w:rPr>
                <w:sz w:val="14"/>
              </w:rPr>
              <w:t>EVT-019</w:t>
            </w:r>
          </w:p>
        </w:tc>
        <w:tc>
          <w:tcPr>
            <w:tcW w:type="dxa" w:w="9360"/>
            <w:vAlign w:val="top"/>
            <w:tcMar>
              <w:top w:w="60" w:type="dxa"/>
              <w:start w:w="60" w:type="dxa"/>
              <w:bottom w:w="60" w:type="dxa"/>
              <w:end w:w="60" w:type="dxa"/>
            </w:tcMar>
          </w:tcPr>
          <w:p>
            <w:pPr>
              <w:spacing w:after="20"/>
            </w:pPr>
            <w:r>
              <w:rPr>
                <w:sz w:val="14"/>
              </w:rPr>
              <w:t>lab.result_validated</w:t>
            </w:r>
          </w:p>
        </w:tc>
      </w:tr>
      <w:tr>
        <w:tc>
          <w:tcPr>
            <w:tcW w:type="dxa" w:w="1440"/>
            <w:vAlign w:val="top"/>
            <w:tcMar>
              <w:top w:w="60" w:type="dxa"/>
              <w:start w:w="60" w:type="dxa"/>
              <w:bottom w:w="60" w:type="dxa"/>
              <w:end w:w="60" w:type="dxa"/>
            </w:tcMar>
          </w:tcPr>
          <w:p>
            <w:pPr>
              <w:spacing w:after="20"/>
            </w:pPr>
            <w:r>
              <w:rPr>
                <w:sz w:val="14"/>
              </w:rPr>
              <w:t>EVT-020</w:t>
            </w:r>
          </w:p>
        </w:tc>
        <w:tc>
          <w:tcPr>
            <w:tcW w:type="dxa" w:w="9360"/>
            <w:vAlign w:val="top"/>
            <w:tcMar>
              <w:top w:w="60" w:type="dxa"/>
              <w:start w:w="60" w:type="dxa"/>
              <w:bottom w:w="60" w:type="dxa"/>
              <w:end w:w="60" w:type="dxa"/>
            </w:tcMar>
          </w:tcPr>
          <w:p>
            <w:pPr>
              <w:spacing w:after="20"/>
            </w:pPr>
            <w:r>
              <w:rPr>
                <w:sz w:val="14"/>
              </w:rPr>
              <w:t>diagnostic.report.released</w:t>
            </w:r>
          </w:p>
        </w:tc>
      </w:tr>
      <w:tr>
        <w:tc>
          <w:tcPr>
            <w:tcW w:type="dxa" w:w="1440"/>
            <w:vAlign w:val="top"/>
            <w:tcMar>
              <w:top w:w="60" w:type="dxa"/>
              <w:start w:w="60" w:type="dxa"/>
              <w:bottom w:w="60" w:type="dxa"/>
              <w:end w:w="60" w:type="dxa"/>
            </w:tcMar>
          </w:tcPr>
          <w:p>
            <w:pPr>
              <w:spacing w:after="20"/>
            </w:pPr>
            <w:r>
              <w:rPr>
                <w:sz w:val="14"/>
              </w:rPr>
              <w:t>EVT-021</w:t>
            </w:r>
          </w:p>
        </w:tc>
        <w:tc>
          <w:tcPr>
            <w:tcW w:type="dxa" w:w="9360"/>
            <w:vAlign w:val="top"/>
            <w:tcMar>
              <w:top w:w="60" w:type="dxa"/>
              <w:start w:w="60" w:type="dxa"/>
              <w:bottom w:w="60" w:type="dxa"/>
              <w:end w:w="60" w:type="dxa"/>
            </w:tcMar>
          </w:tcPr>
          <w:p>
            <w:pPr>
              <w:spacing w:after="20"/>
            </w:pPr>
            <w:r>
              <w:rPr>
                <w:sz w:val="14"/>
              </w:rPr>
              <w:t>imaging.study.completed</w:t>
            </w:r>
          </w:p>
        </w:tc>
      </w:tr>
      <w:tr>
        <w:tc>
          <w:tcPr>
            <w:tcW w:type="dxa" w:w="1440"/>
            <w:vAlign w:val="top"/>
            <w:tcMar>
              <w:top w:w="60" w:type="dxa"/>
              <w:start w:w="60" w:type="dxa"/>
              <w:bottom w:w="60" w:type="dxa"/>
              <w:end w:w="60" w:type="dxa"/>
            </w:tcMar>
          </w:tcPr>
          <w:p>
            <w:pPr>
              <w:spacing w:after="20"/>
            </w:pPr>
            <w:r>
              <w:rPr>
                <w:sz w:val="14"/>
              </w:rPr>
              <w:t>EVT-022</w:t>
            </w:r>
          </w:p>
        </w:tc>
        <w:tc>
          <w:tcPr>
            <w:tcW w:type="dxa" w:w="9360"/>
            <w:vAlign w:val="top"/>
            <w:tcMar>
              <w:top w:w="60" w:type="dxa"/>
              <w:start w:w="60" w:type="dxa"/>
              <w:bottom w:w="60" w:type="dxa"/>
              <w:end w:w="60" w:type="dxa"/>
            </w:tcMar>
          </w:tcPr>
          <w:p>
            <w:pPr>
              <w:spacing w:after="20"/>
            </w:pPr>
            <w:r>
              <w:rPr>
                <w:sz w:val="14"/>
              </w:rPr>
              <w:t>imaging.report.released</w:t>
            </w:r>
          </w:p>
        </w:tc>
      </w:tr>
      <w:tr>
        <w:tc>
          <w:tcPr>
            <w:tcW w:type="dxa" w:w="1440"/>
            <w:vAlign w:val="top"/>
            <w:tcMar>
              <w:top w:w="60" w:type="dxa"/>
              <w:start w:w="60" w:type="dxa"/>
              <w:bottom w:w="60" w:type="dxa"/>
              <w:end w:w="60" w:type="dxa"/>
            </w:tcMar>
          </w:tcPr>
          <w:p>
            <w:pPr>
              <w:spacing w:after="20"/>
            </w:pPr>
            <w:r>
              <w:rPr>
                <w:sz w:val="14"/>
              </w:rPr>
              <w:t>EVT-023</w:t>
            </w:r>
          </w:p>
        </w:tc>
        <w:tc>
          <w:tcPr>
            <w:tcW w:type="dxa" w:w="9360"/>
            <w:vAlign w:val="top"/>
            <w:tcMar>
              <w:top w:w="60" w:type="dxa"/>
              <w:start w:w="60" w:type="dxa"/>
              <w:bottom w:w="60" w:type="dxa"/>
              <w:end w:w="60" w:type="dxa"/>
            </w:tcMar>
          </w:tcPr>
          <w:p>
            <w:pPr>
              <w:spacing w:after="20"/>
            </w:pPr>
            <w:r>
              <w:rPr>
                <w:sz w:val="14"/>
              </w:rPr>
              <w:t>charge.posted</w:t>
            </w:r>
          </w:p>
        </w:tc>
      </w:tr>
      <w:tr>
        <w:tc>
          <w:tcPr>
            <w:tcW w:type="dxa" w:w="1440"/>
            <w:vAlign w:val="top"/>
            <w:tcMar>
              <w:top w:w="60" w:type="dxa"/>
              <w:start w:w="60" w:type="dxa"/>
              <w:bottom w:w="60" w:type="dxa"/>
              <w:end w:w="60" w:type="dxa"/>
            </w:tcMar>
          </w:tcPr>
          <w:p>
            <w:pPr>
              <w:spacing w:after="20"/>
            </w:pPr>
            <w:r>
              <w:rPr>
                <w:sz w:val="14"/>
              </w:rPr>
              <w:t>EVT-024</w:t>
            </w:r>
          </w:p>
        </w:tc>
        <w:tc>
          <w:tcPr>
            <w:tcW w:type="dxa" w:w="9360"/>
            <w:vAlign w:val="top"/>
            <w:tcMar>
              <w:top w:w="60" w:type="dxa"/>
              <w:start w:w="60" w:type="dxa"/>
              <w:bottom w:w="60" w:type="dxa"/>
              <w:end w:w="60" w:type="dxa"/>
            </w:tcMar>
          </w:tcPr>
          <w:p>
            <w:pPr>
              <w:spacing w:after="20"/>
            </w:pPr>
            <w:r>
              <w:rPr>
                <w:sz w:val="14"/>
              </w:rPr>
              <w:t>invoice.finalized</w:t>
            </w:r>
          </w:p>
        </w:tc>
      </w:tr>
      <w:tr>
        <w:tc>
          <w:tcPr>
            <w:tcW w:type="dxa" w:w="1440"/>
            <w:vAlign w:val="top"/>
            <w:tcMar>
              <w:top w:w="60" w:type="dxa"/>
              <w:start w:w="60" w:type="dxa"/>
              <w:bottom w:w="60" w:type="dxa"/>
              <w:end w:w="60" w:type="dxa"/>
            </w:tcMar>
          </w:tcPr>
          <w:p>
            <w:pPr>
              <w:spacing w:after="20"/>
            </w:pPr>
            <w:r>
              <w:rPr>
                <w:sz w:val="14"/>
              </w:rPr>
              <w:t>EVT-025</w:t>
            </w:r>
          </w:p>
        </w:tc>
        <w:tc>
          <w:tcPr>
            <w:tcW w:type="dxa" w:w="9360"/>
            <w:vAlign w:val="top"/>
            <w:tcMar>
              <w:top w:w="60" w:type="dxa"/>
              <w:start w:w="60" w:type="dxa"/>
              <w:bottom w:w="60" w:type="dxa"/>
              <w:end w:w="60" w:type="dxa"/>
            </w:tcMar>
          </w:tcPr>
          <w:p>
            <w:pPr>
              <w:spacing w:after="20"/>
            </w:pPr>
            <w:r>
              <w:rPr>
                <w:sz w:val="14"/>
              </w:rPr>
              <w:t>payment.received</w:t>
            </w:r>
          </w:p>
        </w:tc>
      </w:tr>
      <w:tr>
        <w:tc>
          <w:tcPr>
            <w:tcW w:type="dxa" w:w="1440"/>
            <w:vAlign w:val="top"/>
            <w:tcMar>
              <w:top w:w="60" w:type="dxa"/>
              <w:start w:w="60" w:type="dxa"/>
              <w:bottom w:w="60" w:type="dxa"/>
              <w:end w:w="60" w:type="dxa"/>
            </w:tcMar>
          </w:tcPr>
          <w:p>
            <w:pPr>
              <w:spacing w:after="20"/>
            </w:pPr>
            <w:r>
              <w:rPr>
                <w:sz w:val="14"/>
              </w:rPr>
              <w:t>EVT-026</w:t>
            </w:r>
          </w:p>
        </w:tc>
        <w:tc>
          <w:tcPr>
            <w:tcW w:type="dxa" w:w="9360"/>
            <w:vAlign w:val="top"/>
            <w:tcMar>
              <w:top w:w="60" w:type="dxa"/>
              <w:start w:w="60" w:type="dxa"/>
              <w:bottom w:w="60" w:type="dxa"/>
              <w:end w:w="60" w:type="dxa"/>
            </w:tcMar>
          </w:tcPr>
          <w:p>
            <w:pPr>
              <w:spacing w:after="20"/>
            </w:pPr>
            <w:r>
              <w:rPr>
                <w:sz w:val="14"/>
              </w:rPr>
              <w:t>refund.completed</w:t>
            </w:r>
          </w:p>
        </w:tc>
      </w:tr>
      <w:tr>
        <w:tc>
          <w:tcPr>
            <w:tcW w:type="dxa" w:w="1440"/>
            <w:vAlign w:val="top"/>
            <w:tcMar>
              <w:top w:w="60" w:type="dxa"/>
              <w:start w:w="60" w:type="dxa"/>
              <w:bottom w:w="60" w:type="dxa"/>
              <w:end w:w="60" w:type="dxa"/>
            </w:tcMar>
          </w:tcPr>
          <w:p>
            <w:pPr>
              <w:spacing w:after="20"/>
            </w:pPr>
            <w:r>
              <w:rPr>
                <w:sz w:val="14"/>
              </w:rPr>
              <w:t>EVT-027</w:t>
            </w:r>
          </w:p>
        </w:tc>
        <w:tc>
          <w:tcPr>
            <w:tcW w:type="dxa" w:w="9360"/>
            <w:vAlign w:val="top"/>
            <w:tcMar>
              <w:top w:w="60" w:type="dxa"/>
              <w:start w:w="60" w:type="dxa"/>
              <w:bottom w:w="60" w:type="dxa"/>
              <w:end w:w="60" w:type="dxa"/>
            </w:tcMar>
          </w:tcPr>
          <w:p>
            <w:pPr>
              <w:spacing w:after="20"/>
            </w:pPr>
            <w:r>
              <w:rPr>
                <w:sz w:val="14"/>
              </w:rPr>
              <w:t>preauth.submitted</w:t>
            </w:r>
          </w:p>
        </w:tc>
      </w:tr>
      <w:tr>
        <w:tc>
          <w:tcPr>
            <w:tcW w:type="dxa" w:w="1440"/>
            <w:vAlign w:val="top"/>
            <w:tcMar>
              <w:top w:w="60" w:type="dxa"/>
              <w:start w:w="60" w:type="dxa"/>
              <w:bottom w:w="60" w:type="dxa"/>
              <w:end w:w="60" w:type="dxa"/>
            </w:tcMar>
          </w:tcPr>
          <w:p>
            <w:pPr>
              <w:spacing w:after="20"/>
            </w:pPr>
            <w:r>
              <w:rPr>
                <w:sz w:val="14"/>
              </w:rPr>
              <w:t>EVT-028</w:t>
            </w:r>
          </w:p>
        </w:tc>
        <w:tc>
          <w:tcPr>
            <w:tcW w:type="dxa" w:w="9360"/>
            <w:vAlign w:val="top"/>
            <w:tcMar>
              <w:top w:w="60" w:type="dxa"/>
              <w:start w:w="60" w:type="dxa"/>
              <w:bottom w:w="60" w:type="dxa"/>
              <w:end w:w="60" w:type="dxa"/>
            </w:tcMar>
          </w:tcPr>
          <w:p>
            <w:pPr>
              <w:spacing w:after="20"/>
            </w:pPr>
            <w:r>
              <w:rPr>
                <w:sz w:val="14"/>
              </w:rPr>
              <w:t>preauth.approved</w:t>
            </w:r>
          </w:p>
        </w:tc>
      </w:tr>
      <w:tr>
        <w:tc>
          <w:tcPr>
            <w:tcW w:type="dxa" w:w="1440"/>
            <w:vAlign w:val="top"/>
            <w:tcMar>
              <w:top w:w="60" w:type="dxa"/>
              <w:start w:w="60" w:type="dxa"/>
              <w:bottom w:w="60" w:type="dxa"/>
              <w:end w:w="60" w:type="dxa"/>
            </w:tcMar>
          </w:tcPr>
          <w:p>
            <w:pPr>
              <w:spacing w:after="20"/>
            </w:pPr>
            <w:r>
              <w:rPr>
                <w:sz w:val="14"/>
              </w:rPr>
              <w:t>EVT-029</w:t>
            </w:r>
          </w:p>
        </w:tc>
        <w:tc>
          <w:tcPr>
            <w:tcW w:type="dxa" w:w="9360"/>
            <w:vAlign w:val="top"/>
            <w:tcMar>
              <w:top w:w="60" w:type="dxa"/>
              <w:start w:w="60" w:type="dxa"/>
              <w:bottom w:w="60" w:type="dxa"/>
              <w:end w:w="60" w:type="dxa"/>
            </w:tcMar>
          </w:tcPr>
          <w:p>
            <w:pPr>
              <w:spacing w:after="20"/>
            </w:pPr>
            <w:r>
              <w:rPr>
                <w:sz w:val="14"/>
              </w:rPr>
              <w:t>claim.submitted</w:t>
            </w:r>
          </w:p>
        </w:tc>
      </w:tr>
      <w:tr>
        <w:tc>
          <w:tcPr>
            <w:tcW w:type="dxa" w:w="1440"/>
            <w:vAlign w:val="top"/>
            <w:tcMar>
              <w:top w:w="60" w:type="dxa"/>
              <w:start w:w="60" w:type="dxa"/>
              <w:bottom w:w="60" w:type="dxa"/>
              <w:end w:w="60" w:type="dxa"/>
            </w:tcMar>
          </w:tcPr>
          <w:p>
            <w:pPr>
              <w:spacing w:after="20"/>
            </w:pPr>
            <w:r>
              <w:rPr>
                <w:sz w:val="14"/>
              </w:rPr>
              <w:t>EVT-030</w:t>
            </w:r>
          </w:p>
        </w:tc>
        <w:tc>
          <w:tcPr>
            <w:tcW w:type="dxa" w:w="9360"/>
            <w:vAlign w:val="top"/>
            <w:tcMar>
              <w:top w:w="60" w:type="dxa"/>
              <w:start w:w="60" w:type="dxa"/>
              <w:bottom w:w="60" w:type="dxa"/>
              <w:end w:w="60" w:type="dxa"/>
            </w:tcMar>
          </w:tcPr>
          <w:p>
            <w:pPr>
              <w:spacing w:after="20"/>
            </w:pPr>
            <w:r>
              <w:rPr>
                <w:sz w:val="14"/>
              </w:rPr>
              <w:t>claim.queried</w:t>
            </w:r>
          </w:p>
        </w:tc>
      </w:tr>
      <w:tr>
        <w:tc>
          <w:tcPr>
            <w:tcW w:type="dxa" w:w="1440"/>
            <w:vAlign w:val="top"/>
            <w:tcMar>
              <w:top w:w="60" w:type="dxa"/>
              <w:start w:w="60" w:type="dxa"/>
              <w:bottom w:w="60" w:type="dxa"/>
              <w:end w:w="60" w:type="dxa"/>
            </w:tcMar>
          </w:tcPr>
          <w:p>
            <w:pPr>
              <w:spacing w:after="20"/>
            </w:pPr>
            <w:r>
              <w:rPr>
                <w:sz w:val="14"/>
              </w:rPr>
              <w:t>EVT-031</w:t>
            </w:r>
          </w:p>
        </w:tc>
        <w:tc>
          <w:tcPr>
            <w:tcW w:type="dxa" w:w="9360"/>
            <w:vAlign w:val="top"/>
            <w:tcMar>
              <w:top w:w="60" w:type="dxa"/>
              <w:start w:w="60" w:type="dxa"/>
              <w:bottom w:w="60" w:type="dxa"/>
              <w:end w:w="60" w:type="dxa"/>
            </w:tcMar>
          </w:tcPr>
          <w:p>
            <w:pPr>
              <w:spacing w:after="20"/>
            </w:pPr>
            <w:r>
              <w:rPr>
                <w:sz w:val="14"/>
              </w:rPr>
              <w:t>claim.settled</w:t>
            </w:r>
          </w:p>
        </w:tc>
      </w:tr>
      <w:tr>
        <w:tc>
          <w:tcPr>
            <w:tcW w:type="dxa" w:w="1440"/>
            <w:vAlign w:val="top"/>
            <w:tcMar>
              <w:top w:w="60" w:type="dxa"/>
              <w:start w:w="60" w:type="dxa"/>
              <w:bottom w:w="60" w:type="dxa"/>
              <w:end w:w="60" w:type="dxa"/>
            </w:tcMar>
          </w:tcPr>
          <w:p>
            <w:pPr>
              <w:spacing w:after="20"/>
            </w:pPr>
            <w:r>
              <w:rPr>
                <w:sz w:val="14"/>
              </w:rPr>
              <w:t>EVT-032</w:t>
            </w:r>
          </w:p>
        </w:tc>
        <w:tc>
          <w:tcPr>
            <w:tcW w:type="dxa" w:w="9360"/>
            <w:vAlign w:val="top"/>
            <w:tcMar>
              <w:top w:w="60" w:type="dxa"/>
              <w:start w:w="60" w:type="dxa"/>
              <w:bottom w:w="60" w:type="dxa"/>
              <w:end w:w="60" w:type="dxa"/>
            </w:tcMar>
          </w:tcPr>
          <w:p>
            <w:pPr>
              <w:spacing w:after="20"/>
            </w:pPr>
            <w:r>
              <w:rPr>
                <w:sz w:val="14"/>
              </w:rPr>
              <w:t>pharma.order.ingested</w:t>
            </w:r>
          </w:p>
        </w:tc>
      </w:tr>
      <w:tr>
        <w:tc>
          <w:tcPr>
            <w:tcW w:type="dxa" w:w="1440"/>
            <w:vAlign w:val="top"/>
            <w:tcMar>
              <w:top w:w="60" w:type="dxa"/>
              <w:start w:w="60" w:type="dxa"/>
              <w:bottom w:w="60" w:type="dxa"/>
              <w:end w:w="60" w:type="dxa"/>
            </w:tcMar>
          </w:tcPr>
          <w:p>
            <w:pPr>
              <w:spacing w:after="20"/>
            </w:pPr>
            <w:r>
              <w:rPr>
                <w:sz w:val="14"/>
              </w:rPr>
              <w:t>EVT-033</w:t>
            </w:r>
          </w:p>
        </w:tc>
        <w:tc>
          <w:tcPr>
            <w:tcW w:type="dxa" w:w="9360"/>
            <w:vAlign w:val="top"/>
            <w:tcMar>
              <w:top w:w="60" w:type="dxa"/>
              <w:start w:w="60" w:type="dxa"/>
              <w:bottom w:w="60" w:type="dxa"/>
              <w:end w:w="60" w:type="dxa"/>
            </w:tcMar>
          </w:tcPr>
          <w:p>
            <w:pPr>
              <w:spacing w:after="20"/>
            </w:pPr>
            <w:r>
              <w:rPr>
                <w:sz w:val="14"/>
              </w:rPr>
              <w:t>pharma.order.exception_created</w:t>
            </w:r>
          </w:p>
        </w:tc>
      </w:tr>
      <w:tr>
        <w:tc>
          <w:tcPr>
            <w:tcW w:type="dxa" w:w="1440"/>
            <w:vAlign w:val="top"/>
            <w:tcMar>
              <w:top w:w="60" w:type="dxa"/>
              <w:start w:w="60" w:type="dxa"/>
              <w:bottom w:w="60" w:type="dxa"/>
              <w:end w:w="60" w:type="dxa"/>
            </w:tcMar>
          </w:tcPr>
          <w:p>
            <w:pPr>
              <w:spacing w:after="20"/>
            </w:pPr>
            <w:r>
              <w:rPr>
                <w:sz w:val="14"/>
              </w:rPr>
              <w:t>EVT-034</w:t>
            </w:r>
          </w:p>
        </w:tc>
        <w:tc>
          <w:tcPr>
            <w:tcW w:type="dxa" w:w="9360"/>
            <w:vAlign w:val="top"/>
            <w:tcMar>
              <w:top w:w="60" w:type="dxa"/>
              <w:start w:w="60" w:type="dxa"/>
              <w:bottom w:w="60" w:type="dxa"/>
              <w:end w:w="60" w:type="dxa"/>
            </w:tcMar>
          </w:tcPr>
          <w:p>
            <w:pPr>
              <w:spacing w:after="20"/>
            </w:pPr>
            <w:r>
              <w:rPr>
                <w:sz w:val="14"/>
              </w:rPr>
              <w:t>sales_order.confirmed</w:t>
            </w:r>
          </w:p>
        </w:tc>
      </w:tr>
      <w:tr>
        <w:tc>
          <w:tcPr>
            <w:tcW w:type="dxa" w:w="1440"/>
            <w:vAlign w:val="top"/>
            <w:tcMar>
              <w:top w:w="60" w:type="dxa"/>
              <w:start w:w="60" w:type="dxa"/>
              <w:bottom w:w="60" w:type="dxa"/>
              <w:end w:w="60" w:type="dxa"/>
            </w:tcMar>
          </w:tcPr>
          <w:p>
            <w:pPr>
              <w:spacing w:after="20"/>
            </w:pPr>
            <w:r>
              <w:rPr>
                <w:sz w:val="14"/>
              </w:rPr>
              <w:t>EVT-035</w:t>
            </w:r>
          </w:p>
        </w:tc>
        <w:tc>
          <w:tcPr>
            <w:tcW w:type="dxa" w:w="9360"/>
            <w:vAlign w:val="top"/>
            <w:tcMar>
              <w:top w:w="60" w:type="dxa"/>
              <w:start w:w="60" w:type="dxa"/>
              <w:bottom w:w="60" w:type="dxa"/>
              <w:end w:w="60" w:type="dxa"/>
            </w:tcMar>
          </w:tcPr>
          <w:p>
            <w:pPr>
              <w:spacing w:after="20"/>
            </w:pPr>
            <w:r>
              <w:rPr>
                <w:sz w:val="14"/>
              </w:rPr>
              <w:t>inventory.reserved</w:t>
            </w:r>
          </w:p>
        </w:tc>
      </w:tr>
      <w:tr>
        <w:tc>
          <w:tcPr>
            <w:tcW w:type="dxa" w:w="1440"/>
            <w:vAlign w:val="top"/>
            <w:tcMar>
              <w:top w:w="60" w:type="dxa"/>
              <w:start w:w="60" w:type="dxa"/>
              <w:bottom w:w="60" w:type="dxa"/>
              <w:end w:w="60" w:type="dxa"/>
            </w:tcMar>
          </w:tcPr>
          <w:p>
            <w:pPr>
              <w:spacing w:after="20"/>
            </w:pPr>
            <w:r>
              <w:rPr>
                <w:sz w:val="14"/>
              </w:rPr>
              <w:t>EVT-036</w:t>
            </w:r>
          </w:p>
        </w:tc>
        <w:tc>
          <w:tcPr>
            <w:tcW w:type="dxa" w:w="9360"/>
            <w:vAlign w:val="top"/>
            <w:tcMar>
              <w:top w:w="60" w:type="dxa"/>
              <w:start w:w="60" w:type="dxa"/>
              <w:bottom w:w="60" w:type="dxa"/>
              <w:end w:w="60" w:type="dxa"/>
            </w:tcMar>
          </w:tcPr>
          <w:p>
            <w:pPr>
              <w:spacing w:after="20"/>
            </w:pPr>
            <w:r>
              <w:rPr>
                <w:sz w:val="14"/>
              </w:rPr>
              <w:t>inventory.expiry_risk_detected</w:t>
            </w:r>
          </w:p>
        </w:tc>
      </w:tr>
      <w:tr>
        <w:tc>
          <w:tcPr>
            <w:tcW w:type="dxa" w:w="1440"/>
            <w:vAlign w:val="top"/>
            <w:tcMar>
              <w:top w:w="60" w:type="dxa"/>
              <w:start w:w="60" w:type="dxa"/>
              <w:bottom w:w="60" w:type="dxa"/>
              <w:end w:w="60" w:type="dxa"/>
            </w:tcMar>
          </w:tcPr>
          <w:p>
            <w:pPr>
              <w:spacing w:after="20"/>
            </w:pPr>
            <w:r>
              <w:rPr>
                <w:sz w:val="14"/>
              </w:rPr>
              <w:t>EVT-037</w:t>
            </w:r>
          </w:p>
        </w:tc>
        <w:tc>
          <w:tcPr>
            <w:tcW w:type="dxa" w:w="9360"/>
            <w:vAlign w:val="top"/>
            <w:tcMar>
              <w:top w:w="60" w:type="dxa"/>
              <w:start w:w="60" w:type="dxa"/>
              <w:bottom w:w="60" w:type="dxa"/>
              <w:end w:w="60" w:type="dxa"/>
            </w:tcMar>
          </w:tcPr>
          <w:p>
            <w:pPr>
              <w:spacing w:after="20"/>
            </w:pPr>
            <w:r>
              <w:rPr>
                <w:sz w:val="14"/>
              </w:rPr>
              <w:t>shipment.dispatched</w:t>
            </w:r>
          </w:p>
        </w:tc>
      </w:tr>
      <w:tr>
        <w:tc>
          <w:tcPr>
            <w:tcW w:type="dxa" w:w="1440"/>
            <w:vAlign w:val="top"/>
            <w:tcMar>
              <w:top w:w="60" w:type="dxa"/>
              <w:start w:w="60" w:type="dxa"/>
              <w:bottom w:w="60" w:type="dxa"/>
              <w:end w:w="60" w:type="dxa"/>
            </w:tcMar>
          </w:tcPr>
          <w:p>
            <w:pPr>
              <w:spacing w:after="20"/>
            </w:pPr>
            <w:r>
              <w:rPr>
                <w:sz w:val="14"/>
              </w:rPr>
              <w:t>EVT-038</w:t>
            </w:r>
          </w:p>
        </w:tc>
        <w:tc>
          <w:tcPr>
            <w:tcW w:type="dxa" w:w="9360"/>
            <w:vAlign w:val="top"/>
            <w:tcMar>
              <w:top w:w="60" w:type="dxa"/>
              <w:start w:w="60" w:type="dxa"/>
              <w:bottom w:w="60" w:type="dxa"/>
              <w:end w:w="60" w:type="dxa"/>
            </w:tcMar>
          </w:tcPr>
          <w:p>
            <w:pPr>
              <w:spacing w:after="20"/>
            </w:pPr>
            <w:r>
              <w:rPr>
                <w:sz w:val="14"/>
              </w:rPr>
              <w:t>shipment.delivered</w:t>
            </w:r>
          </w:p>
        </w:tc>
      </w:tr>
      <w:tr>
        <w:tc>
          <w:tcPr>
            <w:tcW w:type="dxa" w:w="1440"/>
            <w:vAlign w:val="top"/>
            <w:tcMar>
              <w:top w:w="60" w:type="dxa"/>
              <w:start w:w="60" w:type="dxa"/>
              <w:bottom w:w="60" w:type="dxa"/>
              <w:end w:w="60" w:type="dxa"/>
            </w:tcMar>
          </w:tcPr>
          <w:p>
            <w:pPr>
              <w:spacing w:after="20"/>
            </w:pPr>
            <w:r>
              <w:rPr>
                <w:sz w:val="14"/>
              </w:rPr>
              <w:t>EVT-039</w:t>
            </w:r>
          </w:p>
        </w:tc>
        <w:tc>
          <w:tcPr>
            <w:tcW w:type="dxa" w:w="9360"/>
            <w:vAlign w:val="top"/>
            <w:tcMar>
              <w:top w:w="60" w:type="dxa"/>
              <w:start w:w="60" w:type="dxa"/>
              <w:bottom w:w="60" w:type="dxa"/>
              <w:end w:w="60" w:type="dxa"/>
            </w:tcMar>
          </w:tcPr>
          <w:p>
            <w:pPr>
              <w:spacing w:after="20"/>
            </w:pPr>
            <w:r>
              <w:rPr>
                <w:sz w:val="14"/>
              </w:rPr>
              <w:t>employee.joined</w:t>
            </w:r>
          </w:p>
        </w:tc>
      </w:tr>
      <w:tr>
        <w:tc>
          <w:tcPr>
            <w:tcW w:type="dxa" w:w="1440"/>
            <w:vAlign w:val="top"/>
            <w:tcMar>
              <w:top w:w="60" w:type="dxa"/>
              <w:start w:w="60" w:type="dxa"/>
              <w:bottom w:w="60" w:type="dxa"/>
              <w:end w:w="60" w:type="dxa"/>
            </w:tcMar>
          </w:tcPr>
          <w:p>
            <w:pPr>
              <w:spacing w:after="20"/>
            </w:pPr>
            <w:r>
              <w:rPr>
                <w:sz w:val="14"/>
              </w:rPr>
              <w:t>EVT-040</w:t>
            </w:r>
          </w:p>
        </w:tc>
        <w:tc>
          <w:tcPr>
            <w:tcW w:type="dxa" w:w="9360"/>
            <w:vAlign w:val="top"/>
            <w:tcMar>
              <w:top w:w="60" w:type="dxa"/>
              <w:start w:w="60" w:type="dxa"/>
              <w:bottom w:w="60" w:type="dxa"/>
              <w:end w:w="60" w:type="dxa"/>
            </w:tcMar>
          </w:tcPr>
          <w:p>
            <w:pPr>
              <w:spacing w:after="20"/>
            </w:pPr>
            <w:r>
              <w:rPr>
                <w:sz w:val="14"/>
              </w:rPr>
              <w:t>attendance.finalized</w:t>
            </w:r>
          </w:p>
        </w:tc>
      </w:tr>
      <w:tr>
        <w:tc>
          <w:tcPr>
            <w:tcW w:type="dxa" w:w="1440"/>
            <w:vAlign w:val="top"/>
            <w:tcMar>
              <w:top w:w="60" w:type="dxa"/>
              <w:start w:w="60" w:type="dxa"/>
              <w:bottom w:w="60" w:type="dxa"/>
              <w:end w:w="60" w:type="dxa"/>
            </w:tcMar>
          </w:tcPr>
          <w:p>
            <w:pPr>
              <w:spacing w:after="20"/>
            </w:pPr>
            <w:r>
              <w:rPr>
                <w:sz w:val="14"/>
              </w:rPr>
              <w:t>EVT-041</w:t>
            </w:r>
          </w:p>
        </w:tc>
        <w:tc>
          <w:tcPr>
            <w:tcW w:type="dxa" w:w="9360"/>
            <w:vAlign w:val="top"/>
            <w:tcMar>
              <w:top w:w="60" w:type="dxa"/>
              <w:start w:w="60" w:type="dxa"/>
              <w:bottom w:w="60" w:type="dxa"/>
              <w:end w:w="60" w:type="dxa"/>
            </w:tcMar>
          </w:tcPr>
          <w:p>
            <w:pPr>
              <w:spacing w:after="20"/>
            </w:pPr>
            <w:r>
              <w:rPr>
                <w:sz w:val="14"/>
              </w:rPr>
              <w:t>payroll.finalized</w:t>
            </w:r>
          </w:p>
        </w:tc>
      </w:tr>
      <w:tr>
        <w:tc>
          <w:tcPr>
            <w:tcW w:type="dxa" w:w="1440"/>
            <w:vAlign w:val="top"/>
            <w:tcMar>
              <w:top w:w="60" w:type="dxa"/>
              <w:start w:w="60" w:type="dxa"/>
              <w:bottom w:w="60" w:type="dxa"/>
              <w:end w:w="60" w:type="dxa"/>
            </w:tcMar>
          </w:tcPr>
          <w:p>
            <w:pPr>
              <w:spacing w:after="20"/>
            </w:pPr>
            <w:r>
              <w:rPr>
                <w:sz w:val="14"/>
              </w:rPr>
              <w:t>EVT-042</w:t>
            </w:r>
          </w:p>
        </w:tc>
        <w:tc>
          <w:tcPr>
            <w:tcW w:type="dxa" w:w="9360"/>
            <w:vAlign w:val="top"/>
            <w:tcMar>
              <w:top w:w="60" w:type="dxa"/>
              <w:start w:w="60" w:type="dxa"/>
              <w:bottom w:w="60" w:type="dxa"/>
              <w:end w:w="60" w:type="dxa"/>
            </w:tcMar>
          </w:tcPr>
          <w:p>
            <w:pPr>
              <w:spacing w:after="20"/>
            </w:pPr>
            <w:r>
              <w:rPr>
                <w:sz w:val="14"/>
              </w:rPr>
              <w:t>credential.expiring</w:t>
            </w:r>
          </w:p>
        </w:tc>
      </w:tr>
      <w:tr>
        <w:tc>
          <w:tcPr>
            <w:tcW w:type="dxa" w:w="1440"/>
            <w:vAlign w:val="top"/>
            <w:tcMar>
              <w:top w:w="60" w:type="dxa"/>
              <w:start w:w="60" w:type="dxa"/>
              <w:bottom w:w="60" w:type="dxa"/>
              <w:end w:w="60" w:type="dxa"/>
            </w:tcMar>
          </w:tcPr>
          <w:p>
            <w:pPr>
              <w:spacing w:after="20"/>
            </w:pPr>
            <w:r>
              <w:rPr>
                <w:sz w:val="14"/>
              </w:rPr>
              <w:t>EVT-043</w:t>
            </w:r>
          </w:p>
        </w:tc>
        <w:tc>
          <w:tcPr>
            <w:tcW w:type="dxa" w:w="9360"/>
            <w:vAlign w:val="top"/>
            <w:tcMar>
              <w:top w:w="60" w:type="dxa"/>
              <w:start w:w="60" w:type="dxa"/>
              <w:bottom w:w="60" w:type="dxa"/>
              <w:end w:w="60" w:type="dxa"/>
            </w:tcMar>
          </w:tcPr>
          <w:p>
            <w:pPr>
              <w:spacing w:after="20"/>
            </w:pPr>
            <w:r>
              <w:rPr>
                <w:sz w:val="14"/>
              </w:rPr>
              <w:t>scada.alarm.raised</w:t>
            </w:r>
          </w:p>
        </w:tc>
      </w:tr>
      <w:tr>
        <w:tc>
          <w:tcPr>
            <w:tcW w:type="dxa" w:w="1440"/>
            <w:vAlign w:val="top"/>
            <w:tcMar>
              <w:top w:w="60" w:type="dxa"/>
              <w:start w:w="60" w:type="dxa"/>
              <w:bottom w:w="60" w:type="dxa"/>
              <w:end w:w="60" w:type="dxa"/>
            </w:tcMar>
          </w:tcPr>
          <w:p>
            <w:pPr>
              <w:spacing w:after="20"/>
            </w:pPr>
            <w:r>
              <w:rPr>
                <w:sz w:val="14"/>
              </w:rPr>
              <w:t>EVT-044</w:t>
            </w:r>
          </w:p>
        </w:tc>
        <w:tc>
          <w:tcPr>
            <w:tcW w:type="dxa" w:w="9360"/>
            <w:vAlign w:val="top"/>
            <w:tcMar>
              <w:top w:w="60" w:type="dxa"/>
              <w:start w:w="60" w:type="dxa"/>
              <w:bottom w:w="60" w:type="dxa"/>
              <w:end w:w="60" w:type="dxa"/>
            </w:tcMar>
          </w:tcPr>
          <w:p>
            <w:pPr>
              <w:spacing w:after="20"/>
            </w:pPr>
            <w:r>
              <w:rPr>
                <w:sz w:val="14"/>
              </w:rPr>
              <w:t>scada.alarm.acknowledged</w:t>
            </w:r>
          </w:p>
        </w:tc>
      </w:tr>
      <w:tr>
        <w:tc>
          <w:tcPr>
            <w:tcW w:type="dxa" w:w="1440"/>
            <w:vAlign w:val="top"/>
            <w:tcMar>
              <w:top w:w="60" w:type="dxa"/>
              <w:start w:w="60" w:type="dxa"/>
              <w:bottom w:w="60" w:type="dxa"/>
              <w:end w:w="60" w:type="dxa"/>
            </w:tcMar>
          </w:tcPr>
          <w:p>
            <w:pPr>
              <w:spacing w:after="20"/>
            </w:pPr>
            <w:r>
              <w:rPr>
                <w:sz w:val="14"/>
              </w:rPr>
              <w:t>EVT-045</w:t>
            </w:r>
          </w:p>
        </w:tc>
        <w:tc>
          <w:tcPr>
            <w:tcW w:type="dxa" w:w="9360"/>
            <w:vAlign w:val="top"/>
            <w:tcMar>
              <w:top w:w="60" w:type="dxa"/>
              <w:start w:w="60" w:type="dxa"/>
              <w:bottom w:w="60" w:type="dxa"/>
              <w:end w:w="60" w:type="dxa"/>
            </w:tcMar>
          </w:tcPr>
          <w:p>
            <w:pPr>
              <w:spacing w:after="20"/>
            </w:pPr>
            <w:r>
              <w:rPr>
                <w:sz w:val="14"/>
              </w:rPr>
              <w:t>equipment.breakdown_reported</w:t>
            </w:r>
          </w:p>
        </w:tc>
      </w:tr>
      <w:tr>
        <w:tc>
          <w:tcPr>
            <w:tcW w:type="dxa" w:w="1440"/>
            <w:vAlign w:val="top"/>
            <w:tcMar>
              <w:top w:w="60" w:type="dxa"/>
              <w:start w:w="60" w:type="dxa"/>
              <w:bottom w:w="60" w:type="dxa"/>
              <w:end w:w="60" w:type="dxa"/>
            </w:tcMar>
          </w:tcPr>
          <w:p>
            <w:pPr>
              <w:spacing w:after="20"/>
            </w:pPr>
            <w:r>
              <w:rPr>
                <w:sz w:val="14"/>
              </w:rPr>
              <w:t>EVT-046</w:t>
            </w:r>
          </w:p>
        </w:tc>
        <w:tc>
          <w:tcPr>
            <w:tcW w:type="dxa" w:w="9360"/>
            <w:vAlign w:val="top"/>
            <w:tcMar>
              <w:top w:w="60" w:type="dxa"/>
              <w:start w:w="60" w:type="dxa"/>
              <w:bottom w:w="60" w:type="dxa"/>
              <w:end w:w="60" w:type="dxa"/>
            </w:tcMar>
          </w:tcPr>
          <w:p>
            <w:pPr>
              <w:spacing w:after="20"/>
            </w:pPr>
            <w:r>
              <w:rPr>
                <w:sz w:val="14"/>
              </w:rPr>
              <w:t>consent.granted</w:t>
            </w:r>
          </w:p>
        </w:tc>
      </w:tr>
      <w:tr>
        <w:tc>
          <w:tcPr>
            <w:tcW w:type="dxa" w:w="1440"/>
            <w:vAlign w:val="top"/>
            <w:tcMar>
              <w:top w:w="60" w:type="dxa"/>
              <w:start w:w="60" w:type="dxa"/>
              <w:bottom w:w="60" w:type="dxa"/>
              <w:end w:w="60" w:type="dxa"/>
            </w:tcMar>
          </w:tcPr>
          <w:p>
            <w:pPr>
              <w:spacing w:after="20"/>
            </w:pPr>
            <w:r>
              <w:rPr>
                <w:sz w:val="14"/>
              </w:rPr>
              <w:t>EVT-047</w:t>
            </w:r>
          </w:p>
        </w:tc>
        <w:tc>
          <w:tcPr>
            <w:tcW w:type="dxa" w:w="9360"/>
            <w:vAlign w:val="top"/>
            <w:tcMar>
              <w:top w:w="60" w:type="dxa"/>
              <w:start w:w="60" w:type="dxa"/>
              <w:bottom w:w="60" w:type="dxa"/>
              <w:end w:w="60" w:type="dxa"/>
            </w:tcMar>
          </w:tcPr>
          <w:p>
            <w:pPr>
              <w:spacing w:after="20"/>
            </w:pPr>
            <w:r>
              <w:rPr>
                <w:sz w:val="14"/>
              </w:rPr>
              <w:t>consent.withdrawn</w:t>
            </w:r>
          </w:p>
        </w:tc>
      </w:tr>
      <w:tr>
        <w:tc>
          <w:tcPr>
            <w:tcW w:type="dxa" w:w="1440"/>
            <w:vAlign w:val="top"/>
            <w:tcMar>
              <w:top w:w="60" w:type="dxa"/>
              <w:start w:w="60" w:type="dxa"/>
              <w:bottom w:w="60" w:type="dxa"/>
              <w:end w:w="60" w:type="dxa"/>
            </w:tcMar>
          </w:tcPr>
          <w:p>
            <w:pPr>
              <w:spacing w:after="20"/>
            </w:pPr>
            <w:r>
              <w:rPr>
                <w:sz w:val="14"/>
              </w:rPr>
              <w:t>EVT-048</w:t>
            </w:r>
          </w:p>
        </w:tc>
        <w:tc>
          <w:tcPr>
            <w:tcW w:type="dxa" w:w="9360"/>
            <w:vAlign w:val="top"/>
            <w:tcMar>
              <w:top w:w="60" w:type="dxa"/>
              <w:start w:w="60" w:type="dxa"/>
              <w:bottom w:w="60" w:type="dxa"/>
              <w:end w:w="60" w:type="dxa"/>
            </w:tcMar>
          </w:tcPr>
          <w:p>
            <w:pPr>
              <w:spacing w:after="20"/>
            </w:pPr>
            <w:r>
              <w:rPr>
                <w:sz w:val="14"/>
              </w:rPr>
              <w:t>privacy.request.created</w:t>
            </w:r>
          </w:p>
        </w:tc>
      </w:tr>
      <w:tr>
        <w:tc>
          <w:tcPr>
            <w:tcW w:type="dxa" w:w="1440"/>
            <w:vAlign w:val="top"/>
            <w:tcMar>
              <w:top w:w="60" w:type="dxa"/>
              <w:start w:w="60" w:type="dxa"/>
              <w:bottom w:w="60" w:type="dxa"/>
              <w:end w:w="60" w:type="dxa"/>
            </w:tcMar>
          </w:tcPr>
          <w:p>
            <w:pPr>
              <w:spacing w:after="20"/>
            </w:pPr>
            <w:r>
              <w:rPr>
                <w:sz w:val="14"/>
              </w:rPr>
              <w:t>EVT-049</w:t>
            </w:r>
          </w:p>
        </w:tc>
        <w:tc>
          <w:tcPr>
            <w:tcW w:type="dxa" w:w="9360"/>
            <w:vAlign w:val="top"/>
            <w:tcMar>
              <w:top w:w="60" w:type="dxa"/>
              <w:start w:w="60" w:type="dxa"/>
              <w:bottom w:w="60" w:type="dxa"/>
              <w:end w:w="60" w:type="dxa"/>
            </w:tcMar>
          </w:tcPr>
          <w:p>
            <w:pPr>
              <w:spacing w:after="20"/>
            </w:pPr>
            <w:r>
              <w:rPr>
                <w:sz w:val="14"/>
              </w:rPr>
              <w:t>ai.inference.completed</w:t>
            </w:r>
          </w:p>
        </w:tc>
      </w:tr>
      <w:tr>
        <w:tc>
          <w:tcPr>
            <w:tcW w:type="dxa" w:w="1440"/>
            <w:vAlign w:val="top"/>
            <w:tcMar>
              <w:top w:w="60" w:type="dxa"/>
              <w:start w:w="60" w:type="dxa"/>
              <w:bottom w:w="60" w:type="dxa"/>
              <w:end w:w="60" w:type="dxa"/>
            </w:tcMar>
          </w:tcPr>
          <w:p>
            <w:pPr>
              <w:spacing w:after="20"/>
            </w:pPr>
            <w:r>
              <w:rPr>
                <w:sz w:val="14"/>
              </w:rPr>
              <w:t>EVT-050</w:t>
            </w:r>
          </w:p>
        </w:tc>
        <w:tc>
          <w:tcPr>
            <w:tcW w:type="dxa" w:w="9360"/>
            <w:vAlign w:val="top"/>
            <w:tcMar>
              <w:top w:w="60" w:type="dxa"/>
              <w:start w:w="60" w:type="dxa"/>
              <w:bottom w:w="60" w:type="dxa"/>
              <w:end w:w="60" w:type="dxa"/>
            </w:tcMar>
          </w:tcPr>
          <w:p>
            <w:pPr>
              <w:spacing w:after="20"/>
            </w:pPr>
            <w:r>
              <w:rPr>
                <w:sz w:val="14"/>
              </w:rPr>
              <w:t>ai.human_review_completed</w:t>
            </w:r>
          </w:p>
        </w:tc>
      </w:tr>
    </w:tbl>
    <w:p>
      <w:pPr>
        <w:spacing w:after="20"/>
      </w:pPr>
    </w:p>
    <w:p>
      <w:pPr>
        <w:pStyle w:val="Heading1"/>
      </w:pPr>
      <w:r>
        <w:t>25. Reference End-to-End Patient Journey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D9EAF7"/>
            <w:vAlign w:val="center"/>
            <w:tcMar>
              <w:top w:w="60" w:type="dxa"/>
              <w:start w:w="60" w:type="dxa"/>
              <w:bottom w:w="60" w:type="dxa"/>
              <w:end w:w="60" w:type="dxa"/>
            </w:tcMar>
          </w:tcPr>
          <w:p>
            <w:r>
              <w:rPr>
                <w:b/>
                <w:sz w:val="14"/>
              </w:rPr>
              <w:t>Stage</w:t>
            </w:r>
          </w:p>
        </w:tc>
        <w:tc>
          <w:tcPr>
            <w:tcW w:type="dxa" w:w="8856"/>
            <w:shd w:fill="D9EAF7"/>
            <w:vAlign w:val="center"/>
            <w:tcMar>
              <w:top w:w="60" w:type="dxa"/>
              <w:start w:w="60" w:type="dxa"/>
              <w:bottom w:w="60" w:type="dxa"/>
              <w:end w:w="60" w:type="dxa"/>
            </w:tcMar>
          </w:tcPr>
          <w:p>
            <w:r>
              <w:rPr>
                <w:b/>
                <w:sz w:val="14"/>
              </w:rPr>
              <w:t>Integrated behavior</w:t>
            </w:r>
          </w:p>
        </w:tc>
      </w:tr>
      <w:tr>
        <w:tc>
          <w:tcPr>
            <w:tcW w:type="dxa" w:w="1944"/>
            <w:vAlign w:val="top"/>
            <w:tcMar>
              <w:top w:w="60" w:type="dxa"/>
              <w:start w:w="60" w:type="dxa"/>
              <w:bottom w:w="60" w:type="dxa"/>
              <w:end w:w="60" w:type="dxa"/>
            </w:tcMar>
          </w:tcPr>
          <w:p>
            <w:pPr>
              <w:spacing w:after="20"/>
            </w:pPr>
            <w:r>
              <w:rPr>
                <w:sz w:val="14"/>
              </w:rPr>
              <w:t>1. Pre-arrival</w:t>
            </w:r>
          </w:p>
        </w:tc>
        <w:tc>
          <w:tcPr>
            <w:tcW w:type="dxa" w:w="8856"/>
            <w:vAlign w:val="top"/>
            <w:tcMar>
              <w:top w:w="60" w:type="dxa"/>
              <w:start w:w="60" w:type="dxa"/>
              <w:bottom w:w="60" w:type="dxa"/>
              <w:end w:w="60" w:type="dxa"/>
            </w:tcMar>
          </w:tcPr>
          <w:p>
            <w:pPr>
              <w:spacing w:after="20"/>
            </w:pPr>
            <w:r>
              <w:rPr>
                <w:sz w:val="14"/>
              </w:rPr>
              <w:t>Patient searches doctor/specialty in app/web, books slot, provides identity/insurance, completes pre-visit forms and receives instructions.</w:t>
            </w:r>
          </w:p>
        </w:tc>
      </w:tr>
      <w:tr>
        <w:tc>
          <w:tcPr>
            <w:tcW w:type="dxa" w:w="1944"/>
            <w:vAlign w:val="top"/>
            <w:tcMar>
              <w:top w:w="60" w:type="dxa"/>
              <w:start w:w="60" w:type="dxa"/>
              <w:bottom w:w="60" w:type="dxa"/>
              <w:end w:w="60" w:type="dxa"/>
            </w:tcMar>
          </w:tcPr>
          <w:p>
            <w:pPr>
              <w:spacing w:after="20"/>
            </w:pPr>
            <w:r>
              <w:rPr>
                <w:sz w:val="14"/>
              </w:rPr>
              <w:t>2. Arrival</w:t>
            </w:r>
          </w:p>
        </w:tc>
        <w:tc>
          <w:tcPr>
            <w:tcW w:type="dxa" w:w="8856"/>
            <w:vAlign w:val="top"/>
            <w:tcMar>
              <w:top w:w="60" w:type="dxa"/>
              <w:start w:w="60" w:type="dxa"/>
              <w:bottom w:w="60" w:type="dxa"/>
              <w:end w:w="60" w:type="dxa"/>
            </w:tcMar>
          </w:tcPr>
          <w:p>
            <w:pPr>
              <w:spacing w:after="20"/>
            </w:pPr>
            <w:r>
              <w:rPr>
                <w:sz w:val="14"/>
              </w:rPr>
              <w:t>QR/kiosk/front desk check-in; token and queue status updated; location/navigation guidance displayed.</w:t>
            </w:r>
          </w:p>
        </w:tc>
      </w:tr>
      <w:tr>
        <w:tc>
          <w:tcPr>
            <w:tcW w:type="dxa" w:w="1944"/>
            <w:vAlign w:val="top"/>
            <w:tcMar>
              <w:top w:w="60" w:type="dxa"/>
              <w:start w:w="60" w:type="dxa"/>
              <w:bottom w:w="60" w:type="dxa"/>
              <w:end w:w="60" w:type="dxa"/>
            </w:tcMar>
          </w:tcPr>
          <w:p>
            <w:pPr>
              <w:spacing w:after="20"/>
            </w:pPr>
            <w:r>
              <w:rPr>
                <w:sz w:val="14"/>
              </w:rPr>
              <w:t>3. Clinical encounter</w:t>
            </w:r>
          </w:p>
        </w:tc>
        <w:tc>
          <w:tcPr>
            <w:tcW w:type="dxa" w:w="8856"/>
            <w:vAlign w:val="top"/>
            <w:tcMar>
              <w:top w:w="60" w:type="dxa"/>
              <w:start w:w="60" w:type="dxa"/>
              <w:bottom w:w="60" w:type="dxa"/>
              <w:end w:w="60" w:type="dxa"/>
            </w:tcMar>
          </w:tcPr>
          <w:p>
            <w:pPr>
              <w:spacing w:after="20"/>
            </w:pPr>
            <w:r>
              <w:rPr>
                <w:sz w:val="14"/>
              </w:rPr>
              <w:t>Clinician opens longitudinal record and specialty pack; documents assessment; places lab/imaging/pharmacy/procedure orders.</w:t>
            </w:r>
          </w:p>
        </w:tc>
      </w:tr>
      <w:tr>
        <w:tc>
          <w:tcPr>
            <w:tcW w:type="dxa" w:w="1944"/>
            <w:vAlign w:val="top"/>
            <w:tcMar>
              <w:top w:w="60" w:type="dxa"/>
              <w:start w:w="60" w:type="dxa"/>
              <w:bottom w:w="60" w:type="dxa"/>
              <w:end w:w="60" w:type="dxa"/>
            </w:tcMar>
          </w:tcPr>
          <w:p>
            <w:pPr>
              <w:spacing w:after="20"/>
            </w:pPr>
            <w:r>
              <w:rPr>
                <w:sz w:val="14"/>
              </w:rPr>
              <w:t>4. Diagnostics</w:t>
            </w:r>
          </w:p>
        </w:tc>
        <w:tc>
          <w:tcPr>
            <w:tcW w:type="dxa" w:w="8856"/>
            <w:vAlign w:val="top"/>
            <w:tcMar>
              <w:top w:w="60" w:type="dxa"/>
              <w:start w:w="60" w:type="dxa"/>
              <w:bottom w:w="60" w:type="dxa"/>
              <w:end w:w="60" w:type="dxa"/>
            </w:tcMar>
          </w:tcPr>
          <w:p>
            <w:pPr>
              <w:spacing w:after="20"/>
            </w:pPr>
            <w:r>
              <w:rPr>
                <w:sz w:val="14"/>
              </w:rPr>
              <w:t>Patient chooses in-hospital collection or eligible home/nearby service; specimen/study is tracked; finalized result becomes available to care team and patient subject to release policy.</w:t>
            </w:r>
          </w:p>
        </w:tc>
      </w:tr>
      <w:tr>
        <w:tc>
          <w:tcPr>
            <w:tcW w:type="dxa" w:w="1944"/>
            <w:vAlign w:val="top"/>
            <w:tcMar>
              <w:top w:w="60" w:type="dxa"/>
              <w:start w:w="60" w:type="dxa"/>
              <w:bottom w:w="60" w:type="dxa"/>
              <w:end w:w="60" w:type="dxa"/>
            </w:tcMar>
          </w:tcPr>
          <w:p>
            <w:pPr>
              <w:spacing w:after="20"/>
            </w:pPr>
            <w:r>
              <w:rPr>
                <w:sz w:val="14"/>
              </w:rPr>
              <w:t>5. Pharmacy</w:t>
            </w:r>
          </w:p>
        </w:tc>
        <w:tc>
          <w:tcPr>
            <w:tcW w:type="dxa" w:w="8856"/>
            <w:vAlign w:val="top"/>
            <w:tcMar>
              <w:top w:w="60" w:type="dxa"/>
              <w:start w:w="60" w:type="dxa"/>
              <w:bottom w:w="60" w:type="dxa"/>
              <w:end w:w="60" w:type="dxa"/>
            </w:tcMar>
          </w:tcPr>
          <w:p>
            <w:pPr>
              <w:spacing w:after="20"/>
            </w:pPr>
            <w:r>
              <w:rPr>
                <w:sz w:val="14"/>
              </w:rPr>
              <w:t>Prescription enters pharmacist work queue; inventory/price/options calculated; patient chooses pickup/delivery; fulfilment and delivery status flow back to app.</w:t>
            </w:r>
          </w:p>
        </w:tc>
      </w:tr>
      <w:tr>
        <w:tc>
          <w:tcPr>
            <w:tcW w:type="dxa" w:w="1944"/>
            <w:vAlign w:val="top"/>
            <w:tcMar>
              <w:top w:w="60" w:type="dxa"/>
              <w:start w:w="60" w:type="dxa"/>
              <w:bottom w:w="60" w:type="dxa"/>
              <w:end w:w="60" w:type="dxa"/>
            </w:tcMar>
          </w:tcPr>
          <w:p>
            <w:pPr>
              <w:spacing w:after="20"/>
            </w:pPr>
            <w:r>
              <w:rPr>
                <w:sz w:val="14"/>
              </w:rPr>
              <w:t>6. Admission/procedure</w:t>
            </w:r>
          </w:p>
        </w:tc>
        <w:tc>
          <w:tcPr>
            <w:tcW w:type="dxa" w:w="8856"/>
            <w:vAlign w:val="top"/>
            <w:tcMar>
              <w:top w:w="60" w:type="dxa"/>
              <w:start w:w="60" w:type="dxa"/>
              <w:bottom w:w="60" w:type="dxa"/>
              <w:end w:w="60" w:type="dxa"/>
            </w:tcMar>
          </w:tcPr>
          <w:p>
            <w:pPr>
              <w:spacing w:after="20"/>
            </w:pPr>
            <w:r>
              <w:rPr>
                <w:sz w:val="14"/>
              </w:rPr>
              <w:t>If admitted: bed, nursing, medication administration, procedures, implants, OT/ICU and multidisciplinary care recorded in same episode.</w:t>
            </w:r>
          </w:p>
        </w:tc>
      </w:tr>
      <w:tr>
        <w:tc>
          <w:tcPr>
            <w:tcW w:type="dxa" w:w="1944"/>
            <w:vAlign w:val="top"/>
            <w:tcMar>
              <w:top w:w="60" w:type="dxa"/>
              <w:start w:w="60" w:type="dxa"/>
              <w:bottom w:w="60" w:type="dxa"/>
              <w:end w:w="60" w:type="dxa"/>
            </w:tcMar>
          </w:tcPr>
          <w:p>
            <w:pPr>
              <w:spacing w:after="20"/>
            </w:pPr>
            <w:r>
              <w:rPr>
                <w:sz w:val="14"/>
              </w:rPr>
              <w:t>7. Insurance</w:t>
            </w:r>
          </w:p>
        </w:tc>
        <w:tc>
          <w:tcPr>
            <w:tcW w:type="dxa" w:w="8856"/>
            <w:vAlign w:val="top"/>
            <w:tcMar>
              <w:top w:w="60" w:type="dxa"/>
              <w:start w:w="60" w:type="dxa"/>
              <w:bottom w:w="60" w:type="dxa"/>
              <w:end w:w="60" w:type="dxa"/>
            </w:tcMar>
          </w:tcPr>
          <w:p>
            <w:pPr>
              <w:spacing w:after="20"/>
            </w:pPr>
            <w:r>
              <w:rPr>
                <w:sz w:val="14"/>
              </w:rPr>
              <w:t>Eligibility/preauth/claim/evidence are generated from clinical/financial source records; patient sees status and outstanding action.</w:t>
            </w:r>
          </w:p>
        </w:tc>
      </w:tr>
      <w:tr>
        <w:tc>
          <w:tcPr>
            <w:tcW w:type="dxa" w:w="1944"/>
            <w:vAlign w:val="top"/>
            <w:tcMar>
              <w:top w:w="60" w:type="dxa"/>
              <w:start w:w="60" w:type="dxa"/>
              <w:bottom w:w="60" w:type="dxa"/>
              <w:end w:w="60" w:type="dxa"/>
            </w:tcMar>
          </w:tcPr>
          <w:p>
            <w:pPr>
              <w:spacing w:after="20"/>
            </w:pPr>
            <w:r>
              <w:rPr>
                <w:sz w:val="14"/>
              </w:rPr>
              <w:t>8. Discharge</w:t>
            </w:r>
          </w:p>
        </w:tc>
        <w:tc>
          <w:tcPr>
            <w:tcW w:type="dxa" w:w="8856"/>
            <w:vAlign w:val="top"/>
            <w:tcMar>
              <w:top w:w="60" w:type="dxa"/>
              <w:start w:w="60" w:type="dxa"/>
              <w:bottom w:w="60" w:type="dxa"/>
              <w:end w:w="60" w:type="dxa"/>
            </w:tcMar>
          </w:tcPr>
          <w:p>
            <w:pPr>
              <w:spacing w:after="20"/>
            </w:pPr>
            <w:r>
              <w:rPr>
                <w:sz w:val="14"/>
              </w:rPr>
              <w:t>Discharge summary, reconciled medicines, follow-up, pending results, final bill and claim status compiled; delivery/home-care tasks scheduled.</w:t>
            </w:r>
          </w:p>
        </w:tc>
      </w:tr>
      <w:tr>
        <w:tc>
          <w:tcPr>
            <w:tcW w:type="dxa" w:w="1944"/>
            <w:vAlign w:val="top"/>
            <w:tcMar>
              <w:top w:w="60" w:type="dxa"/>
              <w:start w:w="60" w:type="dxa"/>
              <w:bottom w:w="60" w:type="dxa"/>
              <w:end w:w="60" w:type="dxa"/>
            </w:tcMar>
          </w:tcPr>
          <w:p>
            <w:pPr>
              <w:spacing w:after="20"/>
            </w:pPr>
            <w:r>
              <w:rPr>
                <w:sz w:val="14"/>
              </w:rPr>
              <w:t>9. Follow-up</w:t>
            </w:r>
          </w:p>
        </w:tc>
        <w:tc>
          <w:tcPr>
            <w:tcW w:type="dxa" w:w="8856"/>
            <w:vAlign w:val="top"/>
            <w:tcMar>
              <w:top w:w="60" w:type="dxa"/>
              <w:start w:w="60" w:type="dxa"/>
              <w:bottom w:w="60" w:type="dxa"/>
              <w:end w:w="60" w:type="dxa"/>
            </w:tcMar>
          </w:tcPr>
          <w:p>
            <w:pPr>
              <w:spacing w:after="20"/>
            </w:pPr>
            <w:r>
              <w:rPr>
                <w:sz w:val="14"/>
              </w:rPr>
              <w:t>Patient receives reminders, can book follow-up/teleconsult, reorder eligible medicines, schedule diagnostics and share consented records.</w:t>
            </w:r>
          </w:p>
        </w:tc>
      </w:tr>
      <w:tr>
        <w:tc>
          <w:tcPr>
            <w:tcW w:type="dxa" w:w="1944"/>
            <w:vAlign w:val="top"/>
            <w:tcMar>
              <w:top w:w="60" w:type="dxa"/>
              <w:start w:w="60" w:type="dxa"/>
              <w:bottom w:w="60" w:type="dxa"/>
              <w:end w:w="60" w:type="dxa"/>
            </w:tcMar>
          </w:tcPr>
          <w:p>
            <w:pPr>
              <w:spacing w:after="20"/>
            </w:pPr>
            <w:r>
              <w:rPr>
                <w:sz w:val="14"/>
              </w:rPr>
              <w:t>10. Longitudinal record</w:t>
            </w:r>
          </w:p>
        </w:tc>
        <w:tc>
          <w:tcPr>
            <w:tcW w:type="dxa" w:w="8856"/>
            <w:vAlign w:val="top"/>
            <w:tcMar>
              <w:top w:w="60" w:type="dxa"/>
              <w:start w:w="60" w:type="dxa"/>
              <w:bottom w:w="60" w:type="dxa"/>
              <w:end w:w="60" w:type="dxa"/>
            </w:tcMar>
          </w:tcPr>
          <w:p>
            <w:pPr>
              <w:spacing w:after="20"/>
            </w:pPr>
            <w:r>
              <w:rPr>
                <w:sz w:val="14"/>
              </w:rPr>
              <w:t>Subsequent specialty encounters access prior relevant data under authorization; analytics and disease registry use governed structured data.</w:t>
            </w:r>
          </w:p>
        </w:tc>
      </w:tr>
    </w:tbl>
    <w:p>
      <w:pPr>
        <w:spacing w:after="20"/>
      </w:pPr>
    </w:p>
    <w:p>
      <w:pPr>
        <w:pStyle w:val="Heading1"/>
      </w:pPr>
      <w:r>
        <w:t>26. Implementation Roadmap and Work Breakdown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D9EAF7"/>
            <w:vAlign w:val="center"/>
            <w:tcMar>
              <w:top w:w="60" w:type="dxa"/>
              <w:start w:w="60" w:type="dxa"/>
              <w:bottom w:w="60" w:type="dxa"/>
              <w:end w:w="60" w:type="dxa"/>
            </w:tcMar>
          </w:tcPr>
          <w:p>
            <w:r>
              <w:rPr>
                <w:b/>
                <w:sz w:val="14"/>
              </w:rPr>
              <w:t>Phase</w:t>
            </w:r>
          </w:p>
        </w:tc>
        <w:tc>
          <w:tcPr>
            <w:tcW w:type="dxa" w:w="1728"/>
            <w:shd w:fill="D9EAF7"/>
            <w:vAlign w:val="center"/>
            <w:tcMar>
              <w:top w:w="60" w:type="dxa"/>
              <w:start w:w="60" w:type="dxa"/>
              <w:bottom w:w="60" w:type="dxa"/>
              <w:end w:w="60" w:type="dxa"/>
            </w:tcMar>
          </w:tcPr>
          <w:p>
            <w:r>
              <w:rPr>
                <w:b/>
                <w:sz w:val="14"/>
              </w:rPr>
              <w:t>Indicative window</w:t>
            </w:r>
          </w:p>
        </w:tc>
        <w:tc>
          <w:tcPr>
            <w:tcW w:type="dxa" w:w="6696"/>
            <w:shd w:fill="D9EAF7"/>
            <w:vAlign w:val="center"/>
            <w:tcMar>
              <w:top w:w="60" w:type="dxa"/>
              <w:start w:w="60" w:type="dxa"/>
              <w:bottom w:w="60" w:type="dxa"/>
              <w:end w:w="60" w:type="dxa"/>
            </w:tcMar>
          </w:tcPr>
          <w:p>
            <w:r>
              <w:rPr>
                <w:b/>
                <w:sz w:val="14"/>
              </w:rPr>
              <w:t>Scope</w:t>
            </w:r>
          </w:p>
        </w:tc>
      </w:tr>
      <w:tr>
        <w:tc>
          <w:tcPr>
            <w:tcW w:type="dxa" w:w="2376"/>
            <w:vAlign w:val="top"/>
            <w:tcMar>
              <w:top w:w="60" w:type="dxa"/>
              <w:start w:w="60" w:type="dxa"/>
              <w:bottom w:w="60" w:type="dxa"/>
              <w:end w:w="60" w:type="dxa"/>
            </w:tcMar>
          </w:tcPr>
          <w:p>
            <w:pPr>
              <w:spacing w:after="20"/>
            </w:pPr>
            <w:r>
              <w:rPr>
                <w:sz w:val="14"/>
              </w:rPr>
              <w:t>Phase 0 — Foundation</w:t>
            </w:r>
          </w:p>
        </w:tc>
        <w:tc>
          <w:tcPr>
            <w:tcW w:type="dxa" w:w="1728"/>
            <w:vAlign w:val="top"/>
            <w:tcMar>
              <w:top w:w="60" w:type="dxa"/>
              <w:start w:w="60" w:type="dxa"/>
              <w:bottom w:w="60" w:type="dxa"/>
              <w:end w:w="60" w:type="dxa"/>
            </w:tcMar>
          </w:tcPr>
          <w:p>
            <w:pPr>
              <w:spacing w:after="20"/>
            </w:pPr>
            <w:r>
              <w:rPr>
                <w:sz w:val="14"/>
              </w:rPr>
              <w:t>0–3 months</w:t>
            </w:r>
          </w:p>
        </w:tc>
        <w:tc>
          <w:tcPr>
            <w:tcW w:type="dxa" w:w="6696"/>
            <w:vAlign w:val="top"/>
            <w:tcMar>
              <w:top w:w="60" w:type="dxa"/>
              <w:start w:w="60" w:type="dxa"/>
              <w:bottom w:w="60" w:type="dxa"/>
              <w:end w:w="60" w:type="dxa"/>
            </w:tcMar>
          </w:tcPr>
          <w:p>
            <w:pPr>
              <w:spacing w:after="20"/>
            </w:pPr>
            <w:r>
              <w:rPr>
                <w:sz w:val="14"/>
              </w:rPr>
              <w:t>Product governance; UX system; tenant/IAM; org/master data; protobuf conventions; Go service template; Svelte shell; CI/CD; observability; audit; workflow/event backbone; security baseline.</w:t>
            </w:r>
          </w:p>
        </w:tc>
      </w:tr>
      <w:tr>
        <w:tc>
          <w:tcPr>
            <w:tcW w:type="dxa" w:w="2376"/>
            <w:vAlign w:val="top"/>
            <w:tcMar>
              <w:top w:w="60" w:type="dxa"/>
              <w:start w:w="60" w:type="dxa"/>
              <w:bottom w:w="60" w:type="dxa"/>
              <w:end w:w="60" w:type="dxa"/>
            </w:tcMar>
          </w:tcPr>
          <w:p>
            <w:pPr>
              <w:spacing w:after="20"/>
            </w:pPr>
            <w:r>
              <w:rPr>
                <w:sz w:val="14"/>
              </w:rPr>
              <w:t>Phase 1 — Core Hospital</w:t>
            </w:r>
          </w:p>
        </w:tc>
        <w:tc>
          <w:tcPr>
            <w:tcW w:type="dxa" w:w="1728"/>
            <w:vAlign w:val="top"/>
            <w:tcMar>
              <w:top w:w="60" w:type="dxa"/>
              <w:start w:w="60" w:type="dxa"/>
              <w:bottom w:w="60" w:type="dxa"/>
              <w:end w:w="60" w:type="dxa"/>
            </w:tcMar>
          </w:tcPr>
          <w:p>
            <w:pPr>
              <w:spacing w:after="20"/>
            </w:pPr>
            <w:r>
              <w:rPr>
                <w:sz w:val="14"/>
              </w:rPr>
              <w:t>3–8 months</w:t>
            </w:r>
          </w:p>
        </w:tc>
        <w:tc>
          <w:tcPr>
            <w:tcW w:type="dxa" w:w="6696"/>
            <w:vAlign w:val="top"/>
            <w:tcMar>
              <w:top w:w="60" w:type="dxa"/>
              <w:start w:w="60" w:type="dxa"/>
              <w:bottom w:w="60" w:type="dxa"/>
              <w:end w:w="60" w:type="dxa"/>
            </w:tcMar>
          </w:tcPr>
          <w:p>
            <w:pPr>
              <w:spacing w:after="20"/>
            </w:pPr>
            <w:r>
              <w:rPr>
                <w:sz w:val="14"/>
              </w:rPr>
              <w:t>Patient/appointments/queues; OPD; encounters; basic clinical core/CPOE; billing; pharmacy; basic lab; documents; patient app MVP.</w:t>
            </w:r>
          </w:p>
        </w:tc>
      </w:tr>
      <w:tr>
        <w:tc>
          <w:tcPr>
            <w:tcW w:type="dxa" w:w="2376"/>
            <w:vAlign w:val="top"/>
            <w:tcMar>
              <w:top w:w="60" w:type="dxa"/>
              <w:start w:w="60" w:type="dxa"/>
              <w:bottom w:w="60" w:type="dxa"/>
              <w:end w:w="60" w:type="dxa"/>
            </w:tcMar>
          </w:tcPr>
          <w:p>
            <w:pPr>
              <w:spacing w:after="20"/>
            </w:pPr>
            <w:r>
              <w:rPr>
                <w:sz w:val="14"/>
              </w:rPr>
              <w:t>Phase 2 — Inpatient &amp; Enterprise</w:t>
            </w:r>
          </w:p>
        </w:tc>
        <w:tc>
          <w:tcPr>
            <w:tcW w:type="dxa" w:w="1728"/>
            <w:vAlign w:val="top"/>
            <w:tcMar>
              <w:top w:w="60" w:type="dxa"/>
              <w:start w:w="60" w:type="dxa"/>
              <w:bottom w:w="60" w:type="dxa"/>
              <w:end w:w="60" w:type="dxa"/>
            </w:tcMar>
          </w:tcPr>
          <w:p>
            <w:pPr>
              <w:spacing w:after="20"/>
            </w:pPr>
            <w:r>
              <w:rPr>
                <w:sz w:val="14"/>
              </w:rPr>
              <w:t>6–12 months</w:t>
            </w:r>
          </w:p>
        </w:tc>
        <w:tc>
          <w:tcPr>
            <w:tcW w:type="dxa" w:w="6696"/>
            <w:vAlign w:val="top"/>
            <w:tcMar>
              <w:top w:w="60" w:type="dxa"/>
              <w:start w:w="60" w:type="dxa"/>
              <w:bottom w:w="60" w:type="dxa"/>
              <w:end w:w="60" w:type="dxa"/>
            </w:tcMar>
          </w:tcPr>
          <w:p>
            <w:pPr>
              <w:spacing w:after="20"/>
            </w:pPr>
            <w:r>
              <w:rPr>
                <w:sz w:val="14"/>
              </w:rPr>
              <w:t>ADT/bed; nursing/eMAR; ER; OT/anesthesia; ICU; materials/procurement/assets; HR/attendance/payroll; enterprise analytics.</w:t>
            </w:r>
          </w:p>
        </w:tc>
      </w:tr>
      <w:tr>
        <w:tc>
          <w:tcPr>
            <w:tcW w:type="dxa" w:w="2376"/>
            <w:vAlign w:val="top"/>
            <w:tcMar>
              <w:top w:w="60" w:type="dxa"/>
              <w:start w:w="60" w:type="dxa"/>
              <w:bottom w:w="60" w:type="dxa"/>
              <w:end w:w="60" w:type="dxa"/>
            </w:tcMar>
          </w:tcPr>
          <w:p>
            <w:pPr>
              <w:spacing w:after="20"/>
            </w:pPr>
            <w:r>
              <w:rPr>
                <w:sz w:val="14"/>
              </w:rPr>
              <w:t>Phase 3 — Diagnostics &amp; Insurance</w:t>
            </w:r>
          </w:p>
        </w:tc>
        <w:tc>
          <w:tcPr>
            <w:tcW w:type="dxa" w:w="1728"/>
            <w:vAlign w:val="top"/>
            <w:tcMar>
              <w:top w:w="60" w:type="dxa"/>
              <w:start w:w="60" w:type="dxa"/>
              <w:bottom w:w="60" w:type="dxa"/>
              <w:end w:w="60" w:type="dxa"/>
            </w:tcMar>
          </w:tcPr>
          <w:p>
            <w:pPr>
              <w:spacing w:after="20"/>
            </w:pPr>
            <w:r>
              <w:rPr>
                <w:sz w:val="14"/>
              </w:rPr>
              <w:t>8–14 months</w:t>
            </w:r>
          </w:p>
        </w:tc>
        <w:tc>
          <w:tcPr>
            <w:tcW w:type="dxa" w:w="6696"/>
            <w:vAlign w:val="top"/>
            <w:tcMar>
              <w:top w:w="60" w:type="dxa"/>
              <w:start w:w="60" w:type="dxa"/>
              <w:bottom w:w="60" w:type="dxa"/>
              <w:end w:w="60" w:type="dxa"/>
            </w:tcMar>
          </w:tcPr>
          <w:p>
            <w:pPr>
              <w:spacing w:after="20"/>
            </w:pPr>
            <w:r>
              <w:rPr>
                <w:sz w:val="14"/>
              </w:rPr>
              <w:t>Full LIS, RIS/PACS integration; home collection; insurer/TPA; preauth/claims; NHCX adapter; B2B diagnostics.</w:t>
            </w:r>
          </w:p>
        </w:tc>
      </w:tr>
      <w:tr>
        <w:tc>
          <w:tcPr>
            <w:tcW w:type="dxa" w:w="2376"/>
            <w:vAlign w:val="top"/>
            <w:tcMar>
              <w:top w:w="60" w:type="dxa"/>
              <w:start w:w="60" w:type="dxa"/>
              <w:bottom w:w="60" w:type="dxa"/>
              <w:end w:w="60" w:type="dxa"/>
            </w:tcMar>
          </w:tcPr>
          <w:p>
            <w:pPr>
              <w:spacing w:after="20"/>
            </w:pPr>
            <w:r>
              <w:rPr>
                <w:sz w:val="14"/>
              </w:rPr>
              <w:t>Phase 4 — Pharma Network</w:t>
            </w:r>
          </w:p>
        </w:tc>
        <w:tc>
          <w:tcPr>
            <w:tcW w:type="dxa" w:w="1728"/>
            <w:vAlign w:val="top"/>
            <w:tcMar>
              <w:top w:w="60" w:type="dxa"/>
              <w:start w:w="60" w:type="dxa"/>
              <w:bottom w:w="60" w:type="dxa"/>
              <w:end w:w="60" w:type="dxa"/>
            </w:tcMar>
          </w:tcPr>
          <w:p>
            <w:pPr>
              <w:spacing w:after="20"/>
            </w:pPr>
            <w:r>
              <w:rPr>
                <w:sz w:val="14"/>
              </w:rPr>
              <w:t>9–16 months</w:t>
            </w:r>
          </w:p>
        </w:tc>
        <w:tc>
          <w:tcPr>
            <w:tcW w:type="dxa" w:w="6696"/>
            <w:vAlign w:val="top"/>
            <w:tcMar>
              <w:top w:w="60" w:type="dxa"/>
              <w:start w:w="60" w:type="dxa"/>
              <w:bottom w:w="60" w:type="dxa"/>
              <w:end w:w="60" w:type="dxa"/>
            </w:tcMar>
          </w:tcPr>
          <w:p>
            <w:pPr>
              <w:spacing w:after="20"/>
            </w:pPr>
            <w:r>
              <w:rPr>
                <w:sz w:val="14"/>
              </w:rPr>
              <w:t>Manufacturer/C&amp;F/distributor/stockist platform; document order automation; warehouse; schemes/credit; returns; settlement; pharmacy delivery network.</w:t>
            </w:r>
          </w:p>
        </w:tc>
      </w:tr>
      <w:tr>
        <w:tc>
          <w:tcPr>
            <w:tcW w:type="dxa" w:w="2376"/>
            <w:vAlign w:val="top"/>
            <w:tcMar>
              <w:top w:w="60" w:type="dxa"/>
              <w:start w:w="60" w:type="dxa"/>
              <w:bottom w:w="60" w:type="dxa"/>
              <w:end w:w="60" w:type="dxa"/>
            </w:tcMar>
          </w:tcPr>
          <w:p>
            <w:pPr>
              <w:spacing w:after="20"/>
            </w:pPr>
            <w:r>
              <w:rPr>
                <w:sz w:val="14"/>
              </w:rPr>
              <w:t>Phase 5 — Specialty Packs</w:t>
            </w:r>
          </w:p>
        </w:tc>
        <w:tc>
          <w:tcPr>
            <w:tcW w:type="dxa" w:w="1728"/>
            <w:vAlign w:val="top"/>
            <w:tcMar>
              <w:top w:w="60" w:type="dxa"/>
              <w:start w:w="60" w:type="dxa"/>
              <w:bottom w:w="60" w:type="dxa"/>
              <w:end w:w="60" w:type="dxa"/>
            </w:tcMar>
          </w:tcPr>
          <w:p>
            <w:pPr>
              <w:spacing w:after="20"/>
            </w:pPr>
            <w:r>
              <w:rPr>
                <w:sz w:val="14"/>
              </w:rPr>
              <w:t>10–20 months</w:t>
            </w:r>
          </w:p>
        </w:tc>
        <w:tc>
          <w:tcPr>
            <w:tcW w:type="dxa" w:w="6696"/>
            <w:vAlign w:val="top"/>
            <w:tcMar>
              <w:top w:w="60" w:type="dxa"/>
              <w:start w:w="60" w:type="dxa"/>
              <w:bottom w:w="60" w:type="dxa"/>
              <w:end w:w="60" w:type="dxa"/>
            </w:tcMar>
          </w:tcPr>
          <w:p>
            <w:pPr>
              <w:spacing w:after="20"/>
            </w:pPr>
            <w:r>
              <w:rPr>
                <w:sz w:val="14"/>
              </w:rPr>
              <w:t>Priority hospital specialties first; cardiology, nephrology/dialysis, oncology, pediatrics/NICU, OBGYN, critical care, orthopedics, gastro, neurology; then remaining packs.</w:t>
            </w:r>
          </w:p>
        </w:tc>
      </w:tr>
      <w:tr>
        <w:tc>
          <w:tcPr>
            <w:tcW w:type="dxa" w:w="2376"/>
            <w:vAlign w:val="top"/>
            <w:tcMar>
              <w:top w:w="60" w:type="dxa"/>
              <w:start w:w="60" w:type="dxa"/>
              <w:bottom w:w="60" w:type="dxa"/>
              <w:end w:w="60" w:type="dxa"/>
            </w:tcMar>
          </w:tcPr>
          <w:p>
            <w:pPr>
              <w:spacing w:after="20"/>
            </w:pPr>
            <w:r>
              <w:rPr>
                <w:sz w:val="14"/>
              </w:rPr>
              <w:t>Phase 6 — SCADA/Command Center</w:t>
            </w:r>
          </w:p>
        </w:tc>
        <w:tc>
          <w:tcPr>
            <w:tcW w:type="dxa" w:w="1728"/>
            <w:vAlign w:val="top"/>
            <w:tcMar>
              <w:top w:w="60" w:type="dxa"/>
              <w:start w:w="60" w:type="dxa"/>
              <w:bottom w:w="60" w:type="dxa"/>
              <w:end w:w="60" w:type="dxa"/>
            </w:tcMar>
          </w:tcPr>
          <w:p>
            <w:pPr>
              <w:spacing w:after="20"/>
            </w:pPr>
            <w:r>
              <w:rPr>
                <w:sz w:val="14"/>
              </w:rPr>
              <w:t>12–20 months</w:t>
            </w:r>
          </w:p>
        </w:tc>
        <w:tc>
          <w:tcPr>
            <w:tcW w:type="dxa" w:w="6696"/>
            <w:vAlign w:val="top"/>
            <w:tcMar>
              <w:top w:w="60" w:type="dxa"/>
              <w:start w:w="60" w:type="dxa"/>
              <w:bottom w:w="60" w:type="dxa"/>
              <w:end w:w="60" w:type="dxa"/>
            </w:tcMar>
          </w:tcPr>
          <w:p>
            <w:pPr>
              <w:spacing w:after="20"/>
            </w:pPr>
            <w:r>
              <w:rPr>
                <w:sz w:val="14"/>
              </w:rPr>
              <w:t>OT gateways, historian, alarms, energy/water/cold-chain monitoring, biomedical linkage, command center.</w:t>
            </w:r>
          </w:p>
        </w:tc>
      </w:tr>
      <w:tr>
        <w:tc>
          <w:tcPr>
            <w:tcW w:type="dxa" w:w="2376"/>
            <w:vAlign w:val="top"/>
            <w:tcMar>
              <w:top w:w="60" w:type="dxa"/>
              <w:start w:w="60" w:type="dxa"/>
              <w:bottom w:w="60" w:type="dxa"/>
              <w:end w:w="60" w:type="dxa"/>
            </w:tcMar>
          </w:tcPr>
          <w:p>
            <w:pPr>
              <w:spacing w:after="20"/>
            </w:pPr>
            <w:r>
              <w:rPr>
                <w:sz w:val="14"/>
              </w:rPr>
              <w:t>Phase 7 — Intelligence &amp; Network Scale</w:t>
            </w:r>
          </w:p>
        </w:tc>
        <w:tc>
          <w:tcPr>
            <w:tcW w:type="dxa" w:w="1728"/>
            <w:vAlign w:val="top"/>
            <w:tcMar>
              <w:top w:w="60" w:type="dxa"/>
              <w:start w:w="60" w:type="dxa"/>
              <w:bottom w:w="60" w:type="dxa"/>
              <w:end w:w="60" w:type="dxa"/>
            </w:tcMar>
          </w:tcPr>
          <w:p>
            <w:pPr>
              <w:spacing w:after="20"/>
            </w:pPr>
            <w:r>
              <w:rPr>
                <w:sz w:val="14"/>
              </w:rPr>
              <w:t>14–24 months</w:t>
            </w:r>
          </w:p>
        </w:tc>
        <w:tc>
          <w:tcPr>
            <w:tcW w:type="dxa" w:w="6696"/>
            <w:vAlign w:val="top"/>
            <w:tcMar>
              <w:top w:w="60" w:type="dxa"/>
              <w:start w:w="60" w:type="dxa"/>
              <w:bottom w:w="60" w:type="dxa"/>
              <w:end w:w="60" w:type="dxa"/>
            </w:tcMar>
          </w:tcPr>
          <w:p>
            <w:pPr>
              <w:spacing w:after="20"/>
            </w:pPr>
            <w:r>
              <w:rPr>
                <w:sz w:val="14"/>
              </w:rPr>
              <w:t>Rust ML services, forecasts, claims intelligence, operations optimization, broader partner ecosystem, performance hardening and enterprise rollout.</w:t>
            </w:r>
          </w:p>
        </w:tc>
      </w:tr>
    </w:tbl>
    <w:p>
      <w:pPr>
        <w:spacing w:after="20"/>
      </w:pPr>
    </w:p>
    <w:p>
      <w:pPr>
        <w:pStyle w:val="Heading2"/>
      </w:pPr>
      <w:r>
        <w:t>26.1 Release Strategy</w:t>
      </w:r>
    </w:p>
    <w:p>
      <w:pPr>
        <w:pStyle w:val="ListBullet"/>
        <w:spacing w:after="30"/>
      </w:pPr>
      <w:r>
        <w:t>Release a clinically safe narrow vertical slice before attempting all specialties.</w:t>
      </w:r>
    </w:p>
    <w:p>
      <w:pPr>
        <w:pStyle w:val="ListBullet"/>
        <w:spacing w:after="30"/>
      </w:pPr>
      <w:r>
        <w:t>Use feature flags and tenant configuration to activate modules progressively.</w:t>
      </w:r>
    </w:p>
    <w:p>
      <w:pPr>
        <w:pStyle w:val="ListBullet"/>
        <w:spacing w:after="30"/>
      </w:pPr>
      <w:r>
        <w:t>Every hospital pilot has site master-data migration, device/interface certification, role mapping, super-user training and dress rehearsal.</w:t>
      </w:r>
    </w:p>
    <w:p>
      <w:pPr>
        <w:pStyle w:val="ListBullet"/>
        <w:spacing w:after="30"/>
      </w:pPr>
      <w:r>
        <w:t>Clinical templates must be signed off by nominated specialty owners; finance rules by finance owners; pharmacy/lab workflows by licensed/authorized operational owners.</w:t>
      </w:r>
    </w:p>
    <w:p>
      <w:pPr>
        <w:pStyle w:val="ListBullet"/>
        <w:spacing w:after="30"/>
      </w:pPr>
      <w:r>
        <w:t>Do not make AI automation a go-live dependency for transactional correctness.</w:t>
      </w:r>
    </w:p>
    <w:p>
      <w:pPr>
        <w:pStyle w:val="Heading1"/>
      </w:pPr>
      <w:r>
        <w:t>27. Delivery Organization and Staffing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D9EAF7"/>
            <w:vAlign w:val="center"/>
            <w:tcMar>
              <w:top w:w="60" w:type="dxa"/>
              <w:start w:w="60" w:type="dxa"/>
              <w:bottom w:w="60" w:type="dxa"/>
              <w:end w:w="60" w:type="dxa"/>
            </w:tcMar>
          </w:tcPr>
          <w:p>
            <w:r>
              <w:rPr>
                <w:b/>
                <w:sz w:val="14"/>
              </w:rPr>
              <w:t>Capability</w:t>
            </w:r>
          </w:p>
        </w:tc>
        <w:tc>
          <w:tcPr>
            <w:tcW w:type="dxa" w:w="8352"/>
            <w:shd w:fill="D9EAF7"/>
            <w:vAlign w:val="center"/>
            <w:tcMar>
              <w:top w:w="60" w:type="dxa"/>
              <w:start w:w="60" w:type="dxa"/>
              <w:bottom w:w="60" w:type="dxa"/>
              <w:end w:w="60" w:type="dxa"/>
            </w:tcMar>
          </w:tcPr>
          <w:p>
            <w:r>
              <w:rPr>
                <w:b/>
                <w:sz w:val="14"/>
              </w:rPr>
              <w:t>Indicative core team</w:t>
            </w:r>
          </w:p>
        </w:tc>
      </w:tr>
      <w:tr>
        <w:tc>
          <w:tcPr>
            <w:tcW w:type="dxa" w:w="2448"/>
            <w:vAlign w:val="top"/>
            <w:tcMar>
              <w:top w:w="60" w:type="dxa"/>
              <w:start w:w="60" w:type="dxa"/>
              <w:bottom w:w="60" w:type="dxa"/>
              <w:end w:w="60" w:type="dxa"/>
            </w:tcMar>
          </w:tcPr>
          <w:p>
            <w:pPr>
              <w:spacing w:after="20"/>
            </w:pPr>
            <w:r>
              <w:rPr>
                <w:sz w:val="14"/>
              </w:rPr>
              <w:t>Product &amp; domain</w:t>
            </w:r>
          </w:p>
        </w:tc>
        <w:tc>
          <w:tcPr>
            <w:tcW w:type="dxa" w:w="8352"/>
            <w:vAlign w:val="top"/>
            <w:tcMar>
              <w:top w:w="60" w:type="dxa"/>
              <w:start w:w="60" w:type="dxa"/>
              <w:bottom w:w="60" w:type="dxa"/>
              <w:end w:w="60" w:type="dxa"/>
            </w:tcMar>
          </w:tcPr>
          <w:p>
            <w:pPr>
              <w:spacing w:after="20"/>
            </w:pPr>
            <w:r>
              <w:rPr>
                <w:sz w:val="14"/>
              </w:rPr>
              <w:t>1 Product Director; 4–6 Product Managers/Business Analysts covering clinical, revenue/insurance, pharma, diagnostics, enterprise/SCADA.</w:t>
            </w:r>
          </w:p>
        </w:tc>
      </w:tr>
      <w:tr>
        <w:tc>
          <w:tcPr>
            <w:tcW w:type="dxa" w:w="2448"/>
            <w:vAlign w:val="top"/>
            <w:tcMar>
              <w:top w:w="60" w:type="dxa"/>
              <w:start w:w="60" w:type="dxa"/>
              <w:bottom w:w="60" w:type="dxa"/>
              <w:end w:w="60" w:type="dxa"/>
            </w:tcMar>
          </w:tcPr>
          <w:p>
            <w:pPr>
              <w:spacing w:after="20"/>
            </w:pPr>
            <w:r>
              <w:rPr>
                <w:sz w:val="14"/>
              </w:rPr>
              <w:t>Clinical informatics</w:t>
            </w:r>
          </w:p>
        </w:tc>
        <w:tc>
          <w:tcPr>
            <w:tcW w:type="dxa" w:w="8352"/>
            <w:vAlign w:val="top"/>
            <w:tcMar>
              <w:top w:w="60" w:type="dxa"/>
              <w:start w:w="60" w:type="dxa"/>
              <w:bottom w:w="60" w:type="dxa"/>
              <w:end w:w="60" w:type="dxa"/>
            </w:tcMar>
          </w:tcPr>
          <w:p>
            <w:pPr>
              <w:spacing w:after="20"/>
            </w:pPr>
            <w:r>
              <w:rPr>
                <w:sz w:val="14"/>
              </w:rPr>
              <w:t>1 Clinical Informatics Lead; 3–6 specialty informatics analysts; part-time specialty clinicians for pack validation.</w:t>
            </w:r>
          </w:p>
        </w:tc>
      </w:tr>
      <w:tr>
        <w:tc>
          <w:tcPr>
            <w:tcW w:type="dxa" w:w="2448"/>
            <w:vAlign w:val="top"/>
            <w:tcMar>
              <w:top w:w="60" w:type="dxa"/>
              <w:start w:w="60" w:type="dxa"/>
              <w:bottom w:w="60" w:type="dxa"/>
              <w:end w:w="60" w:type="dxa"/>
            </w:tcMar>
          </w:tcPr>
          <w:p>
            <w:pPr>
              <w:spacing w:after="20"/>
            </w:pPr>
            <w:r>
              <w:rPr>
                <w:sz w:val="14"/>
              </w:rPr>
              <w:t>Architecture</w:t>
            </w:r>
          </w:p>
        </w:tc>
        <w:tc>
          <w:tcPr>
            <w:tcW w:type="dxa" w:w="8352"/>
            <w:vAlign w:val="top"/>
            <w:tcMar>
              <w:top w:w="60" w:type="dxa"/>
              <w:start w:w="60" w:type="dxa"/>
              <w:bottom w:w="60" w:type="dxa"/>
              <w:end w:w="60" w:type="dxa"/>
            </w:tcMar>
          </w:tcPr>
          <w:p>
            <w:pPr>
              <w:spacing w:after="20"/>
            </w:pPr>
            <w:r>
              <w:rPr>
                <w:sz w:val="14"/>
              </w:rPr>
              <w:t>1 Chief/Principal Architect; 2–3 domain architects/tech leads; 1 security architect.</w:t>
            </w:r>
          </w:p>
        </w:tc>
      </w:tr>
      <w:tr>
        <w:tc>
          <w:tcPr>
            <w:tcW w:type="dxa" w:w="2448"/>
            <w:vAlign w:val="top"/>
            <w:tcMar>
              <w:top w:w="60" w:type="dxa"/>
              <w:start w:w="60" w:type="dxa"/>
              <w:bottom w:w="60" w:type="dxa"/>
              <w:end w:w="60" w:type="dxa"/>
            </w:tcMar>
          </w:tcPr>
          <w:p>
            <w:pPr>
              <w:spacing w:after="20"/>
            </w:pPr>
            <w:r>
              <w:rPr>
                <w:sz w:val="14"/>
              </w:rPr>
              <w:t>Go backend</w:t>
            </w:r>
          </w:p>
        </w:tc>
        <w:tc>
          <w:tcPr>
            <w:tcW w:type="dxa" w:w="8352"/>
            <w:vAlign w:val="top"/>
            <w:tcMar>
              <w:top w:w="60" w:type="dxa"/>
              <w:start w:w="60" w:type="dxa"/>
              <w:bottom w:w="60" w:type="dxa"/>
              <w:end w:w="60" w:type="dxa"/>
            </w:tcMar>
          </w:tcPr>
          <w:p>
            <w:pPr>
              <w:spacing w:after="20"/>
            </w:pPr>
            <w:r>
              <w:rPr>
                <w:sz w:val="14"/>
              </w:rPr>
              <w:t>12–20 engineers across platform, clinical, commerce, diagnostics/claims and integrations.</w:t>
            </w:r>
          </w:p>
        </w:tc>
      </w:tr>
      <w:tr>
        <w:tc>
          <w:tcPr>
            <w:tcW w:type="dxa" w:w="2448"/>
            <w:vAlign w:val="top"/>
            <w:tcMar>
              <w:top w:w="60" w:type="dxa"/>
              <w:start w:w="60" w:type="dxa"/>
              <w:bottom w:w="60" w:type="dxa"/>
              <w:end w:w="60" w:type="dxa"/>
            </w:tcMar>
          </w:tcPr>
          <w:p>
            <w:pPr>
              <w:spacing w:after="20"/>
            </w:pPr>
            <w:r>
              <w:rPr>
                <w:sz w:val="14"/>
              </w:rPr>
              <w:t>Svelte/SvelteKit web</w:t>
            </w:r>
          </w:p>
        </w:tc>
        <w:tc>
          <w:tcPr>
            <w:tcW w:type="dxa" w:w="8352"/>
            <w:vAlign w:val="top"/>
            <w:tcMar>
              <w:top w:w="60" w:type="dxa"/>
              <w:start w:w="60" w:type="dxa"/>
              <w:bottom w:w="60" w:type="dxa"/>
              <w:end w:w="60" w:type="dxa"/>
            </w:tcMar>
          </w:tcPr>
          <w:p>
            <w:pPr>
              <w:spacing w:after="20"/>
            </w:pPr>
            <w:r>
              <w:rPr>
                <w:sz w:val="14"/>
              </w:rPr>
              <w:t>8–14 frontend engineers plus 1 design-system lead.</w:t>
            </w:r>
          </w:p>
        </w:tc>
      </w:tr>
      <w:tr>
        <w:tc>
          <w:tcPr>
            <w:tcW w:type="dxa" w:w="2448"/>
            <w:vAlign w:val="top"/>
            <w:tcMar>
              <w:top w:w="60" w:type="dxa"/>
              <w:start w:w="60" w:type="dxa"/>
              <w:bottom w:w="60" w:type="dxa"/>
              <w:end w:w="60" w:type="dxa"/>
            </w:tcMar>
          </w:tcPr>
          <w:p>
            <w:pPr>
              <w:spacing w:after="20"/>
            </w:pPr>
            <w:r>
              <w:rPr>
                <w:sz w:val="14"/>
              </w:rPr>
              <w:t>Flutter</w:t>
            </w:r>
          </w:p>
        </w:tc>
        <w:tc>
          <w:tcPr>
            <w:tcW w:type="dxa" w:w="8352"/>
            <w:vAlign w:val="top"/>
            <w:tcMar>
              <w:top w:w="60" w:type="dxa"/>
              <w:start w:w="60" w:type="dxa"/>
              <w:bottom w:w="60" w:type="dxa"/>
              <w:end w:w="60" w:type="dxa"/>
            </w:tcMar>
          </w:tcPr>
          <w:p>
            <w:pPr>
              <w:spacing w:after="20"/>
            </w:pPr>
            <w:r>
              <w:rPr>
                <w:sz w:val="14"/>
              </w:rPr>
              <w:t>4–7 mobile engineers for patient/staff/field apps.</w:t>
            </w:r>
          </w:p>
        </w:tc>
      </w:tr>
      <w:tr>
        <w:tc>
          <w:tcPr>
            <w:tcW w:type="dxa" w:w="2448"/>
            <w:vAlign w:val="top"/>
            <w:tcMar>
              <w:top w:w="60" w:type="dxa"/>
              <w:start w:w="60" w:type="dxa"/>
              <w:bottom w:w="60" w:type="dxa"/>
              <w:end w:w="60" w:type="dxa"/>
            </w:tcMar>
          </w:tcPr>
          <w:p>
            <w:pPr>
              <w:spacing w:after="20"/>
            </w:pPr>
            <w:r>
              <w:rPr>
                <w:sz w:val="14"/>
              </w:rPr>
              <w:t>Rust AI/ML</w:t>
            </w:r>
          </w:p>
        </w:tc>
        <w:tc>
          <w:tcPr>
            <w:tcW w:type="dxa" w:w="8352"/>
            <w:vAlign w:val="top"/>
            <w:tcMar>
              <w:top w:w="60" w:type="dxa"/>
              <w:start w:w="60" w:type="dxa"/>
              <w:bottom w:w="60" w:type="dxa"/>
              <w:end w:w="60" w:type="dxa"/>
            </w:tcMar>
          </w:tcPr>
          <w:p>
            <w:pPr>
              <w:spacing w:after="20"/>
            </w:pPr>
            <w:r>
              <w:rPr>
                <w:sz w:val="14"/>
              </w:rPr>
              <w:t>4–8 ML/Rust engineers plus 2–4 data scientists/ML scientists depending on scope.</w:t>
            </w:r>
          </w:p>
        </w:tc>
      </w:tr>
      <w:tr>
        <w:tc>
          <w:tcPr>
            <w:tcW w:type="dxa" w:w="2448"/>
            <w:vAlign w:val="top"/>
            <w:tcMar>
              <w:top w:w="60" w:type="dxa"/>
              <w:start w:w="60" w:type="dxa"/>
              <w:bottom w:w="60" w:type="dxa"/>
              <w:end w:w="60" w:type="dxa"/>
            </w:tcMar>
          </w:tcPr>
          <w:p>
            <w:pPr>
              <w:spacing w:after="20"/>
            </w:pPr>
            <w:r>
              <w:rPr>
                <w:sz w:val="14"/>
              </w:rPr>
              <w:t>Data/analytics</w:t>
            </w:r>
          </w:p>
        </w:tc>
        <w:tc>
          <w:tcPr>
            <w:tcW w:type="dxa" w:w="8352"/>
            <w:vAlign w:val="top"/>
            <w:tcMar>
              <w:top w:w="60" w:type="dxa"/>
              <w:start w:w="60" w:type="dxa"/>
              <w:bottom w:w="60" w:type="dxa"/>
              <w:end w:w="60" w:type="dxa"/>
            </w:tcMar>
          </w:tcPr>
          <w:p>
            <w:pPr>
              <w:spacing w:after="20"/>
            </w:pPr>
            <w:r>
              <w:rPr>
                <w:sz w:val="14"/>
              </w:rPr>
              <w:t>3–5 data engineers/analytics engineers + BI product analyst.</w:t>
            </w:r>
          </w:p>
        </w:tc>
      </w:tr>
      <w:tr>
        <w:tc>
          <w:tcPr>
            <w:tcW w:type="dxa" w:w="2448"/>
            <w:vAlign w:val="top"/>
            <w:tcMar>
              <w:top w:w="60" w:type="dxa"/>
              <w:start w:w="60" w:type="dxa"/>
              <w:bottom w:w="60" w:type="dxa"/>
              <w:end w:w="60" w:type="dxa"/>
            </w:tcMar>
          </w:tcPr>
          <w:p>
            <w:pPr>
              <w:spacing w:after="20"/>
            </w:pPr>
            <w:r>
              <w:rPr>
                <w:sz w:val="14"/>
              </w:rPr>
              <w:t>Integration/IoT</w:t>
            </w:r>
          </w:p>
        </w:tc>
        <w:tc>
          <w:tcPr>
            <w:tcW w:type="dxa" w:w="8352"/>
            <w:vAlign w:val="top"/>
            <w:tcMar>
              <w:top w:w="60" w:type="dxa"/>
              <w:start w:w="60" w:type="dxa"/>
              <w:bottom w:w="60" w:type="dxa"/>
              <w:end w:w="60" w:type="dxa"/>
            </w:tcMar>
          </w:tcPr>
          <w:p>
            <w:pPr>
              <w:spacing w:after="20"/>
            </w:pPr>
            <w:r>
              <w:rPr>
                <w:sz w:val="14"/>
              </w:rPr>
              <w:t>4–7 engineers for FHIR/NHCX/DICOM/devices/SCADA gateways.</w:t>
            </w:r>
          </w:p>
        </w:tc>
      </w:tr>
      <w:tr>
        <w:tc>
          <w:tcPr>
            <w:tcW w:type="dxa" w:w="2448"/>
            <w:vAlign w:val="top"/>
            <w:tcMar>
              <w:top w:w="60" w:type="dxa"/>
              <w:start w:w="60" w:type="dxa"/>
              <w:bottom w:w="60" w:type="dxa"/>
              <w:end w:w="60" w:type="dxa"/>
            </w:tcMar>
          </w:tcPr>
          <w:p>
            <w:pPr>
              <w:spacing w:after="20"/>
            </w:pPr>
            <w:r>
              <w:rPr>
                <w:sz w:val="14"/>
              </w:rPr>
              <w:t>QA</w:t>
            </w:r>
          </w:p>
        </w:tc>
        <w:tc>
          <w:tcPr>
            <w:tcW w:type="dxa" w:w="8352"/>
            <w:vAlign w:val="top"/>
            <w:tcMar>
              <w:top w:w="60" w:type="dxa"/>
              <w:start w:w="60" w:type="dxa"/>
              <w:bottom w:w="60" w:type="dxa"/>
              <w:end w:w="60" w:type="dxa"/>
            </w:tcMar>
          </w:tcPr>
          <w:p>
            <w:pPr>
              <w:spacing w:after="20"/>
            </w:pPr>
            <w:r>
              <w:rPr>
                <w:sz w:val="14"/>
              </w:rPr>
              <w:t>8–14 automation/performance/manual domain QA; dedicated clinical workflow QA.</w:t>
            </w:r>
          </w:p>
        </w:tc>
      </w:tr>
      <w:tr>
        <w:tc>
          <w:tcPr>
            <w:tcW w:type="dxa" w:w="2448"/>
            <w:vAlign w:val="top"/>
            <w:tcMar>
              <w:top w:w="60" w:type="dxa"/>
              <w:start w:w="60" w:type="dxa"/>
              <w:bottom w:w="60" w:type="dxa"/>
              <w:end w:w="60" w:type="dxa"/>
            </w:tcMar>
          </w:tcPr>
          <w:p>
            <w:pPr>
              <w:spacing w:after="20"/>
            </w:pPr>
            <w:r>
              <w:rPr>
                <w:sz w:val="14"/>
              </w:rPr>
              <w:t>DevSecOps/SRE</w:t>
            </w:r>
          </w:p>
        </w:tc>
        <w:tc>
          <w:tcPr>
            <w:tcW w:type="dxa" w:w="8352"/>
            <w:vAlign w:val="top"/>
            <w:tcMar>
              <w:top w:w="60" w:type="dxa"/>
              <w:start w:w="60" w:type="dxa"/>
              <w:bottom w:w="60" w:type="dxa"/>
              <w:end w:w="60" w:type="dxa"/>
            </w:tcMar>
          </w:tcPr>
          <w:p>
            <w:pPr>
              <w:spacing w:after="20"/>
            </w:pPr>
            <w:r>
              <w:rPr>
                <w:sz w:val="14"/>
              </w:rPr>
              <w:t>4–7 engineers for cloud, IaC, CI/CD, observability, DR and platform reliability.</w:t>
            </w:r>
          </w:p>
        </w:tc>
      </w:tr>
      <w:tr>
        <w:tc>
          <w:tcPr>
            <w:tcW w:type="dxa" w:w="2448"/>
            <w:vAlign w:val="top"/>
            <w:tcMar>
              <w:top w:w="60" w:type="dxa"/>
              <w:start w:w="60" w:type="dxa"/>
              <w:bottom w:w="60" w:type="dxa"/>
              <w:end w:w="60" w:type="dxa"/>
            </w:tcMar>
          </w:tcPr>
          <w:p>
            <w:pPr>
              <w:spacing w:after="20"/>
            </w:pPr>
            <w:r>
              <w:rPr>
                <w:sz w:val="14"/>
              </w:rPr>
              <w:t>UX</w:t>
            </w:r>
          </w:p>
        </w:tc>
        <w:tc>
          <w:tcPr>
            <w:tcW w:type="dxa" w:w="8352"/>
            <w:vAlign w:val="top"/>
            <w:tcMar>
              <w:top w:w="60" w:type="dxa"/>
              <w:start w:w="60" w:type="dxa"/>
              <w:bottom w:w="60" w:type="dxa"/>
              <w:end w:w="60" w:type="dxa"/>
            </w:tcMar>
          </w:tcPr>
          <w:p>
            <w:pPr>
              <w:spacing w:after="20"/>
            </w:pPr>
            <w:r>
              <w:rPr>
                <w:sz w:val="14"/>
              </w:rPr>
              <w:t>3–5 product designers + UX researcher/content/accessibility support.</w:t>
            </w:r>
          </w:p>
        </w:tc>
      </w:tr>
      <w:tr>
        <w:tc>
          <w:tcPr>
            <w:tcW w:type="dxa" w:w="2448"/>
            <w:vAlign w:val="top"/>
            <w:tcMar>
              <w:top w:w="60" w:type="dxa"/>
              <w:start w:w="60" w:type="dxa"/>
              <w:bottom w:w="60" w:type="dxa"/>
              <w:end w:w="60" w:type="dxa"/>
            </w:tcMar>
          </w:tcPr>
          <w:p>
            <w:pPr>
              <w:spacing w:after="20"/>
            </w:pPr>
            <w:r>
              <w:rPr>
                <w:sz w:val="14"/>
              </w:rPr>
              <w:t>Implementation</w:t>
            </w:r>
          </w:p>
        </w:tc>
        <w:tc>
          <w:tcPr>
            <w:tcW w:type="dxa" w:w="8352"/>
            <w:vAlign w:val="top"/>
            <w:tcMar>
              <w:top w:w="60" w:type="dxa"/>
              <w:start w:w="60" w:type="dxa"/>
              <w:bottom w:w="60" w:type="dxa"/>
              <w:end w:w="60" w:type="dxa"/>
            </w:tcMar>
          </w:tcPr>
          <w:p>
            <w:pPr>
              <w:spacing w:after="20"/>
            </w:pPr>
            <w:r>
              <w:rPr>
                <w:sz w:val="14"/>
              </w:rPr>
              <w:t>6–15 solution consultants, data migration, training and onsite rollout personnel as customers grow.</w:t>
            </w:r>
          </w:p>
        </w:tc>
      </w:tr>
      <w:tr>
        <w:tc>
          <w:tcPr>
            <w:tcW w:type="dxa" w:w="2448"/>
            <w:vAlign w:val="top"/>
            <w:tcMar>
              <w:top w:w="60" w:type="dxa"/>
              <w:start w:w="60" w:type="dxa"/>
              <w:bottom w:w="60" w:type="dxa"/>
              <w:end w:w="60" w:type="dxa"/>
            </w:tcMar>
          </w:tcPr>
          <w:p>
            <w:pPr>
              <w:spacing w:after="20"/>
            </w:pPr>
            <w:r>
              <w:rPr>
                <w:sz w:val="14"/>
              </w:rPr>
              <w:t>Security/compliance</w:t>
            </w:r>
          </w:p>
        </w:tc>
        <w:tc>
          <w:tcPr>
            <w:tcW w:type="dxa" w:w="8352"/>
            <w:vAlign w:val="top"/>
            <w:tcMar>
              <w:top w:w="60" w:type="dxa"/>
              <w:start w:w="60" w:type="dxa"/>
              <w:bottom w:w="60" w:type="dxa"/>
              <w:end w:w="60" w:type="dxa"/>
            </w:tcMar>
          </w:tcPr>
          <w:p>
            <w:pPr>
              <w:spacing w:after="20"/>
            </w:pPr>
            <w:r>
              <w:rPr>
                <w:sz w:val="14"/>
              </w:rPr>
              <w:t>2–4 AppSec/privacy/GRC personnel; independent testing budget.</w:t>
            </w:r>
          </w:p>
        </w:tc>
      </w:tr>
    </w:tbl>
    <w:p>
      <w:pPr>
        <w:spacing w:after="20"/>
      </w:pPr>
    </w:p>
    <w:p>
      <w:pPr>
        <w:pStyle w:val="Heading2"/>
      </w:pPr>
      <w:r>
        <w:t>27.1 Governance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D9EAF7"/>
            <w:vAlign w:val="center"/>
            <w:tcMar>
              <w:top w:w="60" w:type="dxa"/>
              <w:start w:w="60" w:type="dxa"/>
              <w:bottom w:w="60" w:type="dxa"/>
              <w:end w:w="60" w:type="dxa"/>
            </w:tcMar>
          </w:tcPr>
          <w:p>
            <w:r>
              <w:rPr>
                <w:b/>
                <w:sz w:val="14"/>
              </w:rPr>
              <w:t>Forum</w:t>
            </w:r>
          </w:p>
        </w:tc>
        <w:tc>
          <w:tcPr>
            <w:tcW w:type="dxa" w:w="1728"/>
            <w:shd w:fill="D9EAF7"/>
            <w:vAlign w:val="center"/>
            <w:tcMar>
              <w:top w:w="60" w:type="dxa"/>
              <w:start w:w="60" w:type="dxa"/>
              <w:bottom w:w="60" w:type="dxa"/>
              <w:end w:w="60" w:type="dxa"/>
            </w:tcMar>
          </w:tcPr>
          <w:p>
            <w:r>
              <w:rPr>
                <w:b/>
                <w:sz w:val="14"/>
              </w:rPr>
              <w:t>Cadence</w:t>
            </w:r>
          </w:p>
        </w:tc>
        <w:tc>
          <w:tcPr>
            <w:tcW w:type="dxa" w:w="6480"/>
            <w:shd w:fill="D9EAF7"/>
            <w:vAlign w:val="center"/>
            <w:tcMar>
              <w:top w:w="60" w:type="dxa"/>
              <w:start w:w="60" w:type="dxa"/>
              <w:bottom w:w="60" w:type="dxa"/>
              <w:end w:w="60" w:type="dxa"/>
            </w:tcMar>
          </w:tcPr>
          <w:p>
            <w:r>
              <w:rPr>
                <w:b/>
                <w:sz w:val="14"/>
              </w:rPr>
              <w:t>Decisions</w:t>
            </w:r>
          </w:p>
        </w:tc>
      </w:tr>
      <w:tr>
        <w:tc>
          <w:tcPr>
            <w:tcW w:type="dxa" w:w="2592"/>
            <w:vAlign w:val="top"/>
            <w:tcMar>
              <w:top w:w="60" w:type="dxa"/>
              <w:start w:w="60" w:type="dxa"/>
              <w:bottom w:w="60" w:type="dxa"/>
              <w:end w:w="60" w:type="dxa"/>
            </w:tcMar>
          </w:tcPr>
          <w:p>
            <w:pPr>
              <w:spacing w:after="20"/>
            </w:pPr>
            <w:r>
              <w:rPr>
                <w:sz w:val="14"/>
              </w:rPr>
              <w:t>Product council</w:t>
            </w:r>
          </w:p>
        </w:tc>
        <w:tc>
          <w:tcPr>
            <w:tcW w:type="dxa" w:w="1728"/>
            <w:vAlign w:val="top"/>
            <w:tcMar>
              <w:top w:w="60" w:type="dxa"/>
              <w:start w:w="60" w:type="dxa"/>
              <w:bottom w:w="60" w:type="dxa"/>
              <w:end w:w="60" w:type="dxa"/>
            </w:tcMar>
          </w:tcPr>
          <w:p>
            <w:pPr>
              <w:spacing w:after="20"/>
            </w:pPr>
            <w:r>
              <w:rPr>
                <w:sz w:val="14"/>
              </w:rPr>
              <w:t>Weekly</w:t>
            </w:r>
          </w:p>
        </w:tc>
        <w:tc>
          <w:tcPr>
            <w:tcW w:type="dxa" w:w="6480"/>
            <w:vAlign w:val="top"/>
            <w:tcMar>
              <w:top w:w="60" w:type="dxa"/>
              <w:start w:w="60" w:type="dxa"/>
              <w:bottom w:w="60" w:type="dxa"/>
              <w:end w:w="60" w:type="dxa"/>
            </w:tcMar>
          </w:tcPr>
          <w:p>
            <w:pPr>
              <w:spacing w:after="20"/>
            </w:pPr>
            <w:r>
              <w:rPr>
                <w:sz w:val="14"/>
              </w:rPr>
              <w:t>Scope, cross-domain dependencies, roadmap and acceptance.</w:t>
            </w:r>
          </w:p>
        </w:tc>
      </w:tr>
      <w:tr>
        <w:tc>
          <w:tcPr>
            <w:tcW w:type="dxa" w:w="2592"/>
            <w:vAlign w:val="top"/>
            <w:tcMar>
              <w:top w:w="60" w:type="dxa"/>
              <w:start w:w="60" w:type="dxa"/>
              <w:bottom w:w="60" w:type="dxa"/>
              <w:end w:w="60" w:type="dxa"/>
            </w:tcMar>
          </w:tcPr>
          <w:p>
            <w:pPr>
              <w:spacing w:after="20"/>
            </w:pPr>
            <w:r>
              <w:rPr>
                <w:sz w:val="14"/>
              </w:rPr>
              <w:t>Clinical safety board</w:t>
            </w:r>
          </w:p>
        </w:tc>
        <w:tc>
          <w:tcPr>
            <w:tcW w:type="dxa" w:w="1728"/>
            <w:vAlign w:val="top"/>
            <w:tcMar>
              <w:top w:w="60" w:type="dxa"/>
              <w:start w:w="60" w:type="dxa"/>
              <w:bottom w:w="60" w:type="dxa"/>
              <w:end w:w="60" w:type="dxa"/>
            </w:tcMar>
          </w:tcPr>
          <w:p>
            <w:pPr>
              <w:spacing w:after="20"/>
            </w:pPr>
            <w:r>
              <w:rPr>
                <w:sz w:val="14"/>
              </w:rPr>
              <w:t>Biweekly / release</w:t>
            </w:r>
          </w:p>
        </w:tc>
        <w:tc>
          <w:tcPr>
            <w:tcW w:type="dxa" w:w="6480"/>
            <w:vAlign w:val="top"/>
            <w:tcMar>
              <w:top w:w="60" w:type="dxa"/>
              <w:start w:w="60" w:type="dxa"/>
              <w:bottom w:w="60" w:type="dxa"/>
              <w:end w:w="60" w:type="dxa"/>
            </w:tcMar>
          </w:tcPr>
          <w:p>
            <w:pPr>
              <w:spacing w:after="20"/>
            </w:pPr>
            <w:r>
              <w:rPr>
                <w:sz w:val="14"/>
              </w:rPr>
              <w:t>Clinical risk, CDS/AI, specialty templates, safety incidents.</w:t>
            </w:r>
          </w:p>
        </w:tc>
      </w:tr>
      <w:tr>
        <w:tc>
          <w:tcPr>
            <w:tcW w:type="dxa" w:w="2592"/>
            <w:vAlign w:val="top"/>
            <w:tcMar>
              <w:top w:w="60" w:type="dxa"/>
              <w:start w:w="60" w:type="dxa"/>
              <w:bottom w:w="60" w:type="dxa"/>
              <w:end w:w="60" w:type="dxa"/>
            </w:tcMar>
          </w:tcPr>
          <w:p>
            <w:pPr>
              <w:spacing w:after="20"/>
            </w:pPr>
            <w:r>
              <w:rPr>
                <w:sz w:val="14"/>
              </w:rPr>
              <w:t>Architecture review</w:t>
            </w:r>
          </w:p>
        </w:tc>
        <w:tc>
          <w:tcPr>
            <w:tcW w:type="dxa" w:w="1728"/>
            <w:vAlign w:val="top"/>
            <w:tcMar>
              <w:top w:w="60" w:type="dxa"/>
              <w:start w:w="60" w:type="dxa"/>
              <w:bottom w:w="60" w:type="dxa"/>
              <w:end w:w="60" w:type="dxa"/>
            </w:tcMar>
          </w:tcPr>
          <w:p>
            <w:pPr>
              <w:spacing w:after="20"/>
            </w:pPr>
            <w:r>
              <w:rPr>
                <w:sz w:val="14"/>
              </w:rPr>
              <w:t>Weekly</w:t>
            </w:r>
          </w:p>
        </w:tc>
        <w:tc>
          <w:tcPr>
            <w:tcW w:type="dxa" w:w="6480"/>
            <w:vAlign w:val="top"/>
            <w:tcMar>
              <w:top w:w="60" w:type="dxa"/>
              <w:start w:w="60" w:type="dxa"/>
              <w:bottom w:w="60" w:type="dxa"/>
              <w:end w:w="60" w:type="dxa"/>
            </w:tcMar>
          </w:tcPr>
          <w:p>
            <w:pPr>
              <w:spacing w:after="20"/>
            </w:pPr>
            <w:r>
              <w:rPr>
                <w:sz w:val="14"/>
              </w:rPr>
              <w:t>Contracts, boundaries, data, performance, deployment and exceptions.</w:t>
            </w:r>
          </w:p>
        </w:tc>
      </w:tr>
      <w:tr>
        <w:tc>
          <w:tcPr>
            <w:tcW w:type="dxa" w:w="2592"/>
            <w:vAlign w:val="top"/>
            <w:tcMar>
              <w:top w:w="60" w:type="dxa"/>
              <w:start w:w="60" w:type="dxa"/>
              <w:bottom w:w="60" w:type="dxa"/>
              <w:end w:w="60" w:type="dxa"/>
            </w:tcMar>
          </w:tcPr>
          <w:p>
            <w:pPr>
              <w:spacing w:after="20"/>
            </w:pPr>
            <w:r>
              <w:rPr>
                <w:sz w:val="14"/>
              </w:rPr>
              <w:t>Security/privacy review</w:t>
            </w:r>
          </w:p>
        </w:tc>
        <w:tc>
          <w:tcPr>
            <w:tcW w:type="dxa" w:w="1728"/>
            <w:vAlign w:val="top"/>
            <w:tcMar>
              <w:top w:w="60" w:type="dxa"/>
              <w:start w:w="60" w:type="dxa"/>
              <w:bottom w:w="60" w:type="dxa"/>
              <w:end w:w="60" w:type="dxa"/>
            </w:tcMar>
          </w:tcPr>
          <w:p>
            <w:pPr>
              <w:spacing w:after="20"/>
            </w:pPr>
            <w:r>
              <w:rPr>
                <w:sz w:val="14"/>
              </w:rPr>
              <w:t>Biweekly / release</w:t>
            </w:r>
          </w:p>
        </w:tc>
        <w:tc>
          <w:tcPr>
            <w:tcW w:type="dxa" w:w="6480"/>
            <w:vAlign w:val="top"/>
            <w:tcMar>
              <w:top w:w="60" w:type="dxa"/>
              <w:start w:w="60" w:type="dxa"/>
              <w:bottom w:w="60" w:type="dxa"/>
              <w:end w:w="60" w:type="dxa"/>
            </w:tcMar>
          </w:tcPr>
          <w:p>
            <w:pPr>
              <w:spacing w:after="20"/>
            </w:pPr>
            <w:r>
              <w:rPr>
                <w:sz w:val="14"/>
              </w:rPr>
              <w:t>Threat model, privacy changes, vulnerabilities, high-risk integrations.</w:t>
            </w:r>
          </w:p>
        </w:tc>
      </w:tr>
      <w:tr>
        <w:tc>
          <w:tcPr>
            <w:tcW w:type="dxa" w:w="2592"/>
            <w:vAlign w:val="top"/>
            <w:tcMar>
              <w:top w:w="60" w:type="dxa"/>
              <w:start w:w="60" w:type="dxa"/>
              <w:bottom w:w="60" w:type="dxa"/>
              <w:end w:w="60" w:type="dxa"/>
            </w:tcMar>
          </w:tcPr>
          <w:p>
            <w:pPr>
              <w:spacing w:after="20"/>
            </w:pPr>
            <w:r>
              <w:rPr>
                <w:sz w:val="14"/>
              </w:rPr>
              <w:t>Change advisory / release readiness</w:t>
            </w:r>
          </w:p>
        </w:tc>
        <w:tc>
          <w:tcPr>
            <w:tcW w:type="dxa" w:w="1728"/>
            <w:vAlign w:val="top"/>
            <w:tcMar>
              <w:top w:w="60" w:type="dxa"/>
              <w:start w:w="60" w:type="dxa"/>
              <w:bottom w:w="60" w:type="dxa"/>
              <w:end w:w="60" w:type="dxa"/>
            </w:tcMar>
          </w:tcPr>
          <w:p>
            <w:pPr>
              <w:spacing w:after="20"/>
            </w:pPr>
            <w:r>
              <w:rPr>
                <w:sz w:val="14"/>
              </w:rPr>
              <w:t>Per production release</w:t>
            </w:r>
          </w:p>
        </w:tc>
        <w:tc>
          <w:tcPr>
            <w:tcW w:type="dxa" w:w="6480"/>
            <w:vAlign w:val="top"/>
            <w:tcMar>
              <w:top w:w="60" w:type="dxa"/>
              <w:start w:w="60" w:type="dxa"/>
              <w:bottom w:w="60" w:type="dxa"/>
              <w:end w:w="60" w:type="dxa"/>
            </w:tcMar>
          </w:tcPr>
          <w:p>
            <w:pPr>
              <w:spacing w:after="20"/>
            </w:pPr>
            <w:r>
              <w:rPr>
                <w:sz w:val="14"/>
              </w:rPr>
              <w:t>Migration, rollback, monitoring, support and customer communications.</w:t>
            </w:r>
          </w:p>
        </w:tc>
      </w:tr>
      <w:tr>
        <w:tc>
          <w:tcPr>
            <w:tcW w:type="dxa" w:w="2592"/>
            <w:vAlign w:val="top"/>
            <w:tcMar>
              <w:top w:w="60" w:type="dxa"/>
              <w:start w:w="60" w:type="dxa"/>
              <w:bottom w:w="60" w:type="dxa"/>
              <w:end w:w="60" w:type="dxa"/>
            </w:tcMar>
          </w:tcPr>
          <w:p>
            <w:pPr>
              <w:spacing w:after="20"/>
            </w:pPr>
            <w:r>
              <w:rPr>
                <w:sz w:val="14"/>
              </w:rPr>
              <w:t>Model governance</w:t>
            </w:r>
          </w:p>
        </w:tc>
        <w:tc>
          <w:tcPr>
            <w:tcW w:type="dxa" w:w="1728"/>
            <w:vAlign w:val="top"/>
            <w:tcMar>
              <w:top w:w="60" w:type="dxa"/>
              <w:start w:w="60" w:type="dxa"/>
              <w:bottom w:w="60" w:type="dxa"/>
              <w:end w:w="60" w:type="dxa"/>
            </w:tcMar>
          </w:tcPr>
          <w:p>
            <w:pPr>
              <w:spacing w:after="20"/>
            </w:pPr>
            <w:r>
              <w:rPr>
                <w:sz w:val="14"/>
              </w:rPr>
              <w:t>Per model version</w:t>
            </w:r>
          </w:p>
        </w:tc>
        <w:tc>
          <w:tcPr>
            <w:tcW w:type="dxa" w:w="6480"/>
            <w:vAlign w:val="top"/>
            <w:tcMar>
              <w:top w:w="60" w:type="dxa"/>
              <w:start w:w="60" w:type="dxa"/>
              <w:bottom w:w="60" w:type="dxa"/>
              <w:end w:w="60" w:type="dxa"/>
            </w:tcMar>
          </w:tcPr>
          <w:p>
            <w:pPr>
              <w:spacing w:after="20"/>
            </w:pPr>
            <w:r>
              <w:rPr>
                <w:sz w:val="14"/>
              </w:rPr>
              <w:t>Intended use, validation, bias, drift, human oversight and rollback.</w:t>
            </w:r>
          </w:p>
        </w:tc>
      </w:tr>
    </w:tbl>
    <w:p>
      <w:pPr>
        <w:spacing w:after="20"/>
      </w:pPr>
    </w:p>
    <w:p>
      <w:pPr>
        <w:pStyle w:val="Heading1"/>
      </w:pPr>
      <w:r>
        <w:t>28. Infrastructure and Deployment Topology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D9EAF7"/>
            <w:vAlign w:val="center"/>
            <w:tcMar>
              <w:top w:w="60" w:type="dxa"/>
              <w:start w:w="60" w:type="dxa"/>
              <w:bottom w:w="60" w:type="dxa"/>
              <w:end w:w="60" w:type="dxa"/>
            </w:tcMar>
          </w:tcPr>
          <w:p>
            <w:r>
              <w:rPr>
                <w:b/>
                <w:sz w:val="14"/>
              </w:rPr>
              <w:t>Profile</w:t>
            </w:r>
          </w:p>
        </w:tc>
        <w:tc>
          <w:tcPr>
            <w:tcW w:type="dxa" w:w="8496"/>
            <w:shd w:fill="D9EAF7"/>
            <w:vAlign w:val="center"/>
            <w:tcMar>
              <w:top w:w="60" w:type="dxa"/>
              <w:start w:w="60" w:type="dxa"/>
              <w:bottom w:w="60" w:type="dxa"/>
              <w:end w:w="60" w:type="dxa"/>
            </w:tcMar>
          </w:tcPr>
          <w:p>
            <w:r>
              <w:rPr>
                <w:b/>
                <w:sz w:val="14"/>
              </w:rPr>
              <w:t>Description</w:t>
            </w:r>
          </w:p>
        </w:tc>
      </w:tr>
      <w:tr>
        <w:tc>
          <w:tcPr>
            <w:tcW w:type="dxa" w:w="2304"/>
            <w:vAlign w:val="top"/>
            <w:tcMar>
              <w:top w:w="60" w:type="dxa"/>
              <w:start w:w="60" w:type="dxa"/>
              <w:bottom w:w="60" w:type="dxa"/>
              <w:end w:w="60" w:type="dxa"/>
            </w:tcMar>
          </w:tcPr>
          <w:p>
            <w:pPr>
              <w:spacing w:after="20"/>
            </w:pPr>
            <w:r>
              <w:rPr>
                <w:sz w:val="14"/>
              </w:rPr>
              <w:t>Shared SaaS</w:t>
            </w:r>
          </w:p>
        </w:tc>
        <w:tc>
          <w:tcPr>
            <w:tcW w:type="dxa" w:w="8496"/>
            <w:vAlign w:val="top"/>
            <w:tcMar>
              <w:top w:w="60" w:type="dxa"/>
              <w:start w:w="60" w:type="dxa"/>
              <w:bottom w:w="60" w:type="dxa"/>
              <w:end w:w="60" w:type="dxa"/>
            </w:tcMar>
          </w:tcPr>
          <w:p>
            <w:pPr>
              <w:spacing w:after="20"/>
            </w:pPr>
            <w:r>
              <w:rPr>
                <w:sz w:val="14"/>
              </w:rPr>
              <w:t>Logically isolated tenants; pooled compute with strict tenant boundaries; suitable for clinics/smaller hospitals and network participants.</w:t>
            </w:r>
          </w:p>
        </w:tc>
      </w:tr>
      <w:tr>
        <w:tc>
          <w:tcPr>
            <w:tcW w:type="dxa" w:w="2304"/>
            <w:vAlign w:val="top"/>
            <w:tcMar>
              <w:top w:w="60" w:type="dxa"/>
              <w:start w:w="60" w:type="dxa"/>
              <w:bottom w:w="60" w:type="dxa"/>
              <w:end w:w="60" w:type="dxa"/>
            </w:tcMar>
          </w:tcPr>
          <w:p>
            <w:pPr>
              <w:spacing w:after="20"/>
            </w:pPr>
            <w:r>
              <w:rPr>
                <w:sz w:val="14"/>
              </w:rPr>
              <w:t>Dedicated tenant</w:t>
            </w:r>
          </w:p>
        </w:tc>
        <w:tc>
          <w:tcPr>
            <w:tcW w:type="dxa" w:w="8496"/>
            <w:vAlign w:val="top"/>
            <w:tcMar>
              <w:top w:w="60" w:type="dxa"/>
              <w:start w:w="60" w:type="dxa"/>
              <w:bottom w:w="60" w:type="dxa"/>
              <w:end w:w="60" w:type="dxa"/>
            </w:tcMar>
          </w:tcPr>
          <w:p>
            <w:pPr>
              <w:spacing w:after="20"/>
            </w:pPr>
            <w:r>
              <w:rPr>
                <w:sz w:val="14"/>
              </w:rPr>
              <w:t>Dedicated DB/schema/compute choices for larger groups; isolated encryption keys and integration plane.</w:t>
            </w:r>
          </w:p>
        </w:tc>
      </w:tr>
      <w:tr>
        <w:tc>
          <w:tcPr>
            <w:tcW w:type="dxa" w:w="2304"/>
            <w:vAlign w:val="top"/>
            <w:tcMar>
              <w:top w:w="60" w:type="dxa"/>
              <w:start w:w="60" w:type="dxa"/>
              <w:bottom w:w="60" w:type="dxa"/>
              <w:end w:w="60" w:type="dxa"/>
            </w:tcMar>
          </w:tcPr>
          <w:p>
            <w:pPr>
              <w:spacing w:after="20"/>
            </w:pPr>
            <w:r>
              <w:rPr>
                <w:sz w:val="14"/>
              </w:rPr>
              <w:t>Private cloud</w:t>
            </w:r>
          </w:p>
        </w:tc>
        <w:tc>
          <w:tcPr>
            <w:tcW w:type="dxa" w:w="8496"/>
            <w:vAlign w:val="top"/>
            <w:tcMar>
              <w:top w:w="60" w:type="dxa"/>
              <w:start w:w="60" w:type="dxa"/>
              <w:bottom w:w="60" w:type="dxa"/>
              <w:end w:w="60" w:type="dxa"/>
            </w:tcMar>
          </w:tcPr>
          <w:p>
            <w:pPr>
              <w:spacing w:after="20"/>
            </w:pPr>
            <w:r>
              <w:rPr>
                <w:sz w:val="14"/>
              </w:rPr>
              <w:t>Customer cloud account/VPC with managed application operations; enterprise connectivity and key-management options.</w:t>
            </w:r>
          </w:p>
        </w:tc>
      </w:tr>
      <w:tr>
        <w:tc>
          <w:tcPr>
            <w:tcW w:type="dxa" w:w="2304"/>
            <w:vAlign w:val="top"/>
            <w:tcMar>
              <w:top w:w="60" w:type="dxa"/>
              <w:start w:w="60" w:type="dxa"/>
              <w:bottom w:w="60" w:type="dxa"/>
              <w:end w:w="60" w:type="dxa"/>
            </w:tcMar>
          </w:tcPr>
          <w:p>
            <w:pPr>
              <w:spacing w:after="20"/>
            </w:pPr>
            <w:r>
              <w:rPr>
                <w:sz w:val="14"/>
              </w:rPr>
              <w:t>On-prem / hybrid</w:t>
            </w:r>
          </w:p>
        </w:tc>
        <w:tc>
          <w:tcPr>
            <w:tcW w:type="dxa" w:w="8496"/>
            <w:vAlign w:val="top"/>
            <w:tcMar>
              <w:top w:w="60" w:type="dxa"/>
              <w:start w:w="60" w:type="dxa"/>
              <w:bottom w:w="60" w:type="dxa"/>
              <w:end w:w="60" w:type="dxa"/>
            </w:tcMar>
          </w:tcPr>
          <w:p>
            <w:pPr>
              <w:spacing w:after="20"/>
            </w:pPr>
            <w:r>
              <w:rPr>
                <w:sz w:val="14"/>
              </w:rPr>
              <w:t>Local edge/application components for specific hospital requirements; cloud control/update plane optional; explicit support matrix.</w:t>
            </w:r>
          </w:p>
        </w:tc>
      </w:tr>
      <w:tr>
        <w:tc>
          <w:tcPr>
            <w:tcW w:type="dxa" w:w="2304"/>
            <w:vAlign w:val="top"/>
            <w:tcMar>
              <w:top w:w="60" w:type="dxa"/>
              <w:start w:w="60" w:type="dxa"/>
              <w:bottom w:w="60" w:type="dxa"/>
              <w:end w:w="60" w:type="dxa"/>
            </w:tcMar>
          </w:tcPr>
          <w:p>
            <w:pPr>
              <w:spacing w:after="20"/>
            </w:pPr>
            <w:r>
              <w:rPr>
                <w:sz w:val="14"/>
              </w:rPr>
              <w:t>Hospital edge</w:t>
            </w:r>
          </w:p>
        </w:tc>
        <w:tc>
          <w:tcPr>
            <w:tcW w:type="dxa" w:w="8496"/>
            <w:vAlign w:val="top"/>
            <w:tcMar>
              <w:top w:w="60" w:type="dxa"/>
              <w:start w:w="60" w:type="dxa"/>
              <w:bottom w:w="60" w:type="dxa"/>
              <w:end w:w="60" w:type="dxa"/>
            </w:tcMar>
          </w:tcPr>
          <w:p>
            <w:pPr>
              <w:spacing w:after="20"/>
            </w:pPr>
            <w:r>
              <w:rPr>
                <w:sz w:val="14"/>
              </w:rPr>
              <w:t>Device/interface/SCADA gateway, local queues/cache, printer/label services and selected downtime workflows.</w:t>
            </w:r>
          </w:p>
        </w:tc>
      </w:tr>
      <w:tr>
        <w:tc>
          <w:tcPr>
            <w:tcW w:type="dxa" w:w="2304"/>
            <w:vAlign w:val="top"/>
            <w:tcMar>
              <w:top w:w="60" w:type="dxa"/>
              <w:start w:w="60" w:type="dxa"/>
              <w:bottom w:w="60" w:type="dxa"/>
              <w:end w:w="60" w:type="dxa"/>
            </w:tcMar>
          </w:tcPr>
          <w:p>
            <w:pPr>
              <w:spacing w:after="20"/>
            </w:pPr>
            <w:r>
              <w:rPr>
                <w:sz w:val="14"/>
              </w:rPr>
              <w:t>DR region/site</w:t>
            </w:r>
          </w:p>
        </w:tc>
        <w:tc>
          <w:tcPr>
            <w:tcW w:type="dxa" w:w="8496"/>
            <w:vAlign w:val="top"/>
            <w:tcMar>
              <w:top w:w="60" w:type="dxa"/>
              <w:start w:w="60" w:type="dxa"/>
              <w:bottom w:w="60" w:type="dxa"/>
              <w:end w:w="60" w:type="dxa"/>
            </w:tcMar>
          </w:tcPr>
          <w:p>
            <w:pPr>
              <w:spacing w:after="20"/>
            </w:pPr>
            <w:r>
              <w:rPr>
                <w:sz w:val="14"/>
              </w:rPr>
              <w:t>Encrypted replicated data/backups based on contracted RPO/RTO; regular restore/failover tests.</w:t>
            </w:r>
          </w:p>
        </w:tc>
      </w:tr>
    </w:tbl>
    <w:p>
      <w:pPr>
        <w:spacing w:after="20"/>
      </w:pPr>
    </w:p>
    <w:p>
      <w:pPr>
        <w:pStyle w:val="Heading2"/>
      </w:pPr>
      <w:r>
        <w:t>28.1 Indicative Production Environments</w:t>
      </w:r>
    </w:p>
    <w:p>
      <w:pPr>
        <w:pStyle w:val="ListBullet"/>
        <w:spacing w:after="30"/>
      </w:pPr>
      <w:r>
        <w:t>Separate dev, integration, QA, performance, UAT, pre-production and production environments; sensitive production data never copied casually into lower environments.</w:t>
      </w:r>
    </w:p>
    <w:p>
      <w:pPr>
        <w:pStyle w:val="ListBullet"/>
        <w:spacing w:after="30"/>
      </w:pPr>
      <w:r>
        <w:t>Per-tenant configuration promotion process and synthetic/reference test data packs.</w:t>
      </w:r>
    </w:p>
    <w:p>
      <w:pPr>
        <w:pStyle w:val="ListBullet"/>
        <w:spacing w:after="30"/>
      </w:pPr>
      <w:r>
        <w:t>Blue/green or canary rollout for high-risk services; database expand/contract migrations.</w:t>
      </w:r>
    </w:p>
    <w:p>
      <w:pPr>
        <w:pStyle w:val="ListBullet"/>
        <w:spacing w:after="30"/>
      </w:pPr>
      <w:r>
        <w:t>Autoscaling based on RPC latency, queue lag, CPU/memory and workload-specific metrics, not CPU alone.</w:t>
      </w:r>
    </w:p>
    <w:p>
      <w:pPr>
        <w:pStyle w:val="Heading1"/>
      </w:pPr>
      <w:r>
        <w:t>29. Data Migration and Hospital Onboarding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D9EAF7"/>
            <w:vAlign w:val="center"/>
            <w:tcMar>
              <w:top w:w="60" w:type="dxa"/>
              <w:start w:w="60" w:type="dxa"/>
              <w:bottom w:w="60" w:type="dxa"/>
              <w:end w:w="60" w:type="dxa"/>
            </w:tcMar>
          </w:tcPr>
          <w:p>
            <w:r>
              <w:rPr>
                <w:b/>
                <w:sz w:val="14"/>
              </w:rPr>
              <w:t>Stage</w:t>
            </w:r>
          </w:p>
        </w:tc>
        <w:tc>
          <w:tcPr>
            <w:tcW w:type="dxa" w:w="8784"/>
            <w:shd w:fill="D9EAF7"/>
            <w:vAlign w:val="center"/>
            <w:tcMar>
              <w:top w:w="60" w:type="dxa"/>
              <w:start w:w="60" w:type="dxa"/>
              <w:bottom w:w="60" w:type="dxa"/>
              <w:end w:w="60" w:type="dxa"/>
            </w:tcMar>
          </w:tcPr>
          <w:p>
            <w:r>
              <w:rPr>
                <w:b/>
                <w:sz w:val="14"/>
              </w:rPr>
              <w:t>Requirements</w:t>
            </w:r>
          </w:p>
        </w:tc>
      </w:tr>
      <w:tr>
        <w:tc>
          <w:tcPr>
            <w:tcW w:type="dxa" w:w="2016"/>
            <w:vAlign w:val="top"/>
            <w:tcMar>
              <w:top w:w="60" w:type="dxa"/>
              <w:start w:w="60" w:type="dxa"/>
              <w:bottom w:w="60" w:type="dxa"/>
              <w:end w:w="60" w:type="dxa"/>
            </w:tcMar>
          </w:tcPr>
          <w:p>
            <w:pPr>
              <w:spacing w:after="20"/>
            </w:pPr>
            <w:r>
              <w:rPr>
                <w:sz w:val="14"/>
              </w:rPr>
              <w:t>Discovery</w:t>
            </w:r>
          </w:p>
        </w:tc>
        <w:tc>
          <w:tcPr>
            <w:tcW w:type="dxa" w:w="8784"/>
            <w:vAlign w:val="top"/>
            <w:tcMar>
              <w:top w:w="60" w:type="dxa"/>
              <w:start w:w="60" w:type="dxa"/>
              <w:bottom w:w="60" w:type="dxa"/>
              <w:end w:w="60" w:type="dxa"/>
            </w:tcMar>
          </w:tcPr>
          <w:p>
            <w:pPr>
              <w:spacing w:after="20"/>
            </w:pPr>
            <w:r>
              <w:rPr>
                <w:sz w:val="14"/>
              </w:rPr>
              <w:t>Inventory legacy HIS/EMR/LIS/PACS/pharmacy/payroll/ERP/interfaces; identify source owners and data quality.</w:t>
            </w:r>
          </w:p>
        </w:tc>
      </w:tr>
      <w:tr>
        <w:tc>
          <w:tcPr>
            <w:tcW w:type="dxa" w:w="2016"/>
            <w:vAlign w:val="top"/>
            <w:tcMar>
              <w:top w:w="60" w:type="dxa"/>
              <w:start w:w="60" w:type="dxa"/>
              <w:bottom w:w="60" w:type="dxa"/>
              <w:end w:w="60" w:type="dxa"/>
            </w:tcMar>
          </w:tcPr>
          <w:p>
            <w:pPr>
              <w:spacing w:after="20"/>
            </w:pPr>
            <w:r>
              <w:rPr>
                <w:sz w:val="14"/>
              </w:rPr>
              <w:t>Mapping</w:t>
            </w:r>
          </w:p>
        </w:tc>
        <w:tc>
          <w:tcPr>
            <w:tcW w:type="dxa" w:w="8784"/>
            <w:vAlign w:val="top"/>
            <w:tcMar>
              <w:top w:w="60" w:type="dxa"/>
              <w:start w:w="60" w:type="dxa"/>
              <w:bottom w:w="60" w:type="dxa"/>
              <w:end w:w="60" w:type="dxa"/>
            </w:tcMar>
          </w:tcPr>
          <w:p>
            <w:pPr>
              <w:spacing w:after="20"/>
            </w:pPr>
            <w:r>
              <w:rPr>
                <w:sz w:val="14"/>
              </w:rPr>
              <w:t>Patient/MRN, provider, service, tariff, drug, test, payer, inventory, employee and financial mapping.</w:t>
            </w:r>
          </w:p>
        </w:tc>
      </w:tr>
      <w:tr>
        <w:tc>
          <w:tcPr>
            <w:tcW w:type="dxa" w:w="2016"/>
            <w:vAlign w:val="top"/>
            <w:tcMar>
              <w:top w:w="60" w:type="dxa"/>
              <w:start w:w="60" w:type="dxa"/>
              <w:bottom w:w="60" w:type="dxa"/>
              <w:end w:w="60" w:type="dxa"/>
            </w:tcMar>
          </w:tcPr>
          <w:p>
            <w:pPr>
              <w:spacing w:after="20"/>
            </w:pPr>
            <w:r>
              <w:rPr>
                <w:sz w:val="14"/>
              </w:rPr>
              <w:t>Cleansing</w:t>
            </w:r>
          </w:p>
        </w:tc>
        <w:tc>
          <w:tcPr>
            <w:tcW w:type="dxa" w:w="8784"/>
            <w:vAlign w:val="top"/>
            <w:tcMar>
              <w:top w:w="60" w:type="dxa"/>
              <w:start w:w="60" w:type="dxa"/>
              <w:bottom w:w="60" w:type="dxa"/>
              <w:end w:w="60" w:type="dxa"/>
            </w:tcMar>
          </w:tcPr>
          <w:p>
            <w:pPr>
              <w:spacing w:after="20"/>
            </w:pPr>
            <w:r>
              <w:rPr>
                <w:sz w:val="14"/>
              </w:rPr>
              <w:t>Duplicates, invalid codes, inactive masters, date/unit normalization, patient matching.</w:t>
            </w:r>
          </w:p>
        </w:tc>
      </w:tr>
      <w:tr>
        <w:tc>
          <w:tcPr>
            <w:tcW w:type="dxa" w:w="2016"/>
            <w:vAlign w:val="top"/>
            <w:tcMar>
              <w:top w:w="60" w:type="dxa"/>
              <w:start w:w="60" w:type="dxa"/>
              <w:bottom w:w="60" w:type="dxa"/>
              <w:end w:w="60" w:type="dxa"/>
            </w:tcMar>
          </w:tcPr>
          <w:p>
            <w:pPr>
              <w:spacing w:after="20"/>
            </w:pPr>
            <w:r>
              <w:rPr>
                <w:sz w:val="14"/>
              </w:rPr>
              <w:t>Trial migrations</w:t>
            </w:r>
          </w:p>
        </w:tc>
        <w:tc>
          <w:tcPr>
            <w:tcW w:type="dxa" w:w="8784"/>
            <w:vAlign w:val="top"/>
            <w:tcMar>
              <w:top w:w="60" w:type="dxa"/>
              <w:start w:w="60" w:type="dxa"/>
              <w:bottom w:w="60" w:type="dxa"/>
              <w:end w:w="60" w:type="dxa"/>
            </w:tcMar>
          </w:tcPr>
          <w:p>
            <w:pPr>
              <w:spacing w:after="20"/>
            </w:pPr>
            <w:r>
              <w:rPr>
                <w:sz w:val="14"/>
              </w:rPr>
              <w:t>Repeatable ETL with reconciliation reports and business sign-off.</w:t>
            </w:r>
          </w:p>
        </w:tc>
      </w:tr>
      <w:tr>
        <w:tc>
          <w:tcPr>
            <w:tcW w:type="dxa" w:w="2016"/>
            <w:vAlign w:val="top"/>
            <w:tcMar>
              <w:top w:w="60" w:type="dxa"/>
              <w:start w:w="60" w:type="dxa"/>
              <w:bottom w:w="60" w:type="dxa"/>
              <w:end w:w="60" w:type="dxa"/>
            </w:tcMar>
          </w:tcPr>
          <w:p>
            <w:pPr>
              <w:spacing w:after="20"/>
            </w:pPr>
            <w:r>
              <w:rPr>
                <w:sz w:val="14"/>
              </w:rPr>
              <w:t>Cutover</w:t>
            </w:r>
          </w:p>
        </w:tc>
        <w:tc>
          <w:tcPr>
            <w:tcW w:type="dxa" w:w="8784"/>
            <w:vAlign w:val="top"/>
            <w:tcMar>
              <w:top w:w="60" w:type="dxa"/>
              <w:start w:w="60" w:type="dxa"/>
              <w:bottom w:w="60" w:type="dxa"/>
              <w:end w:w="60" w:type="dxa"/>
            </w:tcMar>
          </w:tcPr>
          <w:p>
            <w:pPr>
              <w:spacing w:after="20"/>
            </w:pPr>
            <w:r>
              <w:rPr>
                <w:sz w:val="14"/>
              </w:rPr>
              <w:t>Freeze window, delta load, inventory/AR/appointments/open admissions/claims reconciliation.</w:t>
            </w:r>
          </w:p>
        </w:tc>
      </w:tr>
      <w:tr>
        <w:tc>
          <w:tcPr>
            <w:tcW w:type="dxa" w:w="2016"/>
            <w:vAlign w:val="top"/>
            <w:tcMar>
              <w:top w:w="60" w:type="dxa"/>
              <w:start w:w="60" w:type="dxa"/>
              <w:bottom w:w="60" w:type="dxa"/>
              <w:end w:w="60" w:type="dxa"/>
            </w:tcMar>
          </w:tcPr>
          <w:p>
            <w:pPr>
              <w:spacing w:after="20"/>
            </w:pPr>
            <w:r>
              <w:rPr>
                <w:sz w:val="14"/>
              </w:rPr>
              <w:t>Validation</w:t>
            </w:r>
          </w:p>
        </w:tc>
        <w:tc>
          <w:tcPr>
            <w:tcW w:type="dxa" w:w="8784"/>
            <w:vAlign w:val="top"/>
            <w:tcMar>
              <w:top w:w="60" w:type="dxa"/>
              <w:start w:w="60" w:type="dxa"/>
              <w:bottom w:w="60" w:type="dxa"/>
              <w:end w:w="60" w:type="dxa"/>
            </w:tcMar>
          </w:tcPr>
          <w:p>
            <w:pPr>
              <w:spacing w:after="20"/>
            </w:pPr>
            <w:r>
              <w:rPr>
                <w:sz w:val="14"/>
              </w:rPr>
              <w:t>Counts, totals, samples, clinical record spot checks, imaging/report linkage and signed acceptance.</w:t>
            </w:r>
          </w:p>
        </w:tc>
      </w:tr>
      <w:tr>
        <w:tc>
          <w:tcPr>
            <w:tcW w:type="dxa" w:w="2016"/>
            <w:vAlign w:val="top"/>
            <w:tcMar>
              <w:top w:w="60" w:type="dxa"/>
              <w:start w:w="60" w:type="dxa"/>
              <w:bottom w:w="60" w:type="dxa"/>
              <w:end w:w="60" w:type="dxa"/>
            </w:tcMar>
          </w:tcPr>
          <w:p>
            <w:pPr>
              <w:spacing w:after="20"/>
            </w:pPr>
            <w:r>
              <w:rPr>
                <w:sz w:val="14"/>
              </w:rPr>
              <w:t>Legacy access</w:t>
            </w:r>
          </w:p>
        </w:tc>
        <w:tc>
          <w:tcPr>
            <w:tcW w:type="dxa" w:w="8784"/>
            <w:vAlign w:val="top"/>
            <w:tcMar>
              <w:top w:w="60" w:type="dxa"/>
              <w:start w:w="60" w:type="dxa"/>
              <w:bottom w:w="60" w:type="dxa"/>
              <w:end w:w="60" w:type="dxa"/>
            </w:tcMar>
          </w:tcPr>
          <w:p>
            <w:pPr>
              <w:spacing w:after="20"/>
            </w:pPr>
            <w:r>
              <w:rPr>
                <w:sz w:val="14"/>
              </w:rPr>
              <w:t>Defined read-only archive or historical import strategy; retention and access policy.</w:t>
            </w:r>
          </w:p>
        </w:tc>
      </w:tr>
      <w:tr>
        <w:tc>
          <w:tcPr>
            <w:tcW w:type="dxa" w:w="2016"/>
            <w:vAlign w:val="top"/>
            <w:tcMar>
              <w:top w:w="60" w:type="dxa"/>
              <w:start w:w="60" w:type="dxa"/>
              <w:bottom w:w="60" w:type="dxa"/>
              <w:end w:w="60" w:type="dxa"/>
            </w:tcMar>
          </w:tcPr>
          <w:p>
            <w:pPr>
              <w:spacing w:after="20"/>
            </w:pPr>
            <w:r>
              <w:rPr>
                <w:sz w:val="14"/>
              </w:rPr>
              <w:t>Training</w:t>
            </w:r>
          </w:p>
        </w:tc>
        <w:tc>
          <w:tcPr>
            <w:tcW w:type="dxa" w:w="8784"/>
            <w:vAlign w:val="top"/>
            <w:tcMar>
              <w:top w:w="60" w:type="dxa"/>
              <w:start w:w="60" w:type="dxa"/>
              <w:bottom w:w="60" w:type="dxa"/>
              <w:end w:w="60" w:type="dxa"/>
            </w:tcMar>
          </w:tcPr>
          <w:p>
            <w:pPr>
              <w:spacing w:after="20"/>
            </w:pPr>
            <w:r>
              <w:rPr>
                <w:sz w:val="14"/>
              </w:rPr>
              <w:t>Role curricula, super-users, simulation environment, competency checks and floor support.</w:t>
            </w:r>
          </w:p>
        </w:tc>
      </w:tr>
    </w:tbl>
    <w:p>
      <w:pPr>
        <w:spacing w:after="20"/>
      </w:pPr>
    </w:p>
    <w:p>
      <w:pPr>
        <w:pStyle w:val="Heading1"/>
      </w:pPr>
      <w:r>
        <w:t>30. Testing and Acceptance Strategy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9EAF7"/>
            <w:vAlign w:val="center"/>
            <w:tcMar>
              <w:top w:w="60" w:type="dxa"/>
              <w:start w:w="60" w:type="dxa"/>
              <w:bottom w:w="60" w:type="dxa"/>
              <w:end w:w="60" w:type="dxa"/>
            </w:tcMar>
          </w:tcPr>
          <w:p>
            <w:r>
              <w:rPr>
                <w:b/>
                <w:sz w:val="14"/>
              </w:rPr>
              <w:t>Test layer</w:t>
            </w:r>
          </w:p>
        </w:tc>
        <w:tc>
          <w:tcPr>
            <w:tcW w:type="dxa" w:w="8568"/>
            <w:shd w:fill="D9EAF7"/>
            <w:vAlign w:val="center"/>
            <w:tcMar>
              <w:top w:w="60" w:type="dxa"/>
              <w:start w:w="60" w:type="dxa"/>
              <w:bottom w:w="60" w:type="dxa"/>
              <w:end w:w="60" w:type="dxa"/>
            </w:tcMar>
          </w:tcPr>
          <w:p>
            <w:r>
              <w:rPr>
                <w:b/>
                <w:sz w:val="14"/>
              </w:rPr>
              <w:t>Acceptance focus</w:t>
            </w:r>
          </w:p>
        </w:tc>
      </w:tr>
      <w:tr>
        <w:tc>
          <w:tcPr>
            <w:tcW w:type="dxa" w:w="2232"/>
            <w:vAlign w:val="top"/>
            <w:tcMar>
              <w:top w:w="60" w:type="dxa"/>
              <w:start w:w="60" w:type="dxa"/>
              <w:bottom w:w="60" w:type="dxa"/>
              <w:end w:w="60" w:type="dxa"/>
            </w:tcMar>
          </w:tcPr>
          <w:p>
            <w:pPr>
              <w:spacing w:after="20"/>
            </w:pPr>
            <w:r>
              <w:rPr>
                <w:sz w:val="14"/>
              </w:rPr>
              <w:t>Unit/domain</w:t>
            </w:r>
          </w:p>
        </w:tc>
        <w:tc>
          <w:tcPr>
            <w:tcW w:type="dxa" w:w="8568"/>
            <w:vAlign w:val="top"/>
            <w:tcMar>
              <w:top w:w="60" w:type="dxa"/>
              <w:start w:w="60" w:type="dxa"/>
              <w:bottom w:w="60" w:type="dxa"/>
              <w:end w:w="60" w:type="dxa"/>
            </w:tcMar>
          </w:tcPr>
          <w:p>
            <w:pPr>
              <w:spacing w:after="20"/>
            </w:pPr>
            <w:r>
              <w:rPr>
                <w:sz w:val="14"/>
              </w:rPr>
              <w:t>Policies, calculations, value objects, state transitions and failure cases.</w:t>
            </w:r>
          </w:p>
        </w:tc>
      </w:tr>
      <w:tr>
        <w:tc>
          <w:tcPr>
            <w:tcW w:type="dxa" w:w="2232"/>
            <w:vAlign w:val="top"/>
            <w:tcMar>
              <w:top w:w="60" w:type="dxa"/>
              <w:start w:w="60" w:type="dxa"/>
              <w:bottom w:w="60" w:type="dxa"/>
              <w:end w:w="60" w:type="dxa"/>
            </w:tcMar>
          </w:tcPr>
          <w:p>
            <w:pPr>
              <w:spacing w:after="20"/>
            </w:pPr>
            <w:r>
              <w:rPr>
                <w:sz w:val="14"/>
              </w:rPr>
              <w:t>Repository</w:t>
            </w:r>
          </w:p>
        </w:tc>
        <w:tc>
          <w:tcPr>
            <w:tcW w:type="dxa" w:w="8568"/>
            <w:vAlign w:val="top"/>
            <w:tcMar>
              <w:top w:w="60" w:type="dxa"/>
              <w:start w:w="60" w:type="dxa"/>
              <w:bottom w:w="60" w:type="dxa"/>
              <w:end w:w="60" w:type="dxa"/>
            </w:tcMar>
          </w:tcPr>
          <w:p>
            <w:pPr>
              <w:spacing w:after="20"/>
            </w:pPr>
            <w:r>
              <w:rPr>
                <w:sz w:val="14"/>
              </w:rPr>
              <w:t>Real PostgreSQL integration tests for sqlc queries, transactions, locking and migrations.</w:t>
            </w:r>
          </w:p>
        </w:tc>
      </w:tr>
      <w:tr>
        <w:tc>
          <w:tcPr>
            <w:tcW w:type="dxa" w:w="2232"/>
            <w:vAlign w:val="top"/>
            <w:tcMar>
              <w:top w:w="60" w:type="dxa"/>
              <w:start w:w="60" w:type="dxa"/>
              <w:bottom w:w="60" w:type="dxa"/>
              <w:end w:w="60" w:type="dxa"/>
            </w:tcMar>
          </w:tcPr>
          <w:p>
            <w:pPr>
              <w:spacing w:after="20"/>
            </w:pPr>
            <w:r>
              <w:rPr>
                <w:sz w:val="14"/>
              </w:rPr>
              <w:t>Contract</w:t>
            </w:r>
          </w:p>
        </w:tc>
        <w:tc>
          <w:tcPr>
            <w:tcW w:type="dxa" w:w="8568"/>
            <w:vAlign w:val="top"/>
            <w:tcMar>
              <w:top w:w="60" w:type="dxa"/>
              <w:start w:w="60" w:type="dxa"/>
              <w:bottom w:w="60" w:type="dxa"/>
              <w:end w:w="60" w:type="dxa"/>
            </w:tcMar>
          </w:tcPr>
          <w:p>
            <w:pPr>
              <w:spacing w:after="20"/>
            </w:pPr>
            <w:r>
              <w:rPr>
                <w:sz w:val="14"/>
              </w:rPr>
              <w:t>Protobuf/API backward compatibility, auth/error semantics and external adapter conformance.</w:t>
            </w:r>
          </w:p>
        </w:tc>
      </w:tr>
      <w:tr>
        <w:tc>
          <w:tcPr>
            <w:tcW w:type="dxa" w:w="2232"/>
            <w:vAlign w:val="top"/>
            <w:tcMar>
              <w:top w:w="60" w:type="dxa"/>
              <w:start w:w="60" w:type="dxa"/>
              <w:bottom w:w="60" w:type="dxa"/>
              <w:end w:w="60" w:type="dxa"/>
            </w:tcMar>
          </w:tcPr>
          <w:p>
            <w:pPr>
              <w:spacing w:after="20"/>
            </w:pPr>
            <w:r>
              <w:rPr>
                <w:sz w:val="14"/>
              </w:rPr>
              <w:t>Workflow</w:t>
            </w:r>
          </w:p>
        </w:tc>
        <w:tc>
          <w:tcPr>
            <w:tcW w:type="dxa" w:w="8568"/>
            <w:vAlign w:val="top"/>
            <w:tcMar>
              <w:top w:w="60" w:type="dxa"/>
              <w:start w:w="60" w:type="dxa"/>
              <w:bottom w:w="60" w:type="dxa"/>
              <w:end w:w="60" w:type="dxa"/>
            </w:tcMar>
          </w:tcPr>
          <w:p>
            <w:pPr>
              <w:spacing w:after="20"/>
            </w:pPr>
            <w:r>
              <w:rPr>
                <w:sz w:val="14"/>
              </w:rPr>
              <w:t>Happy path, timeout, duplicate, cancellation, compensation, replay and human-exception paths.</w:t>
            </w:r>
          </w:p>
        </w:tc>
      </w:tr>
      <w:tr>
        <w:tc>
          <w:tcPr>
            <w:tcW w:type="dxa" w:w="2232"/>
            <w:vAlign w:val="top"/>
            <w:tcMar>
              <w:top w:w="60" w:type="dxa"/>
              <w:start w:w="60" w:type="dxa"/>
              <w:bottom w:w="60" w:type="dxa"/>
              <w:end w:w="60" w:type="dxa"/>
            </w:tcMar>
          </w:tcPr>
          <w:p>
            <w:pPr>
              <w:spacing w:after="20"/>
            </w:pPr>
            <w:r>
              <w:rPr>
                <w:sz w:val="14"/>
              </w:rPr>
              <w:t>Clinical safety</w:t>
            </w:r>
          </w:p>
        </w:tc>
        <w:tc>
          <w:tcPr>
            <w:tcW w:type="dxa" w:w="8568"/>
            <w:vAlign w:val="top"/>
            <w:tcMar>
              <w:top w:w="60" w:type="dxa"/>
              <w:start w:w="60" w:type="dxa"/>
              <w:bottom w:w="60" w:type="dxa"/>
              <w:end w:w="60" w:type="dxa"/>
            </w:tcMar>
          </w:tcPr>
          <w:p>
            <w:pPr>
              <w:spacing w:after="20"/>
            </w:pPr>
            <w:r>
              <w:rPr>
                <w:sz w:val="14"/>
              </w:rPr>
              <w:t>Medication, allergy, critical results, patient identity, specimen, blood, specialty calculators and override audit.</w:t>
            </w:r>
          </w:p>
        </w:tc>
      </w:tr>
      <w:tr>
        <w:tc>
          <w:tcPr>
            <w:tcW w:type="dxa" w:w="2232"/>
            <w:vAlign w:val="top"/>
            <w:tcMar>
              <w:top w:w="60" w:type="dxa"/>
              <w:start w:w="60" w:type="dxa"/>
              <w:bottom w:w="60" w:type="dxa"/>
              <w:end w:w="60" w:type="dxa"/>
            </w:tcMar>
          </w:tcPr>
          <w:p>
            <w:pPr>
              <w:spacing w:after="20"/>
            </w:pPr>
            <w:r>
              <w:rPr>
                <w:sz w:val="14"/>
              </w:rPr>
              <w:t>Performance</w:t>
            </w:r>
          </w:p>
        </w:tc>
        <w:tc>
          <w:tcPr>
            <w:tcW w:type="dxa" w:w="8568"/>
            <w:vAlign w:val="top"/>
            <w:tcMar>
              <w:top w:w="60" w:type="dxa"/>
              <w:start w:w="60" w:type="dxa"/>
              <w:bottom w:w="60" w:type="dxa"/>
              <w:end w:w="60" w:type="dxa"/>
            </w:tcMar>
          </w:tcPr>
          <w:p>
            <w:pPr>
              <w:spacing w:after="20"/>
            </w:pPr>
            <w:r>
              <w:rPr>
                <w:sz w:val="14"/>
              </w:rPr>
              <w:t>Peak OP registration, order/result, pharmacy, billing, claims batch, pharma import, SCADA ingest and report loads.</w:t>
            </w:r>
          </w:p>
        </w:tc>
      </w:tr>
      <w:tr>
        <w:tc>
          <w:tcPr>
            <w:tcW w:type="dxa" w:w="2232"/>
            <w:vAlign w:val="top"/>
            <w:tcMar>
              <w:top w:w="60" w:type="dxa"/>
              <w:start w:w="60" w:type="dxa"/>
              <w:bottom w:w="60" w:type="dxa"/>
              <w:end w:w="60" w:type="dxa"/>
            </w:tcMar>
          </w:tcPr>
          <w:p>
            <w:pPr>
              <w:spacing w:after="20"/>
            </w:pPr>
            <w:r>
              <w:rPr>
                <w:sz w:val="14"/>
              </w:rPr>
              <w:t>Security</w:t>
            </w:r>
          </w:p>
        </w:tc>
        <w:tc>
          <w:tcPr>
            <w:tcW w:type="dxa" w:w="8568"/>
            <w:vAlign w:val="top"/>
            <w:tcMar>
              <w:top w:w="60" w:type="dxa"/>
              <w:start w:w="60" w:type="dxa"/>
              <w:bottom w:w="60" w:type="dxa"/>
              <w:end w:w="60" w:type="dxa"/>
            </w:tcMar>
          </w:tcPr>
          <w:p>
            <w:pPr>
              <w:spacing w:after="20"/>
            </w:pPr>
            <w:r>
              <w:rPr>
                <w:sz w:val="14"/>
              </w:rPr>
              <w:t>Threat modeling, SAST/DAST, dependency/SBOM, API abuse, privilege escalation, tenant isolation and penetration test.</w:t>
            </w:r>
          </w:p>
        </w:tc>
      </w:tr>
      <w:tr>
        <w:tc>
          <w:tcPr>
            <w:tcW w:type="dxa" w:w="2232"/>
            <w:vAlign w:val="top"/>
            <w:tcMar>
              <w:top w:w="60" w:type="dxa"/>
              <w:start w:w="60" w:type="dxa"/>
              <w:bottom w:w="60" w:type="dxa"/>
              <w:end w:w="60" w:type="dxa"/>
            </w:tcMar>
          </w:tcPr>
          <w:p>
            <w:pPr>
              <w:spacing w:after="20"/>
            </w:pPr>
            <w:r>
              <w:rPr>
                <w:sz w:val="14"/>
              </w:rPr>
              <w:t>DR</w:t>
            </w:r>
          </w:p>
        </w:tc>
        <w:tc>
          <w:tcPr>
            <w:tcW w:type="dxa" w:w="8568"/>
            <w:vAlign w:val="top"/>
            <w:tcMar>
              <w:top w:w="60" w:type="dxa"/>
              <w:start w:w="60" w:type="dxa"/>
              <w:bottom w:w="60" w:type="dxa"/>
              <w:end w:w="60" w:type="dxa"/>
            </w:tcMar>
          </w:tcPr>
          <w:p>
            <w:pPr>
              <w:spacing w:after="20"/>
            </w:pPr>
            <w:r>
              <w:rPr>
                <w:sz w:val="14"/>
              </w:rPr>
              <w:t>Backup restore, zone/node loss, DB failover, event replay, object restore and documented recovery drill.</w:t>
            </w:r>
          </w:p>
        </w:tc>
      </w:tr>
      <w:tr>
        <w:tc>
          <w:tcPr>
            <w:tcW w:type="dxa" w:w="2232"/>
            <w:vAlign w:val="top"/>
            <w:tcMar>
              <w:top w:w="60" w:type="dxa"/>
              <w:start w:w="60" w:type="dxa"/>
              <w:bottom w:w="60" w:type="dxa"/>
              <w:end w:w="60" w:type="dxa"/>
            </w:tcMar>
          </w:tcPr>
          <w:p>
            <w:pPr>
              <w:spacing w:after="20"/>
            </w:pPr>
            <w:r>
              <w:rPr>
                <w:sz w:val="14"/>
              </w:rPr>
              <w:t>UAT</w:t>
            </w:r>
          </w:p>
        </w:tc>
        <w:tc>
          <w:tcPr>
            <w:tcW w:type="dxa" w:w="8568"/>
            <w:vAlign w:val="top"/>
            <w:tcMar>
              <w:top w:w="60" w:type="dxa"/>
              <w:start w:w="60" w:type="dxa"/>
              <w:bottom w:w="60" w:type="dxa"/>
              <w:end w:w="60" w:type="dxa"/>
            </w:tcMar>
          </w:tcPr>
          <w:p>
            <w:pPr>
              <w:spacing w:after="20"/>
            </w:pPr>
            <w:r>
              <w:rPr>
                <w:sz w:val="14"/>
              </w:rPr>
              <w:t>Role-based end-to-end scenarios signed by hospital/business owners.</w:t>
            </w:r>
          </w:p>
        </w:tc>
      </w:tr>
      <w:tr>
        <w:tc>
          <w:tcPr>
            <w:tcW w:type="dxa" w:w="2232"/>
            <w:vAlign w:val="top"/>
            <w:tcMar>
              <w:top w:w="60" w:type="dxa"/>
              <w:start w:w="60" w:type="dxa"/>
              <w:bottom w:w="60" w:type="dxa"/>
              <w:end w:w="60" w:type="dxa"/>
            </w:tcMar>
          </w:tcPr>
          <w:p>
            <w:pPr>
              <w:spacing w:after="20"/>
            </w:pPr>
            <w:r>
              <w:rPr>
                <w:sz w:val="14"/>
              </w:rPr>
              <w:t>Go-live</w:t>
            </w:r>
          </w:p>
        </w:tc>
        <w:tc>
          <w:tcPr>
            <w:tcW w:type="dxa" w:w="8568"/>
            <w:vAlign w:val="top"/>
            <w:tcMar>
              <w:top w:w="60" w:type="dxa"/>
              <w:start w:w="60" w:type="dxa"/>
              <w:bottom w:w="60" w:type="dxa"/>
              <w:end w:w="60" w:type="dxa"/>
            </w:tcMar>
          </w:tcPr>
          <w:p>
            <w:pPr>
              <w:spacing w:after="20"/>
            </w:pPr>
            <w:r>
              <w:rPr>
                <w:sz w:val="14"/>
              </w:rPr>
              <w:t>Exit criteria: severity-1/2 defects closed or formally risk-accepted; reconciliation passed; support/rollback ready.</w:t>
            </w:r>
          </w:p>
        </w:tc>
      </w:tr>
    </w:tbl>
    <w:p>
      <w:pPr>
        <w:spacing w:after="20"/>
      </w:pPr>
    </w:p>
    <w:p>
      <w:pPr>
        <w:pStyle w:val="Heading1"/>
      </w:pPr>
      <w:r>
        <w:t>31. Commercial Model and Indicative Budget</w:t>
      </w:r>
    </w:p>
    <w:p>
      <w:r>
        <w:t>Costs below are planning ranges, not vendor quotations. A product of this breadth should be funded as a multi-year platform, not a single fixed-price software build. Scope sequencing can materially reduce initial burn.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D9EAF7"/>
            <w:vAlign w:val="center"/>
            <w:tcMar>
              <w:top w:w="60" w:type="dxa"/>
              <w:start w:w="60" w:type="dxa"/>
              <w:bottom w:w="60" w:type="dxa"/>
              <w:end w:w="60" w:type="dxa"/>
            </w:tcMar>
          </w:tcPr>
          <w:p>
            <w:r>
              <w:rPr>
                <w:b/>
                <w:sz w:val="14"/>
              </w:rPr>
              <w:t>Build envelope</w:t>
            </w:r>
          </w:p>
        </w:tc>
        <w:tc>
          <w:tcPr>
            <w:tcW w:type="dxa" w:w="2304"/>
            <w:shd w:fill="D9EAF7"/>
            <w:vAlign w:val="center"/>
            <w:tcMar>
              <w:top w:w="60" w:type="dxa"/>
              <w:start w:w="60" w:type="dxa"/>
              <w:bottom w:w="60" w:type="dxa"/>
              <w:end w:w="60" w:type="dxa"/>
            </w:tcMar>
          </w:tcPr>
          <w:p>
            <w:r>
              <w:rPr>
                <w:b/>
                <w:sz w:val="14"/>
              </w:rPr>
              <w:t>Indicative product-engineering budget</w:t>
            </w:r>
          </w:p>
        </w:tc>
        <w:tc>
          <w:tcPr>
            <w:tcW w:type="dxa" w:w="5904"/>
            <w:shd w:fill="D9EAF7"/>
            <w:vAlign w:val="center"/>
            <w:tcMar>
              <w:top w:w="60" w:type="dxa"/>
              <w:start w:w="60" w:type="dxa"/>
              <w:bottom w:w="60" w:type="dxa"/>
              <w:end w:w="60" w:type="dxa"/>
            </w:tcMar>
          </w:tcPr>
          <w:p>
            <w:r>
              <w:rPr>
                <w:b/>
                <w:sz w:val="14"/>
              </w:rPr>
              <w:t>Notes</w:t>
            </w:r>
          </w:p>
        </w:tc>
      </w:tr>
      <w:tr>
        <w:tc>
          <w:tcPr>
            <w:tcW w:type="dxa" w:w="2592"/>
            <w:vAlign w:val="top"/>
            <w:tcMar>
              <w:top w:w="60" w:type="dxa"/>
              <w:start w:w="60" w:type="dxa"/>
              <w:bottom w:w="60" w:type="dxa"/>
              <w:end w:w="60" w:type="dxa"/>
            </w:tcMar>
          </w:tcPr>
          <w:p>
            <w:pPr>
              <w:spacing w:after="20"/>
            </w:pPr>
            <w:r>
              <w:rPr>
                <w:sz w:val="14"/>
              </w:rPr>
              <w:t>Lean foundation + MVP (12 months)</w:t>
            </w:r>
          </w:p>
        </w:tc>
        <w:tc>
          <w:tcPr>
            <w:tcW w:type="dxa" w:w="2304"/>
            <w:vAlign w:val="top"/>
            <w:tcMar>
              <w:top w:w="60" w:type="dxa"/>
              <w:start w:w="60" w:type="dxa"/>
              <w:bottom w:w="60" w:type="dxa"/>
              <w:end w:w="60" w:type="dxa"/>
            </w:tcMar>
          </w:tcPr>
          <w:p>
            <w:pPr>
              <w:spacing w:after="20"/>
            </w:pPr>
            <w:r>
              <w:rPr>
                <w:sz w:val="14"/>
              </w:rPr>
              <w:t>₹3.5–6.0 Cr</w:t>
            </w:r>
          </w:p>
        </w:tc>
        <w:tc>
          <w:tcPr>
            <w:tcW w:type="dxa" w:w="5904"/>
            <w:vAlign w:val="top"/>
            <w:tcMar>
              <w:top w:w="60" w:type="dxa"/>
              <w:start w:w="60" w:type="dxa"/>
              <w:bottom w:w="60" w:type="dxa"/>
              <w:end w:w="60" w:type="dxa"/>
            </w:tcMar>
          </w:tcPr>
          <w:p>
            <w:pPr>
              <w:spacing w:after="20"/>
            </w:pPr>
            <w:r>
              <w:rPr>
                <w:sz w:val="14"/>
              </w:rPr>
              <w:t>25–40 core people; patient/OPD/basic clinical/billing/pharmacy/lab; platform foundation; limited integrations.</w:t>
            </w:r>
          </w:p>
        </w:tc>
      </w:tr>
      <w:tr>
        <w:tc>
          <w:tcPr>
            <w:tcW w:type="dxa" w:w="2592"/>
            <w:vAlign w:val="top"/>
            <w:tcMar>
              <w:top w:w="60" w:type="dxa"/>
              <w:start w:w="60" w:type="dxa"/>
              <w:bottom w:w="60" w:type="dxa"/>
              <w:end w:w="60" w:type="dxa"/>
            </w:tcMar>
          </w:tcPr>
          <w:p>
            <w:pPr>
              <w:spacing w:after="20"/>
            </w:pPr>
            <w:r>
              <w:rPr>
                <w:sz w:val="14"/>
              </w:rPr>
              <w:t>Serious enterprise v1 (18 months)</w:t>
            </w:r>
          </w:p>
        </w:tc>
        <w:tc>
          <w:tcPr>
            <w:tcW w:type="dxa" w:w="2304"/>
            <w:vAlign w:val="top"/>
            <w:tcMar>
              <w:top w:w="60" w:type="dxa"/>
              <w:start w:w="60" w:type="dxa"/>
              <w:bottom w:w="60" w:type="dxa"/>
              <w:end w:w="60" w:type="dxa"/>
            </w:tcMar>
          </w:tcPr>
          <w:p>
            <w:pPr>
              <w:spacing w:after="20"/>
            </w:pPr>
            <w:r>
              <w:rPr>
                <w:sz w:val="14"/>
              </w:rPr>
              <w:t>₹8–14 Cr</w:t>
            </w:r>
          </w:p>
        </w:tc>
        <w:tc>
          <w:tcPr>
            <w:tcW w:type="dxa" w:w="5904"/>
            <w:vAlign w:val="top"/>
            <w:tcMar>
              <w:top w:w="60" w:type="dxa"/>
              <w:start w:w="60" w:type="dxa"/>
              <w:bottom w:w="60" w:type="dxa"/>
              <w:end w:w="60" w:type="dxa"/>
            </w:tcMar>
          </w:tcPr>
          <w:p>
            <w:pPr>
              <w:spacing w:after="20"/>
            </w:pPr>
            <w:r>
              <w:rPr>
                <w:sz w:val="14"/>
              </w:rPr>
              <w:t>45–70 people; inpatient/OT/ICU, diagnostics, insurance, pharma network, HR/materials, priority specialties, SRE/security.</w:t>
            </w:r>
          </w:p>
        </w:tc>
      </w:tr>
      <w:tr>
        <w:tc>
          <w:tcPr>
            <w:tcW w:type="dxa" w:w="2592"/>
            <w:vAlign w:val="top"/>
            <w:tcMar>
              <w:top w:w="60" w:type="dxa"/>
              <w:start w:w="60" w:type="dxa"/>
              <w:bottom w:w="60" w:type="dxa"/>
              <w:end w:w="60" w:type="dxa"/>
            </w:tcMar>
          </w:tcPr>
          <w:p>
            <w:pPr>
              <w:spacing w:after="20"/>
            </w:pPr>
            <w:r>
              <w:rPr>
                <w:sz w:val="14"/>
              </w:rPr>
              <w:t>Broad platform (24 months)</w:t>
            </w:r>
          </w:p>
        </w:tc>
        <w:tc>
          <w:tcPr>
            <w:tcW w:type="dxa" w:w="2304"/>
            <w:vAlign w:val="top"/>
            <w:tcMar>
              <w:top w:w="60" w:type="dxa"/>
              <w:start w:w="60" w:type="dxa"/>
              <w:bottom w:w="60" w:type="dxa"/>
              <w:end w:w="60" w:type="dxa"/>
            </w:tcMar>
          </w:tcPr>
          <w:p>
            <w:pPr>
              <w:spacing w:after="20"/>
            </w:pPr>
            <w:r>
              <w:rPr>
                <w:sz w:val="14"/>
              </w:rPr>
              <w:t>₹15–25+ Cr</w:t>
            </w:r>
          </w:p>
        </w:tc>
        <w:tc>
          <w:tcPr>
            <w:tcW w:type="dxa" w:w="5904"/>
            <w:vAlign w:val="top"/>
            <w:tcMar>
              <w:top w:w="60" w:type="dxa"/>
              <w:start w:w="60" w:type="dxa"/>
              <w:bottom w:w="60" w:type="dxa"/>
              <w:end w:w="60" w:type="dxa"/>
            </w:tcMar>
          </w:tcPr>
          <w:p>
            <w:pPr>
              <w:spacing w:after="20"/>
            </w:pPr>
            <w:r>
              <w:rPr>
                <w:sz w:val="14"/>
              </w:rPr>
              <w:t>70–110 people plus clinical SMEs/implementation; broad specialty coverage, SCADA, network scale, AI/ML, multi-site enterprise hardening.</w:t>
            </w:r>
          </w:p>
        </w:tc>
      </w:tr>
      <w:tr>
        <w:tc>
          <w:tcPr>
            <w:tcW w:type="dxa" w:w="2592"/>
            <w:vAlign w:val="top"/>
            <w:tcMar>
              <w:top w:w="60" w:type="dxa"/>
              <w:start w:w="60" w:type="dxa"/>
              <w:bottom w:w="60" w:type="dxa"/>
              <w:end w:w="60" w:type="dxa"/>
            </w:tcMar>
          </w:tcPr>
          <w:p>
            <w:pPr>
              <w:spacing w:after="20"/>
            </w:pPr>
            <w:r>
              <w:rPr>
                <w:sz w:val="14"/>
              </w:rPr>
              <w:t>External certification/testing/devices</w:t>
            </w:r>
          </w:p>
        </w:tc>
        <w:tc>
          <w:tcPr>
            <w:tcW w:type="dxa" w:w="2304"/>
            <w:vAlign w:val="top"/>
            <w:tcMar>
              <w:top w:w="60" w:type="dxa"/>
              <w:start w:w="60" w:type="dxa"/>
              <w:bottom w:w="60" w:type="dxa"/>
              <w:end w:w="60" w:type="dxa"/>
            </w:tcMar>
          </w:tcPr>
          <w:p>
            <w:pPr>
              <w:spacing w:after="20"/>
            </w:pPr>
            <w:r>
              <w:rPr>
                <w:sz w:val="14"/>
              </w:rPr>
              <w:t>Separate</w:t>
            </w:r>
          </w:p>
        </w:tc>
        <w:tc>
          <w:tcPr>
            <w:tcW w:type="dxa" w:w="5904"/>
            <w:vAlign w:val="top"/>
            <w:tcMar>
              <w:top w:w="60" w:type="dxa"/>
              <w:start w:w="60" w:type="dxa"/>
              <w:bottom w:w="60" w:type="dxa"/>
              <w:end w:w="60" w:type="dxa"/>
            </w:tcMar>
          </w:tcPr>
          <w:p>
            <w:pPr>
              <w:spacing w:after="20"/>
            </w:pPr>
            <w:r>
              <w:rPr>
                <w:sz w:val="14"/>
              </w:rPr>
              <w:t>Pen-tests, compliance consulting, interfaces, devices, test environments, PACS/SCADA vendors and site travel vary materially.</w:t>
            </w:r>
          </w:p>
        </w:tc>
      </w:tr>
    </w:tbl>
    <w:p>
      <w:pPr>
        <w:spacing w:after="20"/>
      </w:pPr>
    </w:p>
    <w:p>
      <w:pPr>
        <w:pStyle w:val="Heading2"/>
      </w:pPr>
      <w:r>
        <w:t>31.1 SaaS Monetization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EAF7"/>
            <w:vAlign w:val="center"/>
            <w:tcMar>
              <w:top w:w="60" w:type="dxa"/>
              <w:start w:w="60" w:type="dxa"/>
              <w:bottom w:w="60" w:type="dxa"/>
              <w:end w:w="60" w:type="dxa"/>
            </w:tcMar>
          </w:tcPr>
          <w:p>
            <w:r>
              <w:rPr>
                <w:b/>
                <w:sz w:val="14"/>
              </w:rPr>
              <w:t>Revenue stream</w:t>
            </w:r>
          </w:p>
        </w:tc>
        <w:tc>
          <w:tcPr>
            <w:tcW w:type="dxa" w:w="8208"/>
            <w:shd w:fill="D9EAF7"/>
            <w:vAlign w:val="center"/>
            <w:tcMar>
              <w:top w:w="60" w:type="dxa"/>
              <w:start w:w="60" w:type="dxa"/>
              <w:bottom w:w="60" w:type="dxa"/>
              <w:end w:w="60" w:type="dxa"/>
            </w:tcMar>
          </w:tcPr>
          <w:p>
            <w:r>
              <w:rPr>
                <w:b/>
                <w:sz w:val="14"/>
              </w:rPr>
              <w:t>Model</w:t>
            </w:r>
          </w:p>
        </w:tc>
      </w:tr>
      <w:tr>
        <w:tc>
          <w:tcPr>
            <w:tcW w:type="dxa" w:w="2592"/>
            <w:vAlign w:val="top"/>
            <w:tcMar>
              <w:top w:w="60" w:type="dxa"/>
              <w:start w:w="60" w:type="dxa"/>
              <w:bottom w:w="60" w:type="dxa"/>
              <w:end w:w="60" w:type="dxa"/>
            </w:tcMar>
          </w:tcPr>
          <w:p>
            <w:pPr>
              <w:spacing w:after="20"/>
            </w:pPr>
            <w:r>
              <w:rPr>
                <w:sz w:val="14"/>
              </w:rPr>
              <w:t>Hospital SaaS</w:t>
            </w:r>
          </w:p>
        </w:tc>
        <w:tc>
          <w:tcPr>
            <w:tcW w:type="dxa" w:w="8208"/>
            <w:vAlign w:val="top"/>
            <w:tcMar>
              <w:top w:w="60" w:type="dxa"/>
              <w:start w:w="60" w:type="dxa"/>
              <w:bottom w:w="60" w:type="dxa"/>
              <w:end w:w="60" w:type="dxa"/>
            </w:tcMar>
          </w:tcPr>
          <w:p>
            <w:pPr>
              <w:spacing w:after="20"/>
            </w:pPr>
            <w:r>
              <w:rPr>
                <w:sz w:val="14"/>
              </w:rPr>
              <w:t>Per facility + active bed + named/active user/module band; enterprise minimum and implementation fee.</w:t>
            </w:r>
          </w:p>
        </w:tc>
      </w:tr>
      <w:tr>
        <w:tc>
          <w:tcPr>
            <w:tcW w:type="dxa" w:w="2592"/>
            <w:vAlign w:val="top"/>
            <w:tcMar>
              <w:top w:w="60" w:type="dxa"/>
              <w:start w:w="60" w:type="dxa"/>
              <w:bottom w:w="60" w:type="dxa"/>
              <w:end w:w="60" w:type="dxa"/>
            </w:tcMar>
          </w:tcPr>
          <w:p>
            <w:pPr>
              <w:spacing w:after="20"/>
            </w:pPr>
            <w:r>
              <w:rPr>
                <w:sz w:val="14"/>
              </w:rPr>
              <w:t>Clinic</w:t>
            </w:r>
          </w:p>
        </w:tc>
        <w:tc>
          <w:tcPr>
            <w:tcW w:type="dxa" w:w="8208"/>
            <w:vAlign w:val="top"/>
            <w:tcMar>
              <w:top w:w="60" w:type="dxa"/>
              <w:start w:w="60" w:type="dxa"/>
              <w:bottom w:w="60" w:type="dxa"/>
              <w:end w:w="60" w:type="dxa"/>
            </w:tcMar>
          </w:tcPr>
          <w:p>
            <w:pPr>
              <w:spacing w:after="20"/>
            </w:pPr>
            <w:r>
              <w:rPr>
                <w:sz w:val="14"/>
              </w:rPr>
              <w:t>Per facility/provider subscription tiers.</w:t>
            </w:r>
          </w:p>
        </w:tc>
      </w:tr>
      <w:tr>
        <w:tc>
          <w:tcPr>
            <w:tcW w:type="dxa" w:w="2592"/>
            <w:vAlign w:val="top"/>
            <w:tcMar>
              <w:top w:w="60" w:type="dxa"/>
              <w:start w:w="60" w:type="dxa"/>
              <w:bottom w:w="60" w:type="dxa"/>
              <w:end w:w="60" w:type="dxa"/>
            </w:tcMar>
          </w:tcPr>
          <w:p>
            <w:pPr>
              <w:spacing w:after="20"/>
            </w:pPr>
            <w:r>
              <w:rPr>
                <w:sz w:val="14"/>
              </w:rPr>
              <w:t>Diagnostics</w:t>
            </w:r>
          </w:p>
        </w:tc>
        <w:tc>
          <w:tcPr>
            <w:tcW w:type="dxa" w:w="8208"/>
            <w:vAlign w:val="top"/>
            <w:tcMar>
              <w:top w:w="60" w:type="dxa"/>
              <w:start w:w="60" w:type="dxa"/>
              <w:bottom w:w="60" w:type="dxa"/>
              <w:end w:w="60" w:type="dxa"/>
            </w:tcMar>
          </w:tcPr>
          <w:p>
            <w:pPr>
              <w:spacing w:after="20"/>
            </w:pPr>
            <w:r>
              <w:rPr>
                <w:sz w:val="14"/>
              </w:rPr>
              <w:t>Per site + volume band; optional transaction fee for marketplace/home collection.</w:t>
            </w:r>
          </w:p>
        </w:tc>
      </w:tr>
      <w:tr>
        <w:tc>
          <w:tcPr>
            <w:tcW w:type="dxa" w:w="2592"/>
            <w:vAlign w:val="top"/>
            <w:tcMar>
              <w:top w:w="60" w:type="dxa"/>
              <w:start w:w="60" w:type="dxa"/>
              <w:bottom w:w="60" w:type="dxa"/>
              <w:end w:w="60" w:type="dxa"/>
            </w:tcMar>
          </w:tcPr>
          <w:p>
            <w:pPr>
              <w:spacing w:after="20"/>
            </w:pPr>
            <w:r>
              <w:rPr>
                <w:sz w:val="14"/>
              </w:rPr>
              <w:t>Pharmacy</w:t>
            </w:r>
          </w:p>
        </w:tc>
        <w:tc>
          <w:tcPr>
            <w:tcW w:type="dxa" w:w="8208"/>
            <w:vAlign w:val="top"/>
            <w:tcMar>
              <w:top w:w="60" w:type="dxa"/>
              <w:start w:w="60" w:type="dxa"/>
              <w:bottom w:w="60" w:type="dxa"/>
              <w:end w:w="60" w:type="dxa"/>
            </w:tcMar>
          </w:tcPr>
          <w:p>
            <w:pPr>
              <w:spacing w:after="20"/>
            </w:pPr>
            <w:r>
              <w:rPr>
                <w:sz w:val="14"/>
              </w:rPr>
              <w:t>Per outlet + optional order/delivery/marketplace transaction fee.</w:t>
            </w:r>
          </w:p>
        </w:tc>
      </w:tr>
      <w:tr>
        <w:tc>
          <w:tcPr>
            <w:tcW w:type="dxa" w:w="2592"/>
            <w:vAlign w:val="top"/>
            <w:tcMar>
              <w:top w:w="60" w:type="dxa"/>
              <w:start w:w="60" w:type="dxa"/>
              <w:bottom w:w="60" w:type="dxa"/>
              <w:end w:w="60" w:type="dxa"/>
            </w:tcMar>
          </w:tcPr>
          <w:p>
            <w:pPr>
              <w:spacing w:after="20"/>
            </w:pPr>
            <w:r>
              <w:rPr>
                <w:sz w:val="14"/>
              </w:rPr>
              <w:t>Pharma network</w:t>
            </w:r>
          </w:p>
        </w:tc>
        <w:tc>
          <w:tcPr>
            <w:tcW w:type="dxa" w:w="8208"/>
            <w:vAlign w:val="top"/>
            <w:tcMar>
              <w:top w:w="60" w:type="dxa"/>
              <w:start w:w="60" w:type="dxa"/>
              <w:bottom w:w="60" w:type="dxa"/>
              <w:end w:w="60" w:type="dxa"/>
            </w:tcMar>
          </w:tcPr>
          <w:p>
            <w:pPr>
              <w:spacing w:after="20"/>
            </w:pPr>
            <w:r>
              <w:rPr>
                <w:sz w:val="14"/>
              </w:rPr>
              <w:t>Enterprise subscription by manufacturer/C&amp;F/distributor plus transaction/automation tier.</w:t>
            </w:r>
          </w:p>
        </w:tc>
      </w:tr>
      <w:tr>
        <w:tc>
          <w:tcPr>
            <w:tcW w:type="dxa" w:w="2592"/>
            <w:vAlign w:val="top"/>
            <w:tcMar>
              <w:top w:w="60" w:type="dxa"/>
              <w:start w:w="60" w:type="dxa"/>
              <w:bottom w:w="60" w:type="dxa"/>
              <w:end w:w="60" w:type="dxa"/>
            </w:tcMar>
          </w:tcPr>
          <w:p>
            <w:pPr>
              <w:spacing w:after="20"/>
            </w:pPr>
            <w:r>
              <w:rPr>
                <w:sz w:val="14"/>
              </w:rPr>
              <w:t>Insurance</w:t>
            </w:r>
          </w:p>
        </w:tc>
        <w:tc>
          <w:tcPr>
            <w:tcW w:type="dxa" w:w="8208"/>
            <w:vAlign w:val="top"/>
            <w:tcMar>
              <w:top w:w="60" w:type="dxa"/>
              <w:start w:w="60" w:type="dxa"/>
              <w:bottom w:w="60" w:type="dxa"/>
              <w:end w:w="60" w:type="dxa"/>
            </w:tcMar>
          </w:tcPr>
          <w:p>
            <w:pPr>
              <w:spacing w:after="20"/>
            </w:pPr>
            <w:r>
              <w:rPr>
                <w:sz w:val="14"/>
              </w:rPr>
              <w:t>Provider-side claims module subscription + volume/API tier; payer-side products separately contracted.</w:t>
            </w:r>
          </w:p>
        </w:tc>
      </w:tr>
      <w:tr>
        <w:tc>
          <w:tcPr>
            <w:tcW w:type="dxa" w:w="2592"/>
            <w:vAlign w:val="top"/>
            <w:tcMar>
              <w:top w:w="60" w:type="dxa"/>
              <w:start w:w="60" w:type="dxa"/>
              <w:bottom w:w="60" w:type="dxa"/>
              <w:end w:w="60" w:type="dxa"/>
            </w:tcMar>
          </w:tcPr>
          <w:p>
            <w:pPr>
              <w:spacing w:after="20"/>
            </w:pPr>
            <w:r>
              <w:rPr>
                <w:sz w:val="14"/>
              </w:rPr>
              <w:t>SCADA</w:t>
            </w:r>
          </w:p>
        </w:tc>
        <w:tc>
          <w:tcPr>
            <w:tcW w:type="dxa" w:w="8208"/>
            <w:vAlign w:val="top"/>
            <w:tcMar>
              <w:top w:w="60" w:type="dxa"/>
              <w:start w:w="60" w:type="dxa"/>
              <w:bottom w:w="60" w:type="dxa"/>
              <w:end w:w="60" w:type="dxa"/>
            </w:tcMar>
          </w:tcPr>
          <w:p>
            <w:pPr>
              <w:spacing w:after="20"/>
            </w:pPr>
            <w:r>
              <w:rPr>
                <w:sz w:val="14"/>
              </w:rPr>
              <w:t>Per monitored site + point/device band + gateway/support.</w:t>
            </w:r>
          </w:p>
        </w:tc>
      </w:tr>
      <w:tr>
        <w:tc>
          <w:tcPr>
            <w:tcW w:type="dxa" w:w="2592"/>
            <w:vAlign w:val="top"/>
            <w:tcMar>
              <w:top w:w="60" w:type="dxa"/>
              <w:start w:w="60" w:type="dxa"/>
              <w:bottom w:w="60" w:type="dxa"/>
              <w:end w:w="60" w:type="dxa"/>
            </w:tcMar>
          </w:tcPr>
          <w:p>
            <w:pPr>
              <w:spacing w:after="20"/>
            </w:pPr>
            <w:r>
              <w:rPr>
                <w:sz w:val="14"/>
              </w:rPr>
              <w:t>Patient marketplace</w:t>
            </w:r>
          </w:p>
        </w:tc>
        <w:tc>
          <w:tcPr>
            <w:tcW w:type="dxa" w:w="8208"/>
            <w:vAlign w:val="top"/>
            <w:tcMar>
              <w:top w:w="60" w:type="dxa"/>
              <w:start w:w="60" w:type="dxa"/>
              <w:bottom w:w="60" w:type="dxa"/>
              <w:end w:w="60" w:type="dxa"/>
            </w:tcMar>
          </w:tcPr>
          <w:p>
            <w:pPr>
              <w:spacing w:after="20"/>
            </w:pPr>
            <w:r>
              <w:rPr>
                <w:sz w:val="14"/>
              </w:rPr>
              <w:t>Convenience/delivery/partner economics only where legally/contractually appropriate; avoid monetizing clinical data.</w:t>
            </w:r>
          </w:p>
        </w:tc>
      </w:tr>
      <w:tr>
        <w:tc>
          <w:tcPr>
            <w:tcW w:type="dxa" w:w="2592"/>
            <w:vAlign w:val="top"/>
            <w:tcMar>
              <w:top w:w="60" w:type="dxa"/>
              <w:start w:w="60" w:type="dxa"/>
              <w:bottom w:w="60" w:type="dxa"/>
              <w:end w:w="60" w:type="dxa"/>
            </w:tcMar>
          </w:tcPr>
          <w:p>
            <w:pPr>
              <w:spacing w:after="20"/>
            </w:pPr>
            <w:r>
              <w:rPr>
                <w:sz w:val="14"/>
              </w:rPr>
              <w:t>Enterprise integrations</w:t>
            </w:r>
          </w:p>
        </w:tc>
        <w:tc>
          <w:tcPr>
            <w:tcW w:type="dxa" w:w="8208"/>
            <w:vAlign w:val="top"/>
            <w:tcMar>
              <w:top w:w="60" w:type="dxa"/>
              <w:start w:w="60" w:type="dxa"/>
              <w:bottom w:w="60" w:type="dxa"/>
              <w:end w:w="60" w:type="dxa"/>
            </w:tcMar>
          </w:tcPr>
          <w:p>
            <w:pPr>
              <w:spacing w:after="20"/>
            </w:pPr>
            <w:r>
              <w:rPr>
                <w:sz w:val="14"/>
              </w:rPr>
              <w:t>One-time implementation + recurring connector/support/SLA.</w:t>
            </w:r>
          </w:p>
        </w:tc>
      </w:tr>
    </w:tbl>
    <w:p>
      <w:pPr>
        <w:spacing w:after="20"/>
      </w:pPr>
    </w:p>
    <w:p>
      <w:pPr>
        <w:pStyle w:val="Heading1"/>
      </w:pPr>
      <w:r>
        <w:t>32. Risk Register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D9EAF7"/>
            <w:vAlign w:val="center"/>
            <w:tcMar>
              <w:top w:w="60" w:type="dxa"/>
              <w:start w:w="60" w:type="dxa"/>
              <w:bottom w:w="60" w:type="dxa"/>
              <w:end w:w="60" w:type="dxa"/>
            </w:tcMar>
          </w:tcPr>
          <w:p>
            <w:r>
              <w:rPr>
                <w:b/>
                <w:sz w:val="14"/>
              </w:rPr>
              <w:t>Risk</w:t>
            </w:r>
          </w:p>
        </w:tc>
        <w:tc>
          <w:tcPr>
            <w:tcW w:type="dxa" w:w="1152"/>
            <w:shd w:fill="D9EAF7"/>
            <w:vAlign w:val="center"/>
            <w:tcMar>
              <w:top w:w="60" w:type="dxa"/>
              <w:start w:w="60" w:type="dxa"/>
              <w:bottom w:w="60" w:type="dxa"/>
              <w:end w:w="60" w:type="dxa"/>
            </w:tcMar>
          </w:tcPr>
          <w:p>
            <w:r>
              <w:rPr>
                <w:b/>
                <w:sz w:val="14"/>
              </w:rPr>
              <w:t>Severity</w:t>
            </w:r>
          </w:p>
        </w:tc>
        <w:tc>
          <w:tcPr>
            <w:tcW w:type="dxa" w:w="7056"/>
            <w:shd w:fill="D9EAF7"/>
            <w:vAlign w:val="center"/>
            <w:tcMar>
              <w:top w:w="60" w:type="dxa"/>
              <w:start w:w="60" w:type="dxa"/>
              <w:bottom w:w="60" w:type="dxa"/>
              <w:end w:w="60" w:type="dxa"/>
            </w:tcMar>
          </w:tcPr>
          <w:p>
            <w:r>
              <w:rPr>
                <w:b/>
                <w:sz w:val="14"/>
              </w:rPr>
              <w:t>Mitigation</w:t>
            </w:r>
          </w:p>
        </w:tc>
      </w:tr>
      <w:tr>
        <w:tc>
          <w:tcPr>
            <w:tcW w:type="dxa" w:w="2592"/>
            <w:vAlign w:val="top"/>
            <w:tcMar>
              <w:top w:w="60" w:type="dxa"/>
              <w:start w:w="60" w:type="dxa"/>
              <w:bottom w:w="60" w:type="dxa"/>
              <w:end w:w="60" w:type="dxa"/>
            </w:tcMar>
          </w:tcPr>
          <w:p>
            <w:pPr>
              <w:spacing w:after="20"/>
            </w:pPr>
            <w:r>
              <w:rPr>
                <w:sz w:val="14"/>
              </w:rPr>
              <w:t>Clinical scope explosion</w:t>
            </w:r>
          </w:p>
        </w:tc>
        <w:tc>
          <w:tcPr>
            <w:tcW w:type="dxa" w:w="1152"/>
            <w:vAlign w:val="top"/>
            <w:tcMar>
              <w:top w:w="60" w:type="dxa"/>
              <w:start w:w="60" w:type="dxa"/>
              <w:bottom w:w="60" w:type="dxa"/>
              <w:end w:w="60" w:type="dxa"/>
            </w:tcMar>
          </w:tcPr>
          <w:p>
            <w:pPr>
              <w:spacing w:after="20"/>
            </w:pPr>
            <w:r>
              <w:rPr>
                <w:sz w:val="14"/>
              </w:rPr>
              <w:t>High</w:t>
            </w:r>
          </w:p>
        </w:tc>
        <w:tc>
          <w:tcPr>
            <w:tcW w:type="dxa" w:w="7056"/>
            <w:vAlign w:val="top"/>
            <w:tcMar>
              <w:top w:w="60" w:type="dxa"/>
              <w:start w:w="60" w:type="dxa"/>
              <w:bottom w:w="60" w:type="dxa"/>
              <w:end w:w="60" w:type="dxa"/>
            </w:tcMar>
          </w:tcPr>
          <w:p>
            <w:pPr>
              <w:spacing w:after="20"/>
            </w:pPr>
            <w:r>
              <w:rPr>
                <w:sz w:val="14"/>
              </w:rPr>
              <w:t>Prioritize specialty packs; common clinical core; clinical governance; fixed quarterly pack roadmap.</w:t>
            </w:r>
          </w:p>
        </w:tc>
      </w:tr>
      <w:tr>
        <w:tc>
          <w:tcPr>
            <w:tcW w:type="dxa" w:w="2592"/>
            <w:vAlign w:val="top"/>
            <w:tcMar>
              <w:top w:w="60" w:type="dxa"/>
              <w:start w:w="60" w:type="dxa"/>
              <w:bottom w:w="60" w:type="dxa"/>
              <w:end w:w="60" w:type="dxa"/>
            </w:tcMar>
          </w:tcPr>
          <w:p>
            <w:pPr>
              <w:spacing w:after="20"/>
            </w:pPr>
            <w:r>
              <w:rPr>
                <w:sz w:val="14"/>
              </w:rPr>
              <w:t>Regulatory change</w:t>
            </w:r>
          </w:p>
        </w:tc>
        <w:tc>
          <w:tcPr>
            <w:tcW w:type="dxa" w:w="1152"/>
            <w:vAlign w:val="top"/>
            <w:tcMar>
              <w:top w:w="60" w:type="dxa"/>
              <w:start w:w="60" w:type="dxa"/>
              <w:bottom w:w="60" w:type="dxa"/>
              <w:end w:w="60" w:type="dxa"/>
            </w:tcMar>
          </w:tcPr>
          <w:p>
            <w:pPr>
              <w:spacing w:after="20"/>
            </w:pPr>
            <w:r>
              <w:rPr>
                <w:sz w:val="14"/>
              </w:rPr>
              <w:t>High</w:t>
            </w:r>
          </w:p>
        </w:tc>
        <w:tc>
          <w:tcPr>
            <w:tcW w:type="dxa" w:w="7056"/>
            <w:vAlign w:val="top"/>
            <w:tcMar>
              <w:top w:w="60" w:type="dxa"/>
              <w:start w:w="60" w:type="dxa"/>
              <w:bottom w:w="60" w:type="dxa"/>
              <w:end w:w="60" w:type="dxa"/>
            </w:tcMar>
          </w:tcPr>
          <w:p>
            <w:pPr>
              <w:spacing w:after="20"/>
            </w:pPr>
            <w:r>
              <w:rPr>
                <w:sz w:val="14"/>
              </w:rPr>
              <w:t>Adapters/configuration/effective dates; compliance owner; release impact assessments.</w:t>
            </w:r>
          </w:p>
        </w:tc>
      </w:tr>
      <w:tr>
        <w:tc>
          <w:tcPr>
            <w:tcW w:type="dxa" w:w="2592"/>
            <w:vAlign w:val="top"/>
            <w:tcMar>
              <w:top w:w="60" w:type="dxa"/>
              <w:start w:w="60" w:type="dxa"/>
              <w:bottom w:w="60" w:type="dxa"/>
              <w:end w:w="60" w:type="dxa"/>
            </w:tcMar>
          </w:tcPr>
          <w:p>
            <w:pPr>
              <w:spacing w:after="20"/>
            </w:pPr>
            <w:r>
              <w:rPr>
                <w:sz w:val="14"/>
              </w:rPr>
              <w:t>Tenant/data breach</w:t>
            </w:r>
          </w:p>
        </w:tc>
        <w:tc>
          <w:tcPr>
            <w:tcW w:type="dxa" w:w="1152"/>
            <w:vAlign w:val="top"/>
            <w:tcMar>
              <w:top w:w="60" w:type="dxa"/>
              <w:start w:w="60" w:type="dxa"/>
              <w:bottom w:w="60" w:type="dxa"/>
              <w:end w:w="60" w:type="dxa"/>
            </w:tcMar>
          </w:tcPr>
          <w:p>
            <w:pPr>
              <w:spacing w:after="20"/>
            </w:pPr>
            <w:r>
              <w:rPr>
                <w:sz w:val="14"/>
              </w:rPr>
              <w:t>Critical</w:t>
            </w:r>
          </w:p>
        </w:tc>
        <w:tc>
          <w:tcPr>
            <w:tcW w:type="dxa" w:w="7056"/>
            <w:vAlign w:val="top"/>
            <w:tcMar>
              <w:top w:w="60" w:type="dxa"/>
              <w:start w:w="60" w:type="dxa"/>
              <w:bottom w:w="60" w:type="dxa"/>
              <w:end w:w="60" w:type="dxa"/>
            </w:tcMar>
          </w:tcPr>
          <w:p>
            <w:pPr>
              <w:spacing w:after="20"/>
            </w:pPr>
            <w:r>
              <w:rPr>
                <w:sz w:val="14"/>
              </w:rPr>
              <w:t>Isolation tests, least privilege, encryption, audit, AppSec, pentests, incident response.</w:t>
            </w:r>
          </w:p>
        </w:tc>
      </w:tr>
      <w:tr>
        <w:tc>
          <w:tcPr>
            <w:tcW w:type="dxa" w:w="2592"/>
            <w:vAlign w:val="top"/>
            <w:tcMar>
              <w:top w:w="60" w:type="dxa"/>
              <w:start w:w="60" w:type="dxa"/>
              <w:bottom w:w="60" w:type="dxa"/>
              <w:end w:w="60" w:type="dxa"/>
            </w:tcMar>
          </w:tcPr>
          <w:p>
            <w:pPr>
              <w:spacing w:after="20"/>
            </w:pPr>
            <w:r>
              <w:rPr>
                <w:sz w:val="14"/>
              </w:rPr>
              <w:t>Patient identity mismatch</w:t>
            </w:r>
          </w:p>
        </w:tc>
        <w:tc>
          <w:tcPr>
            <w:tcW w:type="dxa" w:w="1152"/>
            <w:vAlign w:val="top"/>
            <w:tcMar>
              <w:top w:w="60" w:type="dxa"/>
              <w:start w:w="60" w:type="dxa"/>
              <w:bottom w:w="60" w:type="dxa"/>
              <w:end w:w="60" w:type="dxa"/>
            </w:tcMar>
          </w:tcPr>
          <w:p>
            <w:pPr>
              <w:spacing w:after="20"/>
            </w:pPr>
            <w:r>
              <w:rPr>
                <w:sz w:val="14"/>
              </w:rPr>
              <w:t>Critical</w:t>
            </w:r>
          </w:p>
        </w:tc>
        <w:tc>
          <w:tcPr>
            <w:tcW w:type="dxa" w:w="7056"/>
            <w:vAlign w:val="top"/>
            <w:tcMar>
              <w:top w:w="60" w:type="dxa"/>
              <w:start w:w="60" w:type="dxa"/>
              <w:bottom w:w="60" w:type="dxa"/>
              <w:end w:w="60" w:type="dxa"/>
            </w:tcMar>
          </w:tcPr>
          <w:p>
            <w:pPr>
              <w:spacing w:after="20"/>
            </w:pPr>
            <w:r>
              <w:rPr>
                <w:sz w:val="14"/>
              </w:rPr>
              <w:t>Positive identification, duplicate workflow, barcode/verification, merge audit.</w:t>
            </w:r>
          </w:p>
        </w:tc>
      </w:tr>
      <w:tr>
        <w:tc>
          <w:tcPr>
            <w:tcW w:type="dxa" w:w="2592"/>
            <w:vAlign w:val="top"/>
            <w:tcMar>
              <w:top w:w="60" w:type="dxa"/>
              <w:start w:w="60" w:type="dxa"/>
              <w:bottom w:w="60" w:type="dxa"/>
              <w:end w:w="60" w:type="dxa"/>
            </w:tcMar>
          </w:tcPr>
          <w:p>
            <w:pPr>
              <w:spacing w:after="20"/>
            </w:pPr>
            <w:r>
              <w:rPr>
                <w:sz w:val="14"/>
              </w:rPr>
              <w:t>Medication/order safety defect</w:t>
            </w:r>
          </w:p>
        </w:tc>
        <w:tc>
          <w:tcPr>
            <w:tcW w:type="dxa" w:w="1152"/>
            <w:vAlign w:val="top"/>
            <w:tcMar>
              <w:top w:w="60" w:type="dxa"/>
              <w:start w:w="60" w:type="dxa"/>
              <w:bottom w:w="60" w:type="dxa"/>
              <w:end w:w="60" w:type="dxa"/>
            </w:tcMar>
          </w:tcPr>
          <w:p>
            <w:pPr>
              <w:spacing w:after="20"/>
            </w:pPr>
            <w:r>
              <w:rPr>
                <w:sz w:val="14"/>
              </w:rPr>
              <w:t>Critical</w:t>
            </w:r>
          </w:p>
        </w:tc>
        <w:tc>
          <w:tcPr>
            <w:tcW w:type="dxa" w:w="7056"/>
            <w:vAlign w:val="top"/>
            <w:tcMar>
              <w:top w:w="60" w:type="dxa"/>
              <w:start w:w="60" w:type="dxa"/>
              <w:bottom w:w="60" w:type="dxa"/>
              <w:end w:w="60" w:type="dxa"/>
            </w:tcMar>
          </w:tcPr>
          <w:p>
            <w:pPr>
              <w:spacing w:after="20"/>
            </w:pPr>
            <w:r>
              <w:rPr>
                <w:sz w:val="14"/>
              </w:rPr>
              <w:t>Clinical QA, pharmacist/clinician validation, versioned CDS, fail-safe UX.</w:t>
            </w:r>
          </w:p>
        </w:tc>
      </w:tr>
      <w:tr>
        <w:tc>
          <w:tcPr>
            <w:tcW w:type="dxa" w:w="2592"/>
            <w:vAlign w:val="top"/>
            <w:tcMar>
              <w:top w:w="60" w:type="dxa"/>
              <w:start w:w="60" w:type="dxa"/>
              <w:bottom w:w="60" w:type="dxa"/>
              <w:end w:w="60" w:type="dxa"/>
            </w:tcMar>
          </w:tcPr>
          <w:p>
            <w:pPr>
              <w:spacing w:after="20"/>
            </w:pPr>
            <w:r>
              <w:rPr>
                <w:sz w:val="14"/>
              </w:rPr>
              <w:t>Integration/vendor unreliability</w:t>
            </w:r>
          </w:p>
        </w:tc>
        <w:tc>
          <w:tcPr>
            <w:tcW w:type="dxa" w:w="1152"/>
            <w:vAlign w:val="top"/>
            <w:tcMar>
              <w:top w:w="60" w:type="dxa"/>
              <w:start w:w="60" w:type="dxa"/>
              <w:bottom w:w="60" w:type="dxa"/>
              <w:end w:w="60" w:type="dxa"/>
            </w:tcMar>
          </w:tcPr>
          <w:p>
            <w:pPr>
              <w:spacing w:after="20"/>
            </w:pPr>
            <w:r>
              <w:rPr>
                <w:sz w:val="14"/>
              </w:rPr>
              <w:t>High</w:t>
            </w:r>
          </w:p>
        </w:tc>
        <w:tc>
          <w:tcPr>
            <w:tcW w:type="dxa" w:w="7056"/>
            <w:vAlign w:val="top"/>
            <w:tcMar>
              <w:top w:w="60" w:type="dxa"/>
              <w:start w:w="60" w:type="dxa"/>
              <w:bottom w:w="60" w:type="dxa"/>
              <w:end w:w="60" w:type="dxa"/>
            </w:tcMar>
          </w:tcPr>
          <w:p>
            <w:pPr>
              <w:spacing w:after="20"/>
            </w:pPr>
            <w:r>
              <w:rPr>
                <w:sz w:val="14"/>
              </w:rPr>
              <w:t>Timeouts, retry/idempotency, interface monitoring, fallback workflows.</w:t>
            </w:r>
          </w:p>
        </w:tc>
      </w:tr>
      <w:tr>
        <w:tc>
          <w:tcPr>
            <w:tcW w:type="dxa" w:w="2592"/>
            <w:vAlign w:val="top"/>
            <w:tcMar>
              <w:top w:w="60" w:type="dxa"/>
              <w:start w:w="60" w:type="dxa"/>
              <w:bottom w:w="60" w:type="dxa"/>
              <w:end w:w="60" w:type="dxa"/>
            </w:tcMar>
          </w:tcPr>
          <w:p>
            <w:pPr>
              <w:spacing w:after="20"/>
            </w:pPr>
            <w:r>
              <w:rPr>
                <w:sz w:val="14"/>
              </w:rPr>
              <w:t>Pharma master/SKU mismatch</w:t>
            </w:r>
          </w:p>
        </w:tc>
        <w:tc>
          <w:tcPr>
            <w:tcW w:type="dxa" w:w="1152"/>
            <w:vAlign w:val="top"/>
            <w:tcMar>
              <w:top w:w="60" w:type="dxa"/>
              <w:start w:w="60" w:type="dxa"/>
              <w:bottom w:w="60" w:type="dxa"/>
              <w:end w:w="60" w:type="dxa"/>
            </w:tcMar>
          </w:tcPr>
          <w:p>
            <w:pPr>
              <w:spacing w:after="20"/>
            </w:pPr>
            <w:r>
              <w:rPr>
                <w:sz w:val="14"/>
              </w:rPr>
              <w:t>High</w:t>
            </w:r>
          </w:p>
        </w:tc>
        <w:tc>
          <w:tcPr>
            <w:tcW w:type="dxa" w:w="7056"/>
            <w:vAlign w:val="top"/>
            <w:tcMar>
              <w:top w:w="60" w:type="dxa"/>
              <w:start w:w="60" w:type="dxa"/>
              <w:bottom w:w="60" w:type="dxa"/>
              <w:end w:w="60" w:type="dxa"/>
            </w:tcMar>
          </w:tcPr>
          <w:p>
            <w:pPr>
              <w:spacing w:after="20"/>
            </w:pPr>
            <w:r>
              <w:rPr>
                <w:sz w:val="14"/>
              </w:rPr>
              <w:t>Confidence threshold + human exception; deterministic master/price/credit validation.</w:t>
            </w:r>
          </w:p>
        </w:tc>
      </w:tr>
      <w:tr>
        <w:tc>
          <w:tcPr>
            <w:tcW w:type="dxa" w:w="2592"/>
            <w:vAlign w:val="top"/>
            <w:tcMar>
              <w:top w:w="60" w:type="dxa"/>
              <w:start w:w="60" w:type="dxa"/>
              <w:bottom w:w="60" w:type="dxa"/>
              <w:end w:w="60" w:type="dxa"/>
            </w:tcMar>
          </w:tcPr>
          <w:p>
            <w:pPr>
              <w:spacing w:after="20"/>
            </w:pPr>
            <w:r>
              <w:rPr>
                <w:sz w:val="14"/>
              </w:rPr>
              <w:t>AI hallucination/misclassification</w:t>
            </w:r>
          </w:p>
        </w:tc>
        <w:tc>
          <w:tcPr>
            <w:tcW w:type="dxa" w:w="1152"/>
            <w:vAlign w:val="top"/>
            <w:tcMar>
              <w:top w:w="60" w:type="dxa"/>
              <w:start w:w="60" w:type="dxa"/>
              <w:bottom w:w="60" w:type="dxa"/>
              <w:end w:w="60" w:type="dxa"/>
            </w:tcMar>
          </w:tcPr>
          <w:p>
            <w:pPr>
              <w:spacing w:after="20"/>
            </w:pPr>
            <w:r>
              <w:rPr>
                <w:sz w:val="14"/>
              </w:rPr>
              <w:t>High</w:t>
            </w:r>
          </w:p>
        </w:tc>
        <w:tc>
          <w:tcPr>
            <w:tcW w:type="dxa" w:w="7056"/>
            <w:vAlign w:val="top"/>
            <w:tcMar>
              <w:top w:w="60" w:type="dxa"/>
              <w:start w:w="60" w:type="dxa"/>
              <w:bottom w:w="60" w:type="dxa"/>
              <w:end w:w="60" w:type="dxa"/>
            </w:tcMar>
          </w:tcPr>
          <w:p>
            <w:pPr>
              <w:spacing w:after="20"/>
            </w:pPr>
            <w:r>
              <w:rPr>
                <w:sz w:val="14"/>
              </w:rPr>
              <w:t>No autonomous high-risk posting; provenance; human validation; model governance.</w:t>
            </w:r>
          </w:p>
        </w:tc>
      </w:tr>
      <w:tr>
        <w:tc>
          <w:tcPr>
            <w:tcW w:type="dxa" w:w="2592"/>
            <w:vAlign w:val="top"/>
            <w:tcMar>
              <w:top w:w="60" w:type="dxa"/>
              <w:start w:w="60" w:type="dxa"/>
              <w:bottom w:w="60" w:type="dxa"/>
              <w:end w:w="60" w:type="dxa"/>
            </w:tcMar>
          </w:tcPr>
          <w:p>
            <w:pPr>
              <w:spacing w:after="20"/>
            </w:pPr>
            <w:r>
              <w:rPr>
                <w:sz w:val="14"/>
              </w:rPr>
              <w:t>SCADA cyber/safety event</w:t>
            </w:r>
          </w:p>
        </w:tc>
        <w:tc>
          <w:tcPr>
            <w:tcW w:type="dxa" w:w="1152"/>
            <w:vAlign w:val="top"/>
            <w:tcMar>
              <w:top w:w="60" w:type="dxa"/>
              <w:start w:w="60" w:type="dxa"/>
              <w:bottom w:w="60" w:type="dxa"/>
              <w:end w:w="60" w:type="dxa"/>
            </w:tcMar>
          </w:tcPr>
          <w:p>
            <w:pPr>
              <w:spacing w:after="20"/>
            </w:pPr>
            <w:r>
              <w:rPr>
                <w:sz w:val="14"/>
              </w:rPr>
              <w:t>Critical</w:t>
            </w:r>
          </w:p>
        </w:tc>
        <w:tc>
          <w:tcPr>
            <w:tcW w:type="dxa" w:w="7056"/>
            <w:vAlign w:val="top"/>
            <w:tcMar>
              <w:top w:w="60" w:type="dxa"/>
              <w:start w:w="60" w:type="dxa"/>
              <w:bottom w:w="60" w:type="dxa"/>
              <w:end w:w="60" w:type="dxa"/>
            </w:tcMar>
          </w:tcPr>
          <w:p>
            <w:pPr>
              <w:spacing w:after="20"/>
            </w:pPr>
            <w:r>
              <w:rPr>
                <w:sz w:val="14"/>
              </w:rPr>
              <w:t>OT segmentation, edge safety, read-only default where possible, site engineering approval.</w:t>
            </w:r>
          </w:p>
        </w:tc>
      </w:tr>
      <w:tr>
        <w:tc>
          <w:tcPr>
            <w:tcW w:type="dxa" w:w="2592"/>
            <w:vAlign w:val="top"/>
            <w:tcMar>
              <w:top w:w="60" w:type="dxa"/>
              <w:start w:w="60" w:type="dxa"/>
              <w:bottom w:w="60" w:type="dxa"/>
              <w:end w:w="60" w:type="dxa"/>
            </w:tcMar>
          </w:tcPr>
          <w:p>
            <w:pPr>
              <w:spacing w:after="20"/>
            </w:pPr>
            <w:r>
              <w:rPr>
                <w:sz w:val="14"/>
              </w:rPr>
              <w:t>Migration quality</w:t>
            </w:r>
          </w:p>
        </w:tc>
        <w:tc>
          <w:tcPr>
            <w:tcW w:type="dxa" w:w="1152"/>
            <w:vAlign w:val="top"/>
            <w:tcMar>
              <w:top w:w="60" w:type="dxa"/>
              <w:start w:w="60" w:type="dxa"/>
              <w:bottom w:w="60" w:type="dxa"/>
              <w:end w:w="60" w:type="dxa"/>
            </w:tcMar>
          </w:tcPr>
          <w:p>
            <w:pPr>
              <w:spacing w:after="20"/>
            </w:pPr>
            <w:r>
              <w:rPr>
                <w:sz w:val="14"/>
              </w:rPr>
              <w:t>High</w:t>
            </w:r>
          </w:p>
        </w:tc>
        <w:tc>
          <w:tcPr>
            <w:tcW w:type="dxa" w:w="7056"/>
            <w:vAlign w:val="top"/>
            <w:tcMar>
              <w:top w:w="60" w:type="dxa"/>
              <w:start w:w="60" w:type="dxa"/>
              <w:bottom w:w="60" w:type="dxa"/>
              <w:end w:w="60" w:type="dxa"/>
            </w:tcMar>
          </w:tcPr>
          <w:p>
            <w:pPr>
              <w:spacing w:after="20"/>
            </w:pPr>
            <w:r>
              <w:rPr>
                <w:sz w:val="14"/>
              </w:rPr>
              <w:t>Trial loads, reconciliation, business sign-off, legacy archive.</w:t>
            </w:r>
          </w:p>
        </w:tc>
      </w:tr>
      <w:tr>
        <w:tc>
          <w:tcPr>
            <w:tcW w:type="dxa" w:w="2592"/>
            <w:vAlign w:val="top"/>
            <w:tcMar>
              <w:top w:w="60" w:type="dxa"/>
              <w:start w:w="60" w:type="dxa"/>
              <w:bottom w:w="60" w:type="dxa"/>
              <w:end w:w="60" w:type="dxa"/>
            </w:tcMar>
          </w:tcPr>
          <w:p>
            <w:pPr>
              <w:spacing w:after="20"/>
            </w:pPr>
            <w:r>
              <w:rPr>
                <w:sz w:val="14"/>
              </w:rPr>
              <w:t>Performance at enterprise scale</w:t>
            </w:r>
          </w:p>
        </w:tc>
        <w:tc>
          <w:tcPr>
            <w:tcW w:type="dxa" w:w="1152"/>
            <w:vAlign w:val="top"/>
            <w:tcMar>
              <w:top w:w="60" w:type="dxa"/>
              <w:start w:w="60" w:type="dxa"/>
              <w:bottom w:w="60" w:type="dxa"/>
              <w:end w:w="60" w:type="dxa"/>
            </w:tcMar>
          </w:tcPr>
          <w:p>
            <w:pPr>
              <w:spacing w:after="20"/>
            </w:pPr>
            <w:r>
              <w:rPr>
                <w:sz w:val="14"/>
              </w:rPr>
              <w:t>High</w:t>
            </w:r>
          </w:p>
        </w:tc>
        <w:tc>
          <w:tcPr>
            <w:tcW w:type="dxa" w:w="7056"/>
            <w:vAlign w:val="top"/>
            <w:tcMar>
              <w:top w:w="60" w:type="dxa"/>
              <w:start w:w="60" w:type="dxa"/>
              <w:bottom w:w="60" w:type="dxa"/>
              <w:end w:w="60" w:type="dxa"/>
            </w:tcMar>
          </w:tcPr>
          <w:p>
            <w:pPr>
              <w:spacing w:after="20"/>
            </w:pPr>
            <w:r>
              <w:rPr>
                <w:sz w:val="14"/>
              </w:rPr>
              <w:t>Representative load model, async jobs, partitioning, caching and capacity tests.</w:t>
            </w:r>
          </w:p>
        </w:tc>
      </w:tr>
      <w:tr>
        <w:tc>
          <w:tcPr>
            <w:tcW w:type="dxa" w:w="2592"/>
            <w:vAlign w:val="top"/>
            <w:tcMar>
              <w:top w:w="60" w:type="dxa"/>
              <w:start w:w="60" w:type="dxa"/>
              <w:bottom w:w="60" w:type="dxa"/>
              <w:end w:w="60" w:type="dxa"/>
            </w:tcMar>
          </w:tcPr>
          <w:p>
            <w:pPr>
              <w:spacing w:after="20"/>
            </w:pPr>
            <w:r>
              <w:rPr>
                <w:sz w:val="14"/>
              </w:rPr>
              <w:t>Implementation fatigue</w:t>
            </w:r>
          </w:p>
        </w:tc>
        <w:tc>
          <w:tcPr>
            <w:tcW w:type="dxa" w:w="1152"/>
            <w:vAlign w:val="top"/>
            <w:tcMar>
              <w:top w:w="60" w:type="dxa"/>
              <w:start w:w="60" w:type="dxa"/>
              <w:bottom w:w="60" w:type="dxa"/>
              <w:end w:w="60" w:type="dxa"/>
            </w:tcMar>
          </w:tcPr>
          <w:p>
            <w:pPr>
              <w:spacing w:after="20"/>
            </w:pPr>
            <w:r>
              <w:rPr>
                <w:sz w:val="14"/>
              </w:rPr>
              <w:t>Medium</w:t>
            </w:r>
          </w:p>
        </w:tc>
        <w:tc>
          <w:tcPr>
            <w:tcW w:type="dxa" w:w="7056"/>
            <w:vAlign w:val="top"/>
            <w:tcMar>
              <w:top w:w="60" w:type="dxa"/>
              <w:start w:w="60" w:type="dxa"/>
              <w:bottom w:w="60" w:type="dxa"/>
              <w:end w:w="60" w:type="dxa"/>
            </w:tcMar>
          </w:tcPr>
          <w:p>
            <w:pPr>
              <w:spacing w:after="20"/>
            </w:pPr>
            <w:r>
              <w:rPr>
                <w:sz w:val="14"/>
              </w:rPr>
              <w:t>Phased rollout, super-user network, training, floor support, adoption metrics.</w:t>
            </w:r>
          </w:p>
        </w:tc>
      </w:tr>
      <w:tr>
        <w:tc>
          <w:tcPr>
            <w:tcW w:type="dxa" w:w="2592"/>
            <w:vAlign w:val="top"/>
            <w:tcMar>
              <w:top w:w="60" w:type="dxa"/>
              <w:start w:w="60" w:type="dxa"/>
              <w:bottom w:w="60" w:type="dxa"/>
              <w:end w:w="60" w:type="dxa"/>
            </w:tcMar>
          </w:tcPr>
          <w:p>
            <w:pPr>
              <w:spacing w:after="20"/>
            </w:pPr>
            <w:r>
              <w:rPr>
                <w:sz w:val="14"/>
              </w:rPr>
              <w:t>Cash burn</w:t>
            </w:r>
          </w:p>
        </w:tc>
        <w:tc>
          <w:tcPr>
            <w:tcW w:type="dxa" w:w="1152"/>
            <w:vAlign w:val="top"/>
            <w:tcMar>
              <w:top w:w="60" w:type="dxa"/>
              <w:start w:w="60" w:type="dxa"/>
              <w:bottom w:w="60" w:type="dxa"/>
              <w:end w:w="60" w:type="dxa"/>
            </w:tcMar>
          </w:tcPr>
          <w:p>
            <w:pPr>
              <w:spacing w:after="20"/>
            </w:pPr>
            <w:r>
              <w:rPr>
                <w:sz w:val="14"/>
              </w:rPr>
              <w:t>High</w:t>
            </w:r>
          </w:p>
        </w:tc>
        <w:tc>
          <w:tcPr>
            <w:tcW w:type="dxa" w:w="7056"/>
            <w:vAlign w:val="top"/>
            <w:tcMar>
              <w:top w:w="60" w:type="dxa"/>
              <w:start w:w="60" w:type="dxa"/>
              <w:bottom w:w="60" w:type="dxa"/>
              <w:end w:w="60" w:type="dxa"/>
            </w:tcMar>
          </w:tcPr>
          <w:p>
            <w:pPr>
              <w:spacing w:after="20"/>
            </w:pPr>
            <w:r>
              <w:rPr>
                <w:sz w:val="14"/>
              </w:rPr>
              <w:t>MVP sequencing, modular commercial releases, avoid building all specialties before revenue.</w:t>
            </w:r>
          </w:p>
        </w:tc>
      </w:tr>
    </w:tbl>
    <w:p>
      <w:pPr>
        <w:spacing w:after="20"/>
      </w:pPr>
    </w:p>
    <w:p>
      <w:pPr>
        <w:pStyle w:val="Heading1"/>
      </w:pPr>
      <w:r>
        <w:t>33. Acceptance Gates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D9EAF7"/>
            <w:vAlign w:val="center"/>
            <w:tcMar>
              <w:top w:w="60" w:type="dxa"/>
              <w:start w:w="60" w:type="dxa"/>
              <w:bottom w:w="60" w:type="dxa"/>
              <w:end w:w="60" w:type="dxa"/>
            </w:tcMar>
          </w:tcPr>
          <w:p>
            <w:r>
              <w:rPr>
                <w:b/>
                <w:sz w:val="14"/>
              </w:rPr>
              <w:t>Gate</w:t>
            </w:r>
          </w:p>
        </w:tc>
        <w:tc>
          <w:tcPr>
            <w:tcW w:type="dxa" w:w="8640"/>
            <w:shd w:fill="D9EAF7"/>
            <w:vAlign w:val="center"/>
            <w:tcMar>
              <w:top w:w="60" w:type="dxa"/>
              <w:start w:w="60" w:type="dxa"/>
              <w:bottom w:w="60" w:type="dxa"/>
              <w:end w:w="60" w:type="dxa"/>
            </w:tcMar>
          </w:tcPr>
          <w:p>
            <w:r>
              <w:rPr>
                <w:b/>
                <w:sz w:val="14"/>
              </w:rPr>
              <w:t>Exit criteria</w:t>
            </w:r>
          </w:p>
        </w:tc>
      </w:tr>
      <w:tr>
        <w:tc>
          <w:tcPr>
            <w:tcW w:type="dxa" w:w="2160"/>
            <w:vAlign w:val="top"/>
            <w:tcMar>
              <w:top w:w="60" w:type="dxa"/>
              <w:start w:w="60" w:type="dxa"/>
              <w:bottom w:w="60" w:type="dxa"/>
              <w:end w:w="60" w:type="dxa"/>
            </w:tcMar>
          </w:tcPr>
          <w:p>
            <w:pPr>
              <w:spacing w:after="20"/>
            </w:pPr>
            <w:r>
              <w:rPr>
                <w:sz w:val="14"/>
              </w:rPr>
              <w:t>G0 Architecture</w:t>
            </w:r>
          </w:p>
        </w:tc>
        <w:tc>
          <w:tcPr>
            <w:tcW w:type="dxa" w:w="8640"/>
            <w:vAlign w:val="top"/>
            <w:tcMar>
              <w:top w:w="60" w:type="dxa"/>
              <w:start w:w="60" w:type="dxa"/>
              <w:bottom w:w="60" w:type="dxa"/>
              <w:end w:w="60" w:type="dxa"/>
            </w:tcMar>
          </w:tcPr>
          <w:p>
            <w:pPr>
              <w:spacing w:after="20"/>
            </w:pPr>
            <w:r>
              <w:rPr>
                <w:sz w:val="14"/>
              </w:rPr>
              <w:t>Bounded contexts, contracts, tenancy, IAM, audit, migration and deployment conventions approved.</w:t>
            </w:r>
          </w:p>
        </w:tc>
      </w:tr>
      <w:tr>
        <w:tc>
          <w:tcPr>
            <w:tcW w:type="dxa" w:w="2160"/>
            <w:vAlign w:val="top"/>
            <w:tcMar>
              <w:top w:w="60" w:type="dxa"/>
              <w:start w:w="60" w:type="dxa"/>
              <w:bottom w:w="60" w:type="dxa"/>
              <w:end w:w="60" w:type="dxa"/>
            </w:tcMar>
          </w:tcPr>
          <w:p>
            <w:pPr>
              <w:spacing w:after="20"/>
            </w:pPr>
            <w:r>
              <w:rPr>
                <w:sz w:val="14"/>
              </w:rPr>
              <w:t>G1 Platform Alpha</w:t>
            </w:r>
          </w:p>
        </w:tc>
        <w:tc>
          <w:tcPr>
            <w:tcW w:type="dxa" w:w="8640"/>
            <w:vAlign w:val="top"/>
            <w:tcMar>
              <w:top w:w="60" w:type="dxa"/>
              <w:start w:w="60" w:type="dxa"/>
              <w:bottom w:w="60" w:type="dxa"/>
              <w:end w:w="60" w:type="dxa"/>
            </w:tcMar>
          </w:tcPr>
          <w:p>
            <w:pPr>
              <w:spacing w:after="20"/>
            </w:pPr>
            <w:r>
              <w:rPr>
                <w:sz w:val="14"/>
              </w:rPr>
              <w:t>User/tenant/org/master data; Go/Svelte scaffolds; CI/CD; observability; auth; audit; event/workflow foundation.</w:t>
            </w:r>
          </w:p>
        </w:tc>
      </w:tr>
      <w:tr>
        <w:tc>
          <w:tcPr>
            <w:tcW w:type="dxa" w:w="2160"/>
            <w:vAlign w:val="top"/>
            <w:tcMar>
              <w:top w:w="60" w:type="dxa"/>
              <w:start w:w="60" w:type="dxa"/>
              <w:bottom w:w="60" w:type="dxa"/>
              <w:end w:w="60" w:type="dxa"/>
            </w:tcMar>
          </w:tcPr>
          <w:p>
            <w:pPr>
              <w:spacing w:after="20"/>
            </w:pPr>
            <w:r>
              <w:rPr>
                <w:sz w:val="14"/>
              </w:rPr>
              <w:t>G2 Hospital MVP</w:t>
            </w:r>
          </w:p>
        </w:tc>
        <w:tc>
          <w:tcPr>
            <w:tcW w:type="dxa" w:w="8640"/>
            <w:vAlign w:val="top"/>
            <w:tcMar>
              <w:top w:w="60" w:type="dxa"/>
              <w:start w:w="60" w:type="dxa"/>
              <w:bottom w:w="60" w:type="dxa"/>
              <w:end w:w="60" w:type="dxa"/>
            </w:tcMar>
          </w:tcPr>
          <w:p>
            <w:pPr>
              <w:spacing w:after="20"/>
            </w:pPr>
            <w:r>
              <w:rPr>
                <w:sz w:val="14"/>
              </w:rPr>
              <w:t>Registration, appointment, OP encounter, orders, billing, basic lab/pharmacy and patient app complete in pilot environment.</w:t>
            </w:r>
          </w:p>
        </w:tc>
      </w:tr>
      <w:tr>
        <w:tc>
          <w:tcPr>
            <w:tcW w:type="dxa" w:w="2160"/>
            <w:vAlign w:val="top"/>
            <w:tcMar>
              <w:top w:w="60" w:type="dxa"/>
              <w:start w:w="60" w:type="dxa"/>
              <w:bottom w:w="60" w:type="dxa"/>
              <w:end w:w="60" w:type="dxa"/>
            </w:tcMar>
          </w:tcPr>
          <w:p>
            <w:pPr>
              <w:spacing w:after="20"/>
            </w:pPr>
            <w:r>
              <w:rPr>
                <w:sz w:val="14"/>
              </w:rPr>
              <w:t>G3 Clinical Safety</w:t>
            </w:r>
          </w:p>
        </w:tc>
        <w:tc>
          <w:tcPr>
            <w:tcW w:type="dxa" w:w="8640"/>
            <w:vAlign w:val="top"/>
            <w:tcMar>
              <w:top w:w="60" w:type="dxa"/>
              <w:start w:w="60" w:type="dxa"/>
              <w:bottom w:w="60" w:type="dxa"/>
              <w:end w:w="60" w:type="dxa"/>
            </w:tcMar>
          </w:tcPr>
          <w:p>
            <w:pPr>
              <w:spacing w:after="20"/>
            </w:pPr>
            <w:r>
              <w:rPr>
                <w:sz w:val="14"/>
              </w:rPr>
              <w:t>Identity, medication, results, critical alert and amendment workflows pass signed safety/UAT suite.</w:t>
            </w:r>
          </w:p>
        </w:tc>
      </w:tr>
      <w:tr>
        <w:tc>
          <w:tcPr>
            <w:tcW w:type="dxa" w:w="2160"/>
            <w:vAlign w:val="top"/>
            <w:tcMar>
              <w:top w:w="60" w:type="dxa"/>
              <w:start w:w="60" w:type="dxa"/>
              <w:bottom w:w="60" w:type="dxa"/>
              <w:end w:w="60" w:type="dxa"/>
            </w:tcMar>
          </w:tcPr>
          <w:p>
            <w:pPr>
              <w:spacing w:after="20"/>
            </w:pPr>
            <w:r>
              <w:rPr>
                <w:sz w:val="14"/>
              </w:rPr>
              <w:t>G4 Enterprise Hospital</w:t>
            </w:r>
          </w:p>
        </w:tc>
        <w:tc>
          <w:tcPr>
            <w:tcW w:type="dxa" w:w="8640"/>
            <w:vAlign w:val="top"/>
            <w:tcMar>
              <w:top w:w="60" w:type="dxa"/>
              <w:start w:w="60" w:type="dxa"/>
              <w:bottom w:w="60" w:type="dxa"/>
              <w:end w:w="60" w:type="dxa"/>
            </w:tcMar>
          </w:tcPr>
          <w:p>
            <w:pPr>
              <w:spacing w:after="20"/>
            </w:pPr>
            <w:r>
              <w:rPr>
                <w:sz w:val="14"/>
              </w:rPr>
              <w:t>ADT/nursing/ER/OT/ICU/materials/HR/payroll and priority integrations accepted.</w:t>
            </w:r>
          </w:p>
        </w:tc>
      </w:tr>
      <w:tr>
        <w:tc>
          <w:tcPr>
            <w:tcW w:type="dxa" w:w="2160"/>
            <w:vAlign w:val="top"/>
            <w:tcMar>
              <w:top w:w="60" w:type="dxa"/>
              <w:start w:w="60" w:type="dxa"/>
              <w:bottom w:w="60" w:type="dxa"/>
              <w:end w:w="60" w:type="dxa"/>
            </w:tcMar>
          </w:tcPr>
          <w:p>
            <w:pPr>
              <w:spacing w:after="20"/>
            </w:pPr>
            <w:r>
              <w:rPr>
                <w:sz w:val="14"/>
              </w:rPr>
              <w:t>G5 Diagnostics/Claims</w:t>
            </w:r>
          </w:p>
        </w:tc>
        <w:tc>
          <w:tcPr>
            <w:tcW w:type="dxa" w:w="8640"/>
            <w:vAlign w:val="top"/>
            <w:tcMar>
              <w:top w:w="60" w:type="dxa"/>
              <w:start w:w="60" w:type="dxa"/>
              <w:bottom w:w="60" w:type="dxa"/>
              <w:end w:w="60" w:type="dxa"/>
            </w:tcMar>
          </w:tcPr>
          <w:p>
            <w:pPr>
              <w:spacing w:after="20"/>
            </w:pPr>
            <w:r>
              <w:rPr>
                <w:sz w:val="14"/>
              </w:rPr>
              <w:t>LIS/RIS/PACS and insurer/NHCX workflows complete with reconciliation and external interface tests.</w:t>
            </w:r>
          </w:p>
        </w:tc>
      </w:tr>
      <w:tr>
        <w:tc>
          <w:tcPr>
            <w:tcW w:type="dxa" w:w="2160"/>
            <w:vAlign w:val="top"/>
            <w:tcMar>
              <w:top w:w="60" w:type="dxa"/>
              <w:start w:w="60" w:type="dxa"/>
              <w:bottom w:w="60" w:type="dxa"/>
              <w:end w:w="60" w:type="dxa"/>
            </w:tcMar>
          </w:tcPr>
          <w:p>
            <w:pPr>
              <w:spacing w:after="20"/>
            </w:pPr>
            <w:r>
              <w:rPr>
                <w:sz w:val="14"/>
              </w:rPr>
              <w:t>G6 Pharma Network</w:t>
            </w:r>
          </w:p>
        </w:tc>
        <w:tc>
          <w:tcPr>
            <w:tcW w:type="dxa" w:w="8640"/>
            <w:vAlign w:val="top"/>
            <w:tcMar>
              <w:top w:w="60" w:type="dxa"/>
              <w:start w:w="60" w:type="dxa"/>
              <w:bottom w:w="60" w:type="dxa"/>
              <w:end w:w="60" w:type="dxa"/>
            </w:tcMar>
          </w:tcPr>
          <w:p>
            <w:pPr>
              <w:spacing w:after="20"/>
            </w:pPr>
            <w:r>
              <w:rPr>
                <w:sz w:val="14"/>
              </w:rPr>
              <w:t>B2B order → inventory → dispatch → settlement, document automation and exception handling accepted.</w:t>
            </w:r>
          </w:p>
        </w:tc>
      </w:tr>
      <w:tr>
        <w:tc>
          <w:tcPr>
            <w:tcW w:type="dxa" w:w="2160"/>
            <w:vAlign w:val="top"/>
            <w:tcMar>
              <w:top w:w="60" w:type="dxa"/>
              <w:start w:w="60" w:type="dxa"/>
              <w:bottom w:w="60" w:type="dxa"/>
              <w:end w:w="60" w:type="dxa"/>
            </w:tcMar>
          </w:tcPr>
          <w:p>
            <w:pPr>
              <w:spacing w:after="20"/>
            </w:pPr>
            <w:r>
              <w:rPr>
                <w:sz w:val="14"/>
              </w:rPr>
              <w:t>G7 Specialty Packs</w:t>
            </w:r>
          </w:p>
        </w:tc>
        <w:tc>
          <w:tcPr>
            <w:tcW w:type="dxa" w:w="8640"/>
            <w:vAlign w:val="top"/>
            <w:tcMar>
              <w:top w:w="60" w:type="dxa"/>
              <w:start w:w="60" w:type="dxa"/>
              <w:bottom w:w="60" w:type="dxa"/>
              <w:end w:w="60" w:type="dxa"/>
            </w:tcMar>
          </w:tcPr>
          <w:p>
            <w:pPr>
              <w:spacing w:after="20"/>
            </w:pPr>
            <w:r>
              <w:rPr>
                <w:sz w:val="14"/>
              </w:rPr>
              <w:t>Each pack accepted by nominated clinical owner against specialty-specific workflow suite.</w:t>
            </w:r>
          </w:p>
        </w:tc>
      </w:tr>
      <w:tr>
        <w:tc>
          <w:tcPr>
            <w:tcW w:type="dxa" w:w="2160"/>
            <w:vAlign w:val="top"/>
            <w:tcMar>
              <w:top w:w="60" w:type="dxa"/>
              <w:start w:w="60" w:type="dxa"/>
              <w:bottom w:w="60" w:type="dxa"/>
              <w:end w:w="60" w:type="dxa"/>
            </w:tcMar>
          </w:tcPr>
          <w:p>
            <w:pPr>
              <w:spacing w:after="20"/>
            </w:pPr>
            <w:r>
              <w:rPr>
                <w:sz w:val="14"/>
              </w:rPr>
              <w:t>G8 SCADA</w:t>
            </w:r>
          </w:p>
        </w:tc>
        <w:tc>
          <w:tcPr>
            <w:tcW w:type="dxa" w:w="8640"/>
            <w:vAlign w:val="top"/>
            <w:tcMar>
              <w:top w:w="60" w:type="dxa"/>
              <w:start w:w="60" w:type="dxa"/>
              <w:bottom w:w="60" w:type="dxa"/>
              <w:end w:w="60" w:type="dxa"/>
            </w:tcMar>
          </w:tcPr>
          <w:p>
            <w:pPr>
              <w:spacing w:after="20"/>
            </w:pPr>
            <w:r>
              <w:rPr>
                <w:sz w:val="14"/>
              </w:rPr>
              <w:t>Gateway, alarm, historian, security segmentation and failure-mode testing accepted by site engineering.</w:t>
            </w:r>
          </w:p>
        </w:tc>
      </w:tr>
      <w:tr>
        <w:tc>
          <w:tcPr>
            <w:tcW w:type="dxa" w:w="2160"/>
            <w:vAlign w:val="top"/>
            <w:tcMar>
              <w:top w:w="60" w:type="dxa"/>
              <w:start w:w="60" w:type="dxa"/>
              <w:bottom w:w="60" w:type="dxa"/>
              <w:end w:w="60" w:type="dxa"/>
            </w:tcMar>
          </w:tcPr>
          <w:p>
            <w:pPr>
              <w:spacing w:after="20"/>
            </w:pPr>
            <w:r>
              <w:rPr>
                <w:sz w:val="14"/>
              </w:rPr>
              <w:t>G9 Production Scale</w:t>
            </w:r>
          </w:p>
        </w:tc>
        <w:tc>
          <w:tcPr>
            <w:tcW w:type="dxa" w:w="8640"/>
            <w:vAlign w:val="top"/>
            <w:tcMar>
              <w:top w:w="60" w:type="dxa"/>
              <w:start w:w="60" w:type="dxa"/>
              <w:bottom w:w="60" w:type="dxa"/>
              <w:end w:w="60" w:type="dxa"/>
            </w:tcMar>
          </w:tcPr>
          <w:p>
            <w:pPr>
              <w:spacing w:after="20"/>
            </w:pPr>
            <w:r>
              <w:rPr>
                <w:sz w:val="14"/>
              </w:rPr>
              <w:t>Performance, security, DR, monitoring, support, runbooks and go-live criteria passed.</w:t>
            </w:r>
          </w:p>
        </w:tc>
      </w:tr>
    </w:tbl>
    <w:p>
      <w:pPr>
        <w:spacing w:after="20"/>
      </w:pPr>
    </w:p>
    <w:p>
      <w:pPr>
        <w:pStyle w:val="Heading1"/>
      </w:pPr>
      <w:r>
        <w:t>34. Pilot Strategy</w:t>
      </w:r>
    </w:p>
    <w:p>
      <w:pPr>
        <w:pStyle w:val="ListBullet"/>
        <w:spacing w:after="30"/>
      </w:pPr>
      <w:r>
        <w:t>Pilot 1: 50–150 bed hospital or focused specialty center with cooperative clinical leadership; activate registration, OPD, billing, pharmacy, lab and 2–3 specialty packs.</w:t>
      </w:r>
    </w:p>
    <w:p>
      <w:pPr>
        <w:pStyle w:val="ListBullet"/>
        <w:spacing w:after="30"/>
      </w:pPr>
      <w:r>
        <w:t>Pilot 2: independent diagnostic chain for LIS/home collection/B2B/referral lab and patient app.</w:t>
      </w:r>
    </w:p>
    <w:p>
      <w:pPr>
        <w:pStyle w:val="ListBullet"/>
        <w:spacing w:after="30"/>
      </w:pPr>
      <w:r>
        <w:t>Pilot 3: distributor/stockist cluster with one upstream pharma partner and multiple pharmacies to validate automated order processing and batch fulfilment.</w:t>
      </w:r>
    </w:p>
    <w:p>
      <w:pPr>
        <w:pStyle w:val="ListBullet"/>
        <w:spacing w:after="30"/>
      </w:pPr>
      <w:r>
        <w:t>Only after transactional stability: add insurer claims/NHCX, advanced specialties, SCADA command center and ML optimization.</w:t>
      </w:r>
    </w:p>
    <w:p>
      <w:pPr>
        <w:pStyle w:val="ListBullet"/>
        <w:spacing w:after="30"/>
      </w:pPr>
      <w:r>
        <w:t>Define measurable pilot outcomes: &gt;95% master-data accuracy, &gt;99.9% transaction integrity, target order/result TATs, &gt;80% staff adoption in configured workflows, and zero unresolved critical safety defects.</w:t>
      </w:r>
    </w:p>
    <w:p>
      <w:pPr>
        <w:pStyle w:val="Heading1"/>
      </w:pPr>
      <w:r>
        <w:t>35. Product Roadmap Beyond v1</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EAF7"/>
            <w:vAlign w:val="center"/>
            <w:tcMar>
              <w:top w:w="60" w:type="dxa"/>
              <w:start w:w="60" w:type="dxa"/>
              <w:bottom w:w="60" w:type="dxa"/>
              <w:end w:w="60" w:type="dxa"/>
            </w:tcMar>
          </w:tcPr>
          <w:p>
            <w:r>
              <w:rPr>
                <w:b/>
                <w:sz w:val="14"/>
              </w:rPr>
              <w:t>Roadmap area</w:t>
            </w:r>
          </w:p>
        </w:tc>
        <w:tc>
          <w:tcPr>
            <w:tcW w:type="dxa" w:w="8208"/>
            <w:shd w:fill="D9EAF7"/>
            <w:vAlign w:val="center"/>
            <w:tcMar>
              <w:top w:w="60" w:type="dxa"/>
              <w:start w:w="60" w:type="dxa"/>
              <w:bottom w:w="60" w:type="dxa"/>
              <w:end w:w="60" w:type="dxa"/>
            </w:tcMar>
          </w:tcPr>
          <w:p>
            <w:r>
              <w:rPr>
                <w:b/>
                <w:sz w:val="14"/>
              </w:rPr>
              <w:t>Expansion</w:t>
            </w:r>
          </w:p>
        </w:tc>
      </w:tr>
      <w:tr>
        <w:tc>
          <w:tcPr>
            <w:tcW w:type="dxa" w:w="2592"/>
            <w:vAlign w:val="top"/>
            <w:tcMar>
              <w:top w:w="60" w:type="dxa"/>
              <w:start w:w="60" w:type="dxa"/>
              <w:bottom w:w="60" w:type="dxa"/>
              <w:end w:w="60" w:type="dxa"/>
            </w:tcMar>
          </w:tcPr>
          <w:p>
            <w:pPr>
              <w:spacing w:after="20"/>
            </w:pPr>
            <w:r>
              <w:rPr>
                <w:sz w:val="14"/>
              </w:rPr>
              <w:t>Remote monitoring</w:t>
            </w:r>
          </w:p>
        </w:tc>
        <w:tc>
          <w:tcPr>
            <w:tcW w:type="dxa" w:w="8208"/>
            <w:vAlign w:val="top"/>
            <w:tcMar>
              <w:top w:w="60" w:type="dxa"/>
              <w:start w:w="60" w:type="dxa"/>
              <w:bottom w:w="60" w:type="dxa"/>
              <w:end w:w="60" w:type="dxa"/>
            </w:tcMar>
          </w:tcPr>
          <w:p>
            <w:pPr>
              <w:spacing w:after="20"/>
            </w:pPr>
            <w:r>
              <w:rPr>
                <w:sz w:val="14"/>
              </w:rPr>
              <w:t>Device ingestion, disease programs, alerts, virtual wards and home-care operations.</w:t>
            </w:r>
          </w:p>
        </w:tc>
      </w:tr>
      <w:tr>
        <w:tc>
          <w:tcPr>
            <w:tcW w:type="dxa" w:w="2592"/>
            <w:vAlign w:val="top"/>
            <w:tcMar>
              <w:top w:w="60" w:type="dxa"/>
              <w:start w:w="60" w:type="dxa"/>
              <w:bottom w:w="60" w:type="dxa"/>
              <w:end w:w="60" w:type="dxa"/>
            </w:tcMar>
          </w:tcPr>
          <w:p>
            <w:pPr>
              <w:spacing w:after="20"/>
            </w:pPr>
            <w:r>
              <w:rPr>
                <w:sz w:val="14"/>
              </w:rPr>
              <w:t>Population health</w:t>
            </w:r>
          </w:p>
        </w:tc>
        <w:tc>
          <w:tcPr>
            <w:tcW w:type="dxa" w:w="8208"/>
            <w:vAlign w:val="top"/>
            <w:tcMar>
              <w:top w:w="60" w:type="dxa"/>
              <w:start w:w="60" w:type="dxa"/>
              <w:bottom w:w="60" w:type="dxa"/>
              <w:end w:w="60" w:type="dxa"/>
            </w:tcMar>
          </w:tcPr>
          <w:p>
            <w:pPr>
              <w:spacing w:after="20"/>
            </w:pPr>
            <w:r>
              <w:rPr>
                <w:sz w:val="14"/>
              </w:rPr>
              <w:t>Cohorts, care gaps, outreach, chronic disease programs and value-based care analytics.</w:t>
            </w:r>
          </w:p>
        </w:tc>
      </w:tr>
      <w:tr>
        <w:tc>
          <w:tcPr>
            <w:tcW w:type="dxa" w:w="2592"/>
            <w:vAlign w:val="top"/>
            <w:tcMar>
              <w:top w:w="60" w:type="dxa"/>
              <w:start w:w="60" w:type="dxa"/>
              <w:bottom w:w="60" w:type="dxa"/>
              <w:end w:w="60" w:type="dxa"/>
            </w:tcMar>
          </w:tcPr>
          <w:p>
            <w:pPr>
              <w:spacing w:after="20"/>
            </w:pPr>
            <w:r>
              <w:rPr>
                <w:sz w:val="14"/>
              </w:rPr>
              <w:t>Clinical trials/research</w:t>
            </w:r>
          </w:p>
        </w:tc>
        <w:tc>
          <w:tcPr>
            <w:tcW w:type="dxa" w:w="8208"/>
            <w:vAlign w:val="top"/>
            <w:tcMar>
              <w:top w:w="60" w:type="dxa"/>
              <w:start w:w="60" w:type="dxa"/>
              <w:bottom w:w="60" w:type="dxa"/>
              <w:end w:w="60" w:type="dxa"/>
            </w:tcMar>
          </w:tcPr>
          <w:p>
            <w:pPr>
              <w:spacing w:after="20"/>
            </w:pPr>
            <w:r>
              <w:rPr>
                <w:sz w:val="14"/>
              </w:rPr>
              <w:t>Consent, cohort feasibility, study visits, eSource interfaces and de-identified analytics subject to governance.</w:t>
            </w:r>
          </w:p>
        </w:tc>
      </w:tr>
      <w:tr>
        <w:tc>
          <w:tcPr>
            <w:tcW w:type="dxa" w:w="2592"/>
            <w:vAlign w:val="top"/>
            <w:tcMar>
              <w:top w:w="60" w:type="dxa"/>
              <w:start w:w="60" w:type="dxa"/>
              <w:bottom w:w="60" w:type="dxa"/>
              <w:end w:w="60" w:type="dxa"/>
            </w:tcMar>
          </w:tcPr>
          <w:p>
            <w:pPr>
              <w:spacing w:after="20"/>
            </w:pPr>
            <w:r>
              <w:rPr>
                <w:sz w:val="14"/>
              </w:rPr>
              <w:t>Genomics</w:t>
            </w:r>
          </w:p>
        </w:tc>
        <w:tc>
          <w:tcPr>
            <w:tcW w:type="dxa" w:w="8208"/>
            <w:vAlign w:val="top"/>
            <w:tcMar>
              <w:top w:w="60" w:type="dxa"/>
              <w:start w:w="60" w:type="dxa"/>
              <w:bottom w:w="60" w:type="dxa"/>
              <w:end w:w="60" w:type="dxa"/>
            </w:tcMar>
          </w:tcPr>
          <w:p>
            <w:pPr>
              <w:spacing w:after="20"/>
            </w:pPr>
            <w:r>
              <w:rPr>
                <w:sz w:val="14"/>
              </w:rPr>
              <w:t>Structured genomic observations, family workflows and advanced oncology/rare-disease integration.</w:t>
            </w:r>
          </w:p>
        </w:tc>
      </w:tr>
      <w:tr>
        <w:tc>
          <w:tcPr>
            <w:tcW w:type="dxa" w:w="2592"/>
            <w:vAlign w:val="top"/>
            <w:tcMar>
              <w:top w:w="60" w:type="dxa"/>
              <w:start w:w="60" w:type="dxa"/>
              <w:bottom w:w="60" w:type="dxa"/>
              <w:end w:w="60" w:type="dxa"/>
            </w:tcMar>
          </w:tcPr>
          <w:p>
            <w:pPr>
              <w:spacing w:after="20"/>
            </w:pPr>
            <w:r>
              <w:rPr>
                <w:sz w:val="14"/>
              </w:rPr>
              <w:t>Network procurement</w:t>
            </w:r>
          </w:p>
        </w:tc>
        <w:tc>
          <w:tcPr>
            <w:tcW w:type="dxa" w:w="8208"/>
            <w:vAlign w:val="top"/>
            <w:tcMar>
              <w:top w:w="60" w:type="dxa"/>
              <w:start w:w="60" w:type="dxa"/>
              <w:bottom w:w="60" w:type="dxa"/>
              <w:end w:w="60" w:type="dxa"/>
            </w:tcMar>
          </w:tcPr>
          <w:p>
            <w:pPr>
              <w:spacing w:after="20"/>
            </w:pPr>
            <w:r>
              <w:rPr>
                <w:sz w:val="14"/>
              </w:rPr>
              <w:t>Hospital/pharmacy demand aggregation, tenders, negotiated catalog and supplier marketplace.</w:t>
            </w:r>
          </w:p>
        </w:tc>
      </w:tr>
      <w:tr>
        <w:tc>
          <w:tcPr>
            <w:tcW w:type="dxa" w:w="2592"/>
            <w:vAlign w:val="top"/>
            <w:tcMar>
              <w:top w:w="60" w:type="dxa"/>
              <w:start w:w="60" w:type="dxa"/>
              <w:bottom w:w="60" w:type="dxa"/>
              <w:end w:w="60" w:type="dxa"/>
            </w:tcMar>
          </w:tcPr>
          <w:p>
            <w:pPr>
              <w:spacing w:after="20"/>
            </w:pPr>
            <w:r>
              <w:rPr>
                <w:sz w:val="14"/>
              </w:rPr>
              <w:t>Advanced supply chain</w:t>
            </w:r>
          </w:p>
        </w:tc>
        <w:tc>
          <w:tcPr>
            <w:tcW w:type="dxa" w:w="8208"/>
            <w:vAlign w:val="top"/>
            <w:tcMar>
              <w:top w:w="60" w:type="dxa"/>
              <w:start w:w="60" w:type="dxa"/>
              <w:bottom w:w="60" w:type="dxa"/>
              <w:end w:w="60" w:type="dxa"/>
            </w:tcMar>
          </w:tcPr>
          <w:p>
            <w:pPr>
              <w:spacing w:after="20"/>
            </w:pPr>
            <w:r>
              <w:rPr>
                <w:sz w:val="14"/>
              </w:rPr>
              <w:t>Multi-echelon optimization, control tower, demand sensing and manufacturer replenishment collaboration.</w:t>
            </w:r>
          </w:p>
        </w:tc>
      </w:tr>
      <w:tr>
        <w:tc>
          <w:tcPr>
            <w:tcW w:type="dxa" w:w="2592"/>
            <w:vAlign w:val="top"/>
            <w:tcMar>
              <w:top w:w="60" w:type="dxa"/>
              <w:start w:w="60" w:type="dxa"/>
              <w:bottom w:w="60" w:type="dxa"/>
              <w:end w:w="60" w:type="dxa"/>
            </w:tcMar>
          </w:tcPr>
          <w:p>
            <w:pPr>
              <w:spacing w:after="20"/>
            </w:pPr>
            <w:r>
              <w:rPr>
                <w:sz w:val="14"/>
              </w:rPr>
              <w:t>Advanced imaging AI</w:t>
            </w:r>
          </w:p>
        </w:tc>
        <w:tc>
          <w:tcPr>
            <w:tcW w:type="dxa" w:w="8208"/>
            <w:vAlign w:val="top"/>
            <w:tcMar>
              <w:top w:w="60" w:type="dxa"/>
              <w:start w:w="60" w:type="dxa"/>
              <w:bottom w:w="60" w:type="dxa"/>
              <w:end w:w="60" w:type="dxa"/>
            </w:tcMar>
          </w:tcPr>
          <w:p>
            <w:pPr>
              <w:spacing w:after="20"/>
            </w:pPr>
            <w:r>
              <w:rPr>
                <w:sz w:val="14"/>
              </w:rPr>
              <w:t>Governed inference routing and radiologist worklist prioritization subject to regulatory/device classification.</w:t>
            </w:r>
          </w:p>
        </w:tc>
      </w:tr>
      <w:tr>
        <w:tc>
          <w:tcPr>
            <w:tcW w:type="dxa" w:w="2592"/>
            <w:vAlign w:val="top"/>
            <w:tcMar>
              <w:top w:w="60" w:type="dxa"/>
              <w:start w:w="60" w:type="dxa"/>
              <w:bottom w:w="60" w:type="dxa"/>
              <w:end w:w="60" w:type="dxa"/>
            </w:tcMar>
          </w:tcPr>
          <w:p>
            <w:pPr>
              <w:spacing w:after="20"/>
            </w:pPr>
            <w:r>
              <w:rPr>
                <w:sz w:val="14"/>
              </w:rPr>
              <w:t>Internationalization</w:t>
            </w:r>
          </w:p>
        </w:tc>
        <w:tc>
          <w:tcPr>
            <w:tcW w:type="dxa" w:w="8208"/>
            <w:vAlign w:val="top"/>
            <w:tcMar>
              <w:top w:w="60" w:type="dxa"/>
              <w:start w:w="60" w:type="dxa"/>
              <w:bottom w:w="60" w:type="dxa"/>
              <w:end w:w="60" w:type="dxa"/>
            </w:tcMar>
          </w:tcPr>
          <w:p>
            <w:pPr>
              <w:spacing w:after="20"/>
            </w:pPr>
            <w:r>
              <w:rPr>
                <w:sz w:val="14"/>
              </w:rPr>
              <w:t>Country packs for terminology, tax, insurance, privacy, claims and pharmacy regulation.</w:t>
            </w:r>
          </w:p>
        </w:tc>
      </w:tr>
    </w:tbl>
    <w:p>
      <w:pPr>
        <w:spacing w:after="20"/>
      </w:pPr>
    </w:p>
    <w:p>
      <w:pPr>
        <w:pStyle w:val="Heading1"/>
      </w:pPr>
      <w:r>
        <w:t>36. RACI / Ownership Baseline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944"/>
            <w:shd w:fill="D9EAF7"/>
            <w:vAlign w:val="center"/>
            <w:tcMar>
              <w:top w:w="60" w:type="dxa"/>
              <w:start w:w="60" w:type="dxa"/>
              <w:bottom w:w="60" w:type="dxa"/>
              <w:end w:w="60" w:type="dxa"/>
            </w:tcMar>
          </w:tcPr>
          <w:p>
            <w:r>
              <w:rPr>
                <w:b/>
                <w:sz w:val="13"/>
              </w:rPr>
              <w:t>Workstream</w:t>
            </w:r>
          </w:p>
        </w:tc>
        <w:tc>
          <w:tcPr>
            <w:tcW w:type="dxa" w:w="2088"/>
            <w:shd w:fill="D9EAF7"/>
            <w:vAlign w:val="center"/>
            <w:tcMar>
              <w:top w:w="60" w:type="dxa"/>
              <w:start w:w="60" w:type="dxa"/>
              <w:bottom w:w="60" w:type="dxa"/>
              <w:end w:w="60" w:type="dxa"/>
            </w:tcMar>
          </w:tcPr>
          <w:p>
            <w:r>
              <w:rPr>
                <w:b/>
                <w:sz w:val="13"/>
              </w:rPr>
              <w:t>Responsible</w:t>
            </w:r>
          </w:p>
        </w:tc>
        <w:tc>
          <w:tcPr>
            <w:tcW w:type="dxa" w:w="2304"/>
            <w:shd w:fill="D9EAF7"/>
            <w:vAlign w:val="center"/>
            <w:tcMar>
              <w:top w:w="60" w:type="dxa"/>
              <w:start w:w="60" w:type="dxa"/>
              <w:bottom w:w="60" w:type="dxa"/>
              <w:end w:w="60" w:type="dxa"/>
            </w:tcMar>
          </w:tcPr>
          <w:p>
            <w:r>
              <w:rPr>
                <w:b/>
                <w:sz w:val="13"/>
              </w:rPr>
              <w:t>Accountable</w:t>
            </w:r>
          </w:p>
        </w:tc>
        <w:tc>
          <w:tcPr>
            <w:tcW w:type="dxa" w:w="2520"/>
            <w:shd w:fill="D9EAF7"/>
            <w:vAlign w:val="center"/>
            <w:tcMar>
              <w:top w:w="60" w:type="dxa"/>
              <w:start w:w="60" w:type="dxa"/>
              <w:bottom w:w="60" w:type="dxa"/>
              <w:end w:w="60" w:type="dxa"/>
            </w:tcMar>
          </w:tcPr>
          <w:p>
            <w:r>
              <w:rPr>
                <w:b/>
                <w:sz w:val="13"/>
              </w:rPr>
              <w:t>Consulted</w:t>
            </w:r>
          </w:p>
        </w:tc>
        <w:tc>
          <w:tcPr>
            <w:tcW w:type="dxa" w:w="1944"/>
            <w:shd w:fill="D9EAF7"/>
            <w:vAlign w:val="center"/>
            <w:tcMar>
              <w:top w:w="60" w:type="dxa"/>
              <w:start w:w="60" w:type="dxa"/>
              <w:bottom w:w="60" w:type="dxa"/>
              <w:end w:w="60" w:type="dxa"/>
            </w:tcMar>
          </w:tcPr>
          <w:p>
            <w:r>
              <w:rPr>
                <w:b/>
                <w:sz w:val="13"/>
              </w:rPr>
              <w:t>Informed</w:t>
            </w:r>
          </w:p>
        </w:tc>
      </w:tr>
      <w:tr>
        <w:tc>
          <w:tcPr>
            <w:tcW w:type="dxa" w:w="1944"/>
            <w:vAlign w:val="top"/>
            <w:tcMar>
              <w:top w:w="60" w:type="dxa"/>
              <w:start w:w="60" w:type="dxa"/>
              <w:bottom w:w="60" w:type="dxa"/>
              <w:end w:w="60" w:type="dxa"/>
            </w:tcMar>
          </w:tcPr>
          <w:p>
            <w:pPr>
              <w:spacing w:after="20"/>
            </w:pPr>
            <w:r>
              <w:rPr>
                <w:sz w:val="13"/>
              </w:rPr>
              <w:t>Clinical content</w:t>
            </w:r>
          </w:p>
        </w:tc>
        <w:tc>
          <w:tcPr>
            <w:tcW w:type="dxa" w:w="2088"/>
            <w:vAlign w:val="top"/>
            <w:tcMar>
              <w:top w:w="60" w:type="dxa"/>
              <w:start w:w="60" w:type="dxa"/>
              <w:bottom w:w="60" w:type="dxa"/>
              <w:end w:w="60" w:type="dxa"/>
            </w:tcMar>
          </w:tcPr>
          <w:p>
            <w:pPr>
              <w:spacing w:after="20"/>
            </w:pPr>
            <w:r>
              <w:rPr>
                <w:sz w:val="13"/>
              </w:rPr>
              <w:t>Clinical Informatics Lead</w:t>
            </w:r>
          </w:p>
        </w:tc>
        <w:tc>
          <w:tcPr>
            <w:tcW w:type="dxa" w:w="2304"/>
            <w:vAlign w:val="top"/>
            <w:tcMar>
              <w:top w:w="60" w:type="dxa"/>
              <w:start w:w="60" w:type="dxa"/>
              <w:bottom w:w="60" w:type="dxa"/>
              <w:end w:w="60" w:type="dxa"/>
            </w:tcMar>
          </w:tcPr>
          <w:p>
            <w:pPr>
              <w:spacing w:after="20"/>
            </w:pPr>
            <w:r>
              <w:rPr>
                <w:sz w:val="13"/>
              </w:rPr>
              <w:t>Specialty clinical owner</w:t>
            </w:r>
          </w:p>
        </w:tc>
        <w:tc>
          <w:tcPr>
            <w:tcW w:type="dxa" w:w="2520"/>
            <w:vAlign w:val="top"/>
            <w:tcMar>
              <w:top w:w="60" w:type="dxa"/>
              <w:start w:w="60" w:type="dxa"/>
              <w:bottom w:w="60" w:type="dxa"/>
              <w:end w:w="60" w:type="dxa"/>
            </w:tcMar>
          </w:tcPr>
          <w:p>
            <w:pPr>
              <w:spacing w:after="20"/>
            </w:pPr>
            <w:r>
              <w:rPr>
                <w:sz w:val="13"/>
              </w:rPr>
              <w:t>Product, QA</w:t>
            </w:r>
          </w:p>
        </w:tc>
        <w:tc>
          <w:tcPr>
            <w:tcW w:type="dxa" w:w="1944"/>
            <w:vAlign w:val="top"/>
            <w:tcMar>
              <w:top w:w="60" w:type="dxa"/>
              <w:start w:w="60" w:type="dxa"/>
              <w:bottom w:w="60" w:type="dxa"/>
              <w:end w:w="60" w:type="dxa"/>
            </w:tcMar>
          </w:tcPr>
          <w:p>
            <w:pPr>
              <w:spacing w:after="20"/>
            </w:pPr>
            <w:r>
              <w:rPr>
                <w:sz w:val="13"/>
              </w:rPr>
              <w:t>Engineering</w:t>
            </w:r>
          </w:p>
        </w:tc>
      </w:tr>
      <w:tr>
        <w:tc>
          <w:tcPr>
            <w:tcW w:type="dxa" w:w="1944"/>
            <w:vAlign w:val="top"/>
            <w:tcMar>
              <w:top w:w="60" w:type="dxa"/>
              <w:start w:w="60" w:type="dxa"/>
              <w:bottom w:w="60" w:type="dxa"/>
              <w:end w:w="60" w:type="dxa"/>
            </w:tcMar>
          </w:tcPr>
          <w:p>
            <w:pPr>
              <w:spacing w:after="20"/>
            </w:pPr>
            <w:r>
              <w:rPr>
                <w:sz w:val="13"/>
              </w:rPr>
              <w:t>Clinical safety</w:t>
            </w:r>
          </w:p>
        </w:tc>
        <w:tc>
          <w:tcPr>
            <w:tcW w:type="dxa" w:w="2088"/>
            <w:vAlign w:val="top"/>
            <w:tcMar>
              <w:top w:w="60" w:type="dxa"/>
              <w:start w:w="60" w:type="dxa"/>
              <w:bottom w:w="60" w:type="dxa"/>
              <w:end w:w="60" w:type="dxa"/>
            </w:tcMar>
          </w:tcPr>
          <w:p>
            <w:pPr>
              <w:spacing w:after="20"/>
            </w:pPr>
            <w:r>
              <w:rPr>
                <w:sz w:val="13"/>
              </w:rPr>
              <w:t>Clinical Safety Board</w:t>
            </w:r>
          </w:p>
        </w:tc>
        <w:tc>
          <w:tcPr>
            <w:tcW w:type="dxa" w:w="2304"/>
            <w:vAlign w:val="top"/>
            <w:tcMar>
              <w:top w:w="60" w:type="dxa"/>
              <w:start w:w="60" w:type="dxa"/>
              <w:bottom w:w="60" w:type="dxa"/>
              <w:end w:w="60" w:type="dxa"/>
            </w:tcMar>
          </w:tcPr>
          <w:p>
            <w:pPr>
              <w:spacing w:after="20"/>
            </w:pPr>
            <w:r>
              <w:rPr>
                <w:sz w:val="13"/>
              </w:rPr>
              <w:t>CMO/clinical authority</w:t>
            </w:r>
          </w:p>
        </w:tc>
        <w:tc>
          <w:tcPr>
            <w:tcW w:type="dxa" w:w="2520"/>
            <w:vAlign w:val="top"/>
            <w:tcMar>
              <w:top w:w="60" w:type="dxa"/>
              <w:start w:w="60" w:type="dxa"/>
              <w:bottom w:w="60" w:type="dxa"/>
              <w:end w:w="60" w:type="dxa"/>
            </w:tcMar>
          </w:tcPr>
          <w:p>
            <w:pPr>
              <w:spacing w:after="20"/>
            </w:pPr>
            <w:r>
              <w:rPr>
                <w:sz w:val="13"/>
              </w:rPr>
              <w:t>Engineering, QA, Security</w:t>
            </w:r>
          </w:p>
        </w:tc>
        <w:tc>
          <w:tcPr>
            <w:tcW w:type="dxa" w:w="1944"/>
            <w:vAlign w:val="top"/>
            <w:tcMar>
              <w:top w:w="60" w:type="dxa"/>
              <w:start w:w="60" w:type="dxa"/>
              <w:bottom w:w="60" w:type="dxa"/>
              <w:end w:w="60" w:type="dxa"/>
            </w:tcMar>
          </w:tcPr>
          <w:p>
            <w:pPr>
              <w:spacing w:after="20"/>
            </w:pPr>
            <w:r>
              <w:rPr>
                <w:sz w:val="13"/>
              </w:rPr>
              <w:t>Executive sponsor</w:t>
            </w:r>
          </w:p>
        </w:tc>
      </w:tr>
      <w:tr>
        <w:tc>
          <w:tcPr>
            <w:tcW w:type="dxa" w:w="1944"/>
            <w:vAlign w:val="top"/>
            <w:tcMar>
              <w:top w:w="60" w:type="dxa"/>
              <w:start w:w="60" w:type="dxa"/>
              <w:bottom w:w="60" w:type="dxa"/>
              <w:end w:w="60" w:type="dxa"/>
            </w:tcMar>
          </w:tcPr>
          <w:p>
            <w:pPr>
              <w:spacing w:after="20"/>
            </w:pPr>
            <w:r>
              <w:rPr>
                <w:sz w:val="13"/>
              </w:rPr>
              <w:t>Architecture</w:t>
            </w:r>
          </w:p>
        </w:tc>
        <w:tc>
          <w:tcPr>
            <w:tcW w:type="dxa" w:w="2088"/>
            <w:vAlign w:val="top"/>
            <w:tcMar>
              <w:top w:w="60" w:type="dxa"/>
              <w:start w:w="60" w:type="dxa"/>
              <w:bottom w:w="60" w:type="dxa"/>
              <w:end w:w="60" w:type="dxa"/>
            </w:tcMar>
          </w:tcPr>
          <w:p>
            <w:pPr>
              <w:spacing w:after="20"/>
            </w:pPr>
            <w:r>
              <w:rPr>
                <w:sz w:val="13"/>
              </w:rPr>
              <w:t>Principal Architect</w:t>
            </w:r>
          </w:p>
        </w:tc>
        <w:tc>
          <w:tcPr>
            <w:tcW w:type="dxa" w:w="2304"/>
            <w:vAlign w:val="top"/>
            <w:tcMar>
              <w:top w:w="60" w:type="dxa"/>
              <w:start w:w="60" w:type="dxa"/>
              <w:bottom w:w="60" w:type="dxa"/>
              <w:end w:w="60" w:type="dxa"/>
            </w:tcMar>
          </w:tcPr>
          <w:p>
            <w:pPr>
              <w:spacing w:after="20"/>
            </w:pPr>
            <w:r>
              <w:rPr>
                <w:sz w:val="13"/>
              </w:rPr>
              <w:t>CTO</w:t>
            </w:r>
          </w:p>
        </w:tc>
        <w:tc>
          <w:tcPr>
            <w:tcW w:type="dxa" w:w="2520"/>
            <w:vAlign w:val="top"/>
            <w:tcMar>
              <w:top w:w="60" w:type="dxa"/>
              <w:start w:w="60" w:type="dxa"/>
              <w:bottom w:w="60" w:type="dxa"/>
              <w:end w:w="60" w:type="dxa"/>
            </w:tcMar>
          </w:tcPr>
          <w:p>
            <w:pPr>
              <w:spacing w:after="20"/>
            </w:pPr>
            <w:r>
              <w:rPr>
                <w:sz w:val="13"/>
              </w:rPr>
              <w:t>Domain leads, SRE, Security</w:t>
            </w:r>
          </w:p>
        </w:tc>
        <w:tc>
          <w:tcPr>
            <w:tcW w:type="dxa" w:w="1944"/>
            <w:vAlign w:val="top"/>
            <w:tcMar>
              <w:top w:w="60" w:type="dxa"/>
              <w:start w:w="60" w:type="dxa"/>
              <w:bottom w:w="60" w:type="dxa"/>
              <w:end w:w="60" w:type="dxa"/>
            </w:tcMar>
          </w:tcPr>
          <w:p>
            <w:pPr>
              <w:spacing w:after="20"/>
            </w:pPr>
            <w:r>
              <w:rPr>
                <w:sz w:val="13"/>
              </w:rPr>
              <w:t>Product</w:t>
            </w:r>
          </w:p>
        </w:tc>
      </w:tr>
      <w:tr>
        <w:tc>
          <w:tcPr>
            <w:tcW w:type="dxa" w:w="1944"/>
            <w:vAlign w:val="top"/>
            <w:tcMar>
              <w:top w:w="60" w:type="dxa"/>
              <w:start w:w="60" w:type="dxa"/>
              <w:bottom w:w="60" w:type="dxa"/>
              <w:end w:w="60" w:type="dxa"/>
            </w:tcMar>
          </w:tcPr>
          <w:p>
            <w:pPr>
              <w:spacing w:after="20"/>
            </w:pPr>
            <w:r>
              <w:rPr>
                <w:sz w:val="13"/>
              </w:rPr>
              <w:t>Security/privacy</w:t>
            </w:r>
          </w:p>
        </w:tc>
        <w:tc>
          <w:tcPr>
            <w:tcW w:type="dxa" w:w="2088"/>
            <w:vAlign w:val="top"/>
            <w:tcMar>
              <w:top w:w="60" w:type="dxa"/>
              <w:start w:w="60" w:type="dxa"/>
              <w:bottom w:w="60" w:type="dxa"/>
              <w:end w:w="60" w:type="dxa"/>
            </w:tcMar>
          </w:tcPr>
          <w:p>
            <w:pPr>
              <w:spacing w:after="20"/>
            </w:pPr>
            <w:r>
              <w:rPr>
                <w:sz w:val="13"/>
              </w:rPr>
              <w:t>Security/Privacy Lead</w:t>
            </w:r>
          </w:p>
        </w:tc>
        <w:tc>
          <w:tcPr>
            <w:tcW w:type="dxa" w:w="2304"/>
            <w:vAlign w:val="top"/>
            <w:tcMar>
              <w:top w:w="60" w:type="dxa"/>
              <w:start w:w="60" w:type="dxa"/>
              <w:bottom w:w="60" w:type="dxa"/>
              <w:end w:w="60" w:type="dxa"/>
            </w:tcMar>
          </w:tcPr>
          <w:p>
            <w:pPr>
              <w:spacing w:after="20"/>
            </w:pPr>
            <w:r>
              <w:rPr>
                <w:sz w:val="13"/>
              </w:rPr>
              <w:t>CISO/DPO or appointed authority</w:t>
            </w:r>
          </w:p>
        </w:tc>
        <w:tc>
          <w:tcPr>
            <w:tcW w:type="dxa" w:w="2520"/>
            <w:vAlign w:val="top"/>
            <w:tcMar>
              <w:top w:w="60" w:type="dxa"/>
              <w:start w:w="60" w:type="dxa"/>
              <w:bottom w:w="60" w:type="dxa"/>
              <w:end w:w="60" w:type="dxa"/>
            </w:tcMar>
          </w:tcPr>
          <w:p>
            <w:pPr>
              <w:spacing w:after="20"/>
            </w:pPr>
            <w:r>
              <w:rPr>
                <w:sz w:val="13"/>
              </w:rPr>
              <w:t>Engineering, Legal/Compliance</w:t>
            </w:r>
          </w:p>
        </w:tc>
        <w:tc>
          <w:tcPr>
            <w:tcW w:type="dxa" w:w="1944"/>
            <w:vAlign w:val="top"/>
            <w:tcMar>
              <w:top w:w="60" w:type="dxa"/>
              <w:start w:w="60" w:type="dxa"/>
              <w:bottom w:w="60" w:type="dxa"/>
              <w:end w:w="60" w:type="dxa"/>
            </w:tcMar>
          </w:tcPr>
          <w:p>
            <w:pPr>
              <w:spacing w:after="20"/>
            </w:pPr>
            <w:r>
              <w:rPr>
                <w:sz w:val="13"/>
              </w:rPr>
              <w:t>Executive sponsor</w:t>
            </w:r>
          </w:p>
        </w:tc>
      </w:tr>
      <w:tr>
        <w:tc>
          <w:tcPr>
            <w:tcW w:type="dxa" w:w="1944"/>
            <w:vAlign w:val="top"/>
            <w:tcMar>
              <w:top w:w="60" w:type="dxa"/>
              <w:start w:w="60" w:type="dxa"/>
              <w:bottom w:w="60" w:type="dxa"/>
              <w:end w:w="60" w:type="dxa"/>
            </w:tcMar>
          </w:tcPr>
          <w:p>
            <w:pPr>
              <w:spacing w:after="20"/>
            </w:pPr>
            <w:r>
              <w:rPr>
                <w:sz w:val="13"/>
              </w:rPr>
              <w:t>Pharma workflows</w:t>
            </w:r>
          </w:p>
        </w:tc>
        <w:tc>
          <w:tcPr>
            <w:tcW w:type="dxa" w:w="2088"/>
            <w:vAlign w:val="top"/>
            <w:tcMar>
              <w:top w:w="60" w:type="dxa"/>
              <w:start w:w="60" w:type="dxa"/>
              <w:bottom w:w="60" w:type="dxa"/>
              <w:end w:w="60" w:type="dxa"/>
            </w:tcMar>
          </w:tcPr>
          <w:p>
            <w:pPr>
              <w:spacing w:after="20"/>
            </w:pPr>
            <w:r>
              <w:rPr>
                <w:sz w:val="13"/>
              </w:rPr>
              <w:t>Pharma Product Lead</w:t>
            </w:r>
          </w:p>
        </w:tc>
        <w:tc>
          <w:tcPr>
            <w:tcW w:type="dxa" w:w="2304"/>
            <w:vAlign w:val="top"/>
            <w:tcMar>
              <w:top w:w="60" w:type="dxa"/>
              <w:start w:w="60" w:type="dxa"/>
              <w:bottom w:w="60" w:type="dxa"/>
              <w:end w:w="60" w:type="dxa"/>
            </w:tcMar>
          </w:tcPr>
          <w:p>
            <w:pPr>
              <w:spacing w:after="20"/>
            </w:pPr>
            <w:r>
              <w:rPr>
                <w:sz w:val="13"/>
              </w:rPr>
              <w:t>Licensed/authorized operational owner</w:t>
            </w:r>
          </w:p>
        </w:tc>
        <w:tc>
          <w:tcPr>
            <w:tcW w:type="dxa" w:w="2520"/>
            <w:vAlign w:val="top"/>
            <w:tcMar>
              <w:top w:w="60" w:type="dxa"/>
              <w:start w:w="60" w:type="dxa"/>
              <w:bottom w:w="60" w:type="dxa"/>
              <w:end w:w="60" w:type="dxa"/>
            </w:tcMar>
          </w:tcPr>
          <w:p>
            <w:pPr>
              <w:spacing w:after="20"/>
            </w:pPr>
            <w:r>
              <w:rPr>
                <w:sz w:val="13"/>
              </w:rPr>
              <w:t>Finance, warehouse, engineering</w:t>
            </w:r>
          </w:p>
        </w:tc>
        <w:tc>
          <w:tcPr>
            <w:tcW w:type="dxa" w:w="1944"/>
            <w:vAlign w:val="top"/>
            <w:tcMar>
              <w:top w:w="60" w:type="dxa"/>
              <w:start w:w="60" w:type="dxa"/>
              <w:bottom w:w="60" w:type="dxa"/>
              <w:end w:w="60" w:type="dxa"/>
            </w:tcMar>
          </w:tcPr>
          <w:p>
            <w:pPr>
              <w:spacing w:after="20"/>
            </w:pPr>
            <w:r>
              <w:rPr>
                <w:sz w:val="13"/>
              </w:rPr>
              <w:t>Product council</w:t>
            </w:r>
          </w:p>
        </w:tc>
      </w:tr>
      <w:tr>
        <w:tc>
          <w:tcPr>
            <w:tcW w:type="dxa" w:w="1944"/>
            <w:vAlign w:val="top"/>
            <w:tcMar>
              <w:top w:w="60" w:type="dxa"/>
              <w:start w:w="60" w:type="dxa"/>
              <w:bottom w:w="60" w:type="dxa"/>
              <w:end w:w="60" w:type="dxa"/>
            </w:tcMar>
          </w:tcPr>
          <w:p>
            <w:pPr>
              <w:spacing w:after="20"/>
            </w:pPr>
            <w:r>
              <w:rPr>
                <w:sz w:val="13"/>
              </w:rPr>
              <w:t>Diagnostics</w:t>
            </w:r>
          </w:p>
        </w:tc>
        <w:tc>
          <w:tcPr>
            <w:tcW w:type="dxa" w:w="2088"/>
            <w:vAlign w:val="top"/>
            <w:tcMar>
              <w:top w:w="60" w:type="dxa"/>
              <w:start w:w="60" w:type="dxa"/>
              <w:bottom w:w="60" w:type="dxa"/>
              <w:end w:w="60" w:type="dxa"/>
            </w:tcMar>
          </w:tcPr>
          <w:p>
            <w:pPr>
              <w:spacing w:after="20"/>
            </w:pPr>
            <w:r>
              <w:rPr>
                <w:sz w:val="13"/>
              </w:rPr>
              <w:t>Diagnostics Product Lead</w:t>
            </w:r>
          </w:p>
        </w:tc>
        <w:tc>
          <w:tcPr>
            <w:tcW w:type="dxa" w:w="2304"/>
            <w:vAlign w:val="top"/>
            <w:tcMar>
              <w:top w:w="60" w:type="dxa"/>
              <w:start w:w="60" w:type="dxa"/>
              <w:bottom w:w="60" w:type="dxa"/>
              <w:end w:w="60" w:type="dxa"/>
            </w:tcMar>
          </w:tcPr>
          <w:p>
            <w:pPr>
              <w:spacing w:after="20"/>
            </w:pPr>
            <w:r>
              <w:rPr>
                <w:sz w:val="13"/>
              </w:rPr>
              <w:t>Lab/radiology clinical authority</w:t>
            </w:r>
          </w:p>
        </w:tc>
        <w:tc>
          <w:tcPr>
            <w:tcW w:type="dxa" w:w="2520"/>
            <w:vAlign w:val="top"/>
            <w:tcMar>
              <w:top w:w="60" w:type="dxa"/>
              <w:start w:w="60" w:type="dxa"/>
              <w:bottom w:w="60" w:type="dxa"/>
              <w:end w:w="60" w:type="dxa"/>
            </w:tcMar>
          </w:tcPr>
          <w:p>
            <w:pPr>
              <w:spacing w:after="20"/>
            </w:pPr>
            <w:r>
              <w:rPr>
                <w:sz w:val="13"/>
              </w:rPr>
              <w:t>Quality, integration, engineering</w:t>
            </w:r>
          </w:p>
        </w:tc>
        <w:tc>
          <w:tcPr>
            <w:tcW w:type="dxa" w:w="1944"/>
            <w:vAlign w:val="top"/>
            <w:tcMar>
              <w:top w:w="60" w:type="dxa"/>
              <w:start w:w="60" w:type="dxa"/>
              <w:bottom w:w="60" w:type="dxa"/>
              <w:end w:w="60" w:type="dxa"/>
            </w:tcMar>
          </w:tcPr>
          <w:p>
            <w:pPr>
              <w:spacing w:after="20"/>
            </w:pPr>
            <w:r>
              <w:rPr>
                <w:sz w:val="13"/>
              </w:rPr>
              <w:t>Product council</w:t>
            </w:r>
          </w:p>
        </w:tc>
      </w:tr>
      <w:tr>
        <w:tc>
          <w:tcPr>
            <w:tcW w:type="dxa" w:w="1944"/>
            <w:vAlign w:val="top"/>
            <w:tcMar>
              <w:top w:w="60" w:type="dxa"/>
              <w:start w:w="60" w:type="dxa"/>
              <w:bottom w:w="60" w:type="dxa"/>
              <w:end w:w="60" w:type="dxa"/>
            </w:tcMar>
          </w:tcPr>
          <w:p>
            <w:pPr>
              <w:spacing w:after="20"/>
            </w:pPr>
            <w:r>
              <w:rPr>
                <w:sz w:val="13"/>
              </w:rPr>
              <w:t>Claims</w:t>
            </w:r>
          </w:p>
        </w:tc>
        <w:tc>
          <w:tcPr>
            <w:tcW w:type="dxa" w:w="2088"/>
            <w:vAlign w:val="top"/>
            <w:tcMar>
              <w:top w:w="60" w:type="dxa"/>
              <w:start w:w="60" w:type="dxa"/>
              <w:bottom w:w="60" w:type="dxa"/>
              <w:end w:w="60" w:type="dxa"/>
            </w:tcMar>
          </w:tcPr>
          <w:p>
            <w:pPr>
              <w:spacing w:after="20"/>
            </w:pPr>
            <w:r>
              <w:rPr>
                <w:sz w:val="13"/>
              </w:rPr>
              <w:t>Revenue/Insurance Lead</w:t>
            </w:r>
          </w:p>
        </w:tc>
        <w:tc>
          <w:tcPr>
            <w:tcW w:type="dxa" w:w="2304"/>
            <w:vAlign w:val="top"/>
            <w:tcMar>
              <w:top w:w="60" w:type="dxa"/>
              <w:start w:w="60" w:type="dxa"/>
              <w:bottom w:w="60" w:type="dxa"/>
              <w:end w:w="60" w:type="dxa"/>
            </w:tcMar>
          </w:tcPr>
          <w:p>
            <w:pPr>
              <w:spacing w:after="20"/>
            </w:pPr>
            <w:r>
              <w:rPr>
                <w:sz w:val="13"/>
              </w:rPr>
              <w:t>Finance/RCM owner</w:t>
            </w:r>
          </w:p>
        </w:tc>
        <w:tc>
          <w:tcPr>
            <w:tcW w:type="dxa" w:w="2520"/>
            <w:vAlign w:val="top"/>
            <w:tcMar>
              <w:top w:w="60" w:type="dxa"/>
              <w:start w:w="60" w:type="dxa"/>
              <w:bottom w:w="60" w:type="dxa"/>
              <w:end w:w="60" w:type="dxa"/>
            </w:tcMar>
          </w:tcPr>
          <w:p>
            <w:pPr>
              <w:spacing w:after="20"/>
            </w:pPr>
            <w:r>
              <w:rPr>
                <w:sz w:val="13"/>
              </w:rPr>
              <w:t>Clinical coding, integration</w:t>
            </w:r>
          </w:p>
        </w:tc>
        <w:tc>
          <w:tcPr>
            <w:tcW w:type="dxa" w:w="1944"/>
            <w:vAlign w:val="top"/>
            <w:tcMar>
              <w:top w:w="60" w:type="dxa"/>
              <w:start w:w="60" w:type="dxa"/>
              <w:bottom w:w="60" w:type="dxa"/>
              <w:end w:w="60" w:type="dxa"/>
            </w:tcMar>
          </w:tcPr>
          <w:p>
            <w:pPr>
              <w:spacing w:after="20"/>
            </w:pPr>
            <w:r>
              <w:rPr>
                <w:sz w:val="13"/>
              </w:rPr>
              <w:t>Product council</w:t>
            </w:r>
          </w:p>
        </w:tc>
      </w:tr>
      <w:tr>
        <w:tc>
          <w:tcPr>
            <w:tcW w:type="dxa" w:w="1944"/>
            <w:vAlign w:val="top"/>
            <w:tcMar>
              <w:top w:w="60" w:type="dxa"/>
              <w:start w:w="60" w:type="dxa"/>
              <w:bottom w:w="60" w:type="dxa"/>
              <w:end w:w="60" w:type="dxa"/>
            </w:tcMar>
          </w:tcPr>
          <w:p>
            <w:pPr>
              <w:spacing w:after="20"/>
            </w:pPr>
            <w:r>
              <w:rPr>
                <w:sz w:val="13"/>
              </w:rPr>
              <w:t>SCADA</w:t>
            </w:r>
          </w:p>
        </w:tc>
        <w:tc>
          <w:tcPr>
            <w:tcW w:type="dxa" w:w="2088"/>
            <w:vAlign w:val="top"/>
            <w:tcMar>
              <w:top w:w="60" w:type="dxa"/>
              <w:start w:w="60" w:type="dxa"/>
              <w:bottom w:w="60" w:type="dxa"/>
              <w:end w:w="60" w:type="dxa"/>
            </w:tcMar>
          </w:tcPr>
          <w:p>
            <w:pPr>
              <w:spacing w:after="20"/>
            </w:pPr>
            <w:r>
              <w:rPr>
                <w:sz w:val="13"/>
              </w:rPr>
              <w:t>OT/Facilities Lead</w:t>
            </w:r>
          </w:p>
        </w:tc>
        <w:tc>
          <w:tcPr>
            <w:tcW w:type="dxa" w:w="2304"/>
            <w:vAlign w:val="top"/>
            <w:tcMar>
              <w:top w:w="60" w:type="dxa"/>
              <w:start w:w="60" w:type="dxa"/>
              <w:bottom w:w="60" w:type="dxa"/>
              <w:end w:w="60" w:type="dxa"/>
            </w:tcMar>
          </w:tcPr>
          <w:p>
            <w:pPr>
              <w:spacing w:after="20"/>
            </w:pPr>
            <w:r>
              <w:rPr>
                <w:sz w:val="13"/>
              </w:rPr>
              <w:t>Site engineering authority</w:t>
            </w:r>
          </w:p>
        </w:tc>
        <w:tc>
          <w:tcPr>
            <w:tcW w:type="dxa" w:w="2520"/>
            <w:vAlign w:val="top"/>
            <w:tcMar>
              <w:top w:w="60" w:type="dxa"/>
              <w:start w:w="60" w:type="dxa"/>
              <w:bottom w:w="60" w:type="dxa"/>
              <w:end w:w="60" w:type="dxa"/>
            </w:tcMar>
          </w:tcPr>
          <w:p>
            <w:pPr>
              <w:spacing w:after="20"/>
            </w:pPr>
            <w:r>
              <w:rPr>
                <w:sz w:val="13"/>
              </w:rPr>
              <w:t>Security, vendor, SRE</w:t>
            </w:r>
          </w:p>
        </w:tc>
        <w:tc>
          <w:tcPr>
            <w:tcW w:type="dxa" w:w="1944"/>
            <w:vAlign w:val="top"/>
            <w:tcMar>
              <w:top w:w="60" w:type="dxa"/>
              <w:start w:w="60" w:type="dxa"/>
              <w:bottom w:w="60" w:type="dxa"/>
              <w:end w:w="60" w:type="dxa"/>
            </w:tcMar>
          </w:tcPr>
          <w:p>
            <w:pPr>
              <w:spacing w:after="20"/>
            </w:pPr>
            <w:r>
              <w:rPr>
                <w:sz w:val="13"/>
              </w:rPr>
              <w:t>Hospital operations</w:t>
            </w:r>
          </w:p>
        </w:tc>
      </w:tr>
      <w:tr>
        <w:tc>
          <w:tcPr>
            <w:tcW w:type="dxa" w:w="1944"/>
            <w:vAlign w:val="top"/>
            <w:tcMar>
              <w:top w:w="60" w:type="dxa"/>
              <w:start w:w="60" w:type="dxa"/>
              <w:bottom w:w="60" w:type="dxa"/>
              <w:end w:w="60" w:type="dxa"/>
            </w:tcMar>
          </w:tcPr>
          <w:p>
            <w:pPr>
              <w:spacing w:after="20"/>
            </w:pPr>
            <w:r>
              <w:rPr>
                <w:sz w:val="13"/>
              </w:rPr>
              <w:t>Go-live</w:t>
            </w:r>
          </w:p>
        </w:tc>
        <w:tc>
          <w:tcPr>
            <w:tcW w:type="dxa" w:w="2088"/>
            <w:vAlign w:val="top"/>
            <w:tcMar>
              <w:top w:w="60" w:type="dxa"/>
              <w:start w:w="60" w:type="dxa"/>
              <w:bottom w:w="60" w:type="dxa"/>
              <w:end w:w="60" w:type="dxa"/>
            </w:tcMar>
          </w:tcPr>
          <w:p>
            <w:pPr>
              <w:spacing w:after="20"/>
            </w:pPr>
            <w:r>
              <w:rPr>
                <w:sz w:val="13"/>
              </w:rPr>
              <w:t>Implementation Lead</w:t>
            </w:r>
          </w:p>
        </w:tc>
        <w:tc>
          <w:tcPr>
            <w:tcW w:type="dxa" w:w="2304"/>
            <w:vAlign w:val="top"/>
            <w:tcMar>
              <w:top w:w="60" w:type="dxa"/>
              <w:start w:w="60" w:type="dxa"/>
              <w:bottom w:w="60" w:type="dxa"/>
              <w:end w:w="60" w:type="dxa"/>
            </w:tcMar>
          </w:tcPr>
          <w:p>
            <w:pPr>
              <w:spacing w:after="20"/>
            </w:pPr>
            <w:r>
              <w:rPr>
                <w:sz w:val="13"/>
              </w:rPr>
              <w:t>Customer steering committee</w:t>
            </w:r>
          </w:p>
        </w:tc>
        <w:tc>
          <w:tcPr>
            <w:tcW w:type="dxa" w:w="2520"/>
            <w:vAlign w:val="top"/>
            <w:tcMar>
              <w:top w:w="60" w:type="dxa"/>
              <w:start w:w="60" w:type="dxa"/>
              <w:bottom w:w="60" w:type="dxa"/>
              <w:end w:w="60" w:type="dxa"/>
            </w:tcMar>
          </w:tcPr>
          <w:p>
            <w:pPr>
              <w:spacing w:after="20"/>
            </w:pPr>
            <w:r>
              <w:rPr>
                <w:sz w:val="13"/>
              </w:rPr>
              <w:t>All domain owners</w:t>
            </w:r>
          </w:p>
        </w:tc>
        <w:tc>
          <w:tcPr>
            <w:tcW w:type="dxa" w:w="1944"/>
            <w:vAlign w:val="top"/>
            <w:tcMar>
              <w:top w:w="60" w:type="dxa"/>
              <w:start w:w="60" w:type="dxa"/>
              <w:bottom w:w="60" w:type="dxa"/>
              <w:end w:w="60" w:type="dxa"/>
            </w:tcMar>
          </w:tcPr>
          <w:p>
            <w:pPr>
              <w:spacing w:after="20"/>
            </w:pPr>
            <w:r>
              <w:rPr>
                <w:sz w:val="13"/>
              </w:rPr>
              <w:t>All users</w:t>
            </w:r>
          </w:p>
        </w:tc>
      </w:tr>
    </w:tbl>
    <w:p>
      <w:pPr>
        <w:spacing w:after="20"/>
      </w:pPr>
    </w:p>
    <w:p>
      <w:pPr>
        <w:pStyle w:val="Heading1"/>
      </w:pPr>
      <w:r>
        <w:t>37. Assumptions and Exclusions</w:t>
      </w:r>
    </w:p>
    <w:p>
      <w:pPr>
        <w:pStyle w:val="ListBullet"/>
        <w:spacing w:after="30"/>
      </w:pPr>
      <w:r>
        <w:t>This DPR is a platform baseline. Detailed software requirements specifications (SRS), clinical safety cases, integration specifications and site SOPs are produced per release/customer.</w:t>
      </w:r>
    </w:p>
    <w:p>
      <w:pPr>
        <w:pStyle w:val="ListBullet"/>
        <w:spacing w:after="30"/>
      </w:pPr>
      <w:r>
        <w:t>Drug dispensing, controlled substances, telemedicine, medical-device software, AI/CDS classification, insurance and statutory obligations vary by jurisdiction and intended use; legal/regulatory validation is mandatory.</w:t>
      </w:r>
    </w:p>
    <w:p>
      <w:pPr>
        <w:pStyle w:val="ListBullet"/>
        <w:spacing w:after="30"/>
      </w:pPr>
      <w:r>
        <w:t>Medical devices, analyzers, PACS, SCADA controllers and proprietary vendor licenses are not assumed to be included in SaaS subscription unless contracted.</w:t>
      </w:r>
    </w:p>
    <w:p>
      <w:pPr>
        <w:pStyle w:val="ListBullet"/>
        <w:spacing w:after="30"/>
      </w:pPr>
      <w:r>
        <w:t>Accounting may be native enough for healthcare revenue/subledger operations while general ledger/statutory accounting can integrate with a customer's ERP/accounting platform.</w:t>
      </w:r>
    </w:p>
    <w:p>
      <w:pPr>
        <w:pStyle w:val="ListBullet"/>
        <w:spacing w:after="30"/>
      </w:pPr>
      <w:r>
        <w:t>Specialty packs are activated progressively and are never considered clinically production-ready until signed off by an appropriate clinical owner.</w:t>
      </w:r>
    </w:p>
    <w:p>
      <w:pPr>
        <w:pStyle w:val="ListBullet"/>
        <w:spacing w:after="30"/>
      </w:pPr>
      <w:r>
        <w:t>AI/ML is not permitted to create irreversible clinical, financial, stock or claims actions without the policy-defined deterministic validation and human authority.</w:t>
      </w:r>
    </w:p>
    <w:p>
      <w:pPr>
        <w:pStyle w:val="Heading1"/>
      </w:pPr>
      <w:r>
        <w:t>38. Standards and Reference Baseline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EAF7"/>
            <w:vAlign w:val="center"/>
            <w:tcMar>
              <w:top w:w="60" w:type="dxa"/>
              <w:start w:w="60" w:type="dxa"/>
              <w:bottom w:w="60" w:type="dxa"/>
              <w:end w:w="60" w:type="dxa"/>
            </w:tcMar>
          </w:tcPr>
          <w:p>
            <w:r>
              <w:rPr>
                <w:b/>
                <w:sz w:val="14"/>
              </w:rPr>
              <w:t>Reference</w:t>
            </w:r>
          </w:p>
        </w:tc>
        <w:tc>
          <w:tcPr>
            <w:tcW w:type="dxa" w:w="8208"/>
            <w:shd w:fill="D9EAF7"/>
            <w:vAlign w:val="center"/>
            <w:tcMar>
              <w:top w:w="60" w:type="dxa"/>
              <w:start w:w="60" w:type="dxa"/>
              <w:bottom w:w="60" w:type="dxa"/>
              <w:end w:w="60" w:type="dxa"/>
            </w:tcMar>
          </w:tcPr>
          <w:p>
            <w:r>
              <w:rPr>
                <w:b/>
                <w:sz w:val="14"/>
              </w:rPr>
              <w:t>Use in platform</w:t>
            </w:r>
          </w:p>
        </w:tc>
      </w:tr>
      <w:tr>
        <w:tc>
          <w:tcPr>
            <w:tcW w:type="dxa" w:w="2592"/>
            <w:vAlign w:val="top"/>
            <w:tcMar>
              <w:top w:w="60" w:type="dxa"/>
              <w:start w:w="60" w:type="dxa"/>
              <w:bottom w:w="60" w:type="dxa"/>
              <w:end w:w="60" w:type="dxa"/>
            </w:tcMar>
          </w:tcPr>
          <w:p>
            <w:pPr>
              <w:spacing w:after="20"/>
            </w:pPr>
            <w:r>
              <w:rPr>
                <w:sz w:val="14"/>
              </w:rPr>
              <w:t>ABDM FHIR Implementation Guide</w:t>
            </w:r>
          </w:p>
        </w:tc>
        <w:tc>
          <w:tcPr>
            <w:tcW w:type="dxa" w:w="8208"/>
            <w:vAlign w:val="top"/>
            <w:tcMar>
              <w:top w:w="60" w:type="dxa"/>
              <w:start w:w="60" w:type="dxa"/>
              <w:bottom w:w="60" w:type="dxa"/>
              <w:end w:w="60" w:type="dxa"/>
            </w:tcMar>
          </w:tcPr>
          <w:p>
            <w:pPr>
              <w:spacing w:after="20"/>
            </w:pPr>
            <w:r>
              <w:rPr>
                <w:sz w:val="14"/>
              </w:rPr>
              <w:t>FHIR R4-based ABDM health data interchange. Published v6.5.0 remains the current published permanent version; v7.0.0 artifacts generated July 15, 2026 add Indian Patient Summary and dedicated vital-sign profiles and should be tracked behind a versioned adapter.</w:t>
            </w:r>
          </w:p>
        </w:tc>
      </w:tr>
      <w:tr>
        <w:tc>
          <w:tcPr>
            <w:tcW w:type="dxa" w:w="2592"/>
            <w:vAlign w:val="top"/>
            <w:tcMar>
              <w:top w:w="60" w:type="dxa"/>
              <w:start w:w="60" w:type="dxa"/>
              <w:bottom w:w="60" w:type="dxa"/>
              <w:end w:w="60" w:type="dxa"/>
            </w:tcMar>
          </w:tcPr>
          <w:p>
            <w:pPr>
              <w:spacing w:after="20"/>
            </w:pPr>
            <w:r>
              <w:rPr>
                <w:sz w:val="14"/>
              </w:rPr>
              <w:t>NHCX</w:t>
            </w:r>
          </w:p>
        </w:tc>
        <w:tc>
          <w:tcPr>
            <w:tcW w:type="dxa" w:w="8208"/>
            <w:vAlign w:val="top"/>
            <w:tcMar>
              <w:top w:w="60" w:type="dxa"/>
              <w:start w:w="60" w:type="dxa"/>
              <w:bottom w:w="60" w:type="dxa"/>
              <w:end w:w="60" w:type="dxa"/>
            </w:tcMar>
          </w:tcPr>
          <w:p>
            <w:pPr>
              <w:spacing w:after="20"/>
            </w:pPr>
            <w:r>
              <w:rPr>
                <w:sz w:val="14"/>
              </w:rPr>
              <w:t>National Health Claims Exchange is included as the standardized health-claims exchange integration path alongside legacy payer/TPA channels.</w:t>
            </w:r>
          </w:p>
        </w:tc>
      </w:tr>
      <w:tr>
        <w:tc>
          <w:tcPr>
            <w:tcW w:type="dxa" w:w="2592"/>
            <w:vAlign w:val="top"/>
            <w:tcMar>
              <w:top w:w="60" w:type="dxa"/>
              <w:start w:w="60" w:type="dxa"/>
              <w:bottom w:w="60" w:type="dxa"/>
              <w:end w:w="60" w:type="dxa"/>
            </w:tcMar>
          </w:tcPr>
          <w:p>
            <w:pPr>
              <w:spacing w:after="20"/>
            </w:pPr>
            <w:r>
              <w:rPr>
                <w:sz w:val="14"/>
              </w:rPr>
              <w:t>DPDP</w:t>
            </w:r>
          </w:p>
        </w:tc>
        <w:tc>
          <w:tcPr>
            <w:tcW w:type="dxa" w:w="8208"/>
            <w:vAlign w:val="top"/>
            <w:tcMar>
              <w:top w:w="60" w:type="dxa"/>
              <w:start w:w="60" w:type="dxa"/>
              <w:bottom w:w="60" w:type="dxa"/>
              <w:end w:w="60" w:type="dxa"/>
            </w:tcMar>
          </w:tcPr>
          <w:p>
            <w:pPr>
              <w:spacing w:after="20"/>
            </w:pPr>
            <w:r>
              <w:rPr>
                <w:sz w:val="14"/>
              </w:rPr>
              <w:t>Digital Personal Data Protection Act, 2023 and Digital Personal Data Protection Rules, 2025; phased commencement must be tracked by compliance configuration.</w:t>
            </w:r>
          </w:p>
        </w:tc>
      </w:tr>
      <w:tr>
        <w:tc>
          <w:tcPr>
            <w:tcW w:type="dxa" w:w="2592"/>
            <w:vAlign w:val="top"/>
            <w:tcMar>
              <w:top w:w="60" w:type="dxa"/>
              <w:start w:w="60" w:type="dxa"/>
              <w:bottom w:w="60" w:type="dxa"/>
              <w:end w:w="60" w:type="dxa"/>
            </w:tcMar>
          </w:tcPr>
          <w:p>
            <w:pPr>
              <w:spacing w:after="20"/>
            </w:pPr>
            <w:r>
              <w:rPr>
                <w:sz w:val="14"/>
              </w:rPr>
              <w:t>NABL / ISO 15189</w:t>
            </w:r>
          </w:p>
        </w:tc>
        <w:tc>
          <w:tcPr>
            <w:tcW w:type="dxa" w:w="8208"/>
            <w:vAlign w:val="top"/>
            <w:tcMar>
              <w:top w:w="60" w:type="dxa"/>
              <w:start w:w="60" w:type="dxa"/>
              <w:bottom w:w="60" w:type="dxa"/>
              <w:end w:w="60" w:type="dxa"/>
            </w:tcMar>
          </w:tcPr>
          <w:p>
            <w:pPr>
              <w:spacing w:after="20"/>
            </w:pPr>
            <w:r>
              <w:rPr>
                <w:sz w:val="14"/>
              </w:rPr>
              <w:t>Medical laboratory accreditation in India is granted by NABL against ISO 15189 scope; product functions should support evidence and traceability but cannot confer accreditation.</w:t>
            </w:r>
          </w:p>
        </w:tc>
      </w:tr>
      <w:tr>
        <w:tc>
          <w:tcPr>
            <w:tcW w:type="dxa" w:w="2592"/>
            <w:vAlign w:val="top"/>
            <w:tcMar>
              <w:top w:w="60" w:type="dxa"/>
              <w:start w:w="60" w:type="dxa"/>
              <w:bottom w:w="60" w:type="dxa"/>
              <w:end w:w="60" w:type="dxa"/>
            </w:tcMar>
          </w:tcPr>
          <w:p>
            <w:pPr>
              <w:spacing w:after="20"/>
            </w:pPr>
            <w:r>
              <w:rPr>
                <w:sz w:val="14"/>
              </w:rPr>
              <w:t>HL7 FHIR R4</w:t>
            </w:r>
          </w:p>
        </w:tc>
        <w:tc>
          <w:tcPr>
            <w:tcW w:type="dxa" w:w="8208"/>
            <w:vAlign w:val="top"/>
            <w:tcMar>
              <w:top w:w="60" w:type="dxa"/>
              <w:start w:w="60" w:type="dxa"/>
              <w:bottom w:w="60" w:type="dxa"/>
              <w:end w:w="60" w:type="dxa"/>
            </w:tcMar>
          </w:tcPr>
          <w:p>
            <w:pPr>
              <w:spacing w:after="20"/>
            </w:pPr>
            <w:r>
              <w:rPr>
                <w:sz w:val="14"/>
              </w:rPr>
              <w:t>Canonical clinical interoperability baseline.</w:t>
            </w:r>
          </w:p>
        </w:tc>
      </w:tr>
      <w:tr>
        <w:tc>
          <w:tcPr>
            <w:tcW w:type="dxa" w:w="2592"/>
            <w:vAlign w:val="top"/>
            <w:tcMar>
              <w:top w:w="60" w:type="dxa"/>
              <w:start w:w="60" w:type="dxa"/>
              <w:bottom w:w="60" w:type="dxa"/>
              <w:end w:w="60" w:type="dxa"/>
            </w:tcMar>
          </w:tcPr>
          <w:p>
            <w:pPr>
              <w:spacing w:after="20"/>
            </w:pPr>
            <w:r>
              <w:rPr>
                <w:sz w:val="14"/>
              </w:rPr>
              <w:t>DICOM / DICOMweb</w:t>
            </w:r>
          </w:p>
        </w:tc>
        <w:tc>
          <w:tcPr>
            <w:tcW w:type="dxa" w:w="8208"/>
            <w:vAlign w:val="top"/>
            <w:tcMar>
              <w:top w:w="60" w:type="dxa"/>
              <w:start w:w="60" w:type="dxa"/>
              <w:bottom w:w="60" w:type="dxa"/>
              <w:end w:w="60" w:type="dxa"/>
            </w:tcMar>
          </w:tcPr>
          <w:p>
            <w:pPr>
              <w:spacing w:after="20"/>
            </w:pPr>
            <w:r>
              <w:rPr>
                <w:sz w:val="14"/>
              </w:rPr>
              <w:t>Diagnostic imaging interchange and web access.</w:t>
            </w:r>
          </w:p>
        </w:tc>
      </w:tr>
      <w:tr>
        <w:tc>
          <w:tcPr>
            <w:tcW w:type="dxa" w:w="2592"/>
            <w:vAlign w:val="top"/>
            <w:tcMar>
              <w:top w:w="60" w:type="dxa"/>
              <w:start w:w="60" w:type="dxa"/>
              <w:bottom w:w="60" w:type="dxa"/>
              <w:end w:w="60" w:type="dxa"/>
            </w:tcMar>
          </w:tcPr>
          <w:p>
            <w:pPr>
              <w:spacing w:after="20"/>
            </w:pPr>
            <w:r>
              <w:rPr>
                <w:sz w:val="14"/>
              </w:rPr>
              <w:t>SNOMED CT / LOINC / ICD</w:t>
            </w:r>
          </w:p>
        </w:tc>
        <w:tc>
          <w:tcPr>
            <w:tcW w:type="dxa" w:w="8208"/>
            <w:vAlign w:val="top"/>
            <w:tcMar>
              <w:top w:w="60" w:type="dxa"/>
              <w:start w:w="60" w:type="dxa"/>
              <w:bottom w:w="60" w:type="dxa"/>
              <w:end w:w="60" w:type="dxa"/>
            </w:tcMar>
          </w:tcPr>
          <w:p>
            <w:pPr>
              <w:spacing w:after="20"/>
            </w:pPr>
            <w:r>
              <w:rPr>
                <w:sz w:val="14"/>
              </w:rPr>
              <w:t>Terminology/coding families used where applicable and appropriately licensed/authorized.</w:t>
            </w:r>
          </w:p>
        </w:tc>
      </w:tr>
      <w:tr>
        <w:tc>
          <w:tcPr>
            <w:tcW w:type="dxa" w:w="2592"/>
            <w:vAlign w:val="top"/>
            <w:tcMar>
              <w:top w:w="60" w:type="dxa"/>
              <w:start w:w="60" w:type="dxa"/>
              <w:bottom w:w="60" w:type="dxa"/>
              <w:end w:w="60" w:type="dxa"/>
            </w:tcMar>
          </w:tcPr>
          <w:p>
            <w:pPr>
              <w:spacing w:after="20"/>
            </w:pPr>
            <w:r>
              <w:rPr>
                <w:sz w:val="14"/>
              </w:rPr>
              <w:t>OWASP / secure SDLC</w:t>
            </w:r>
          </w:p>
        </w:tc>
        <w:tc>
          <w:tcPr>
            <w:tcW w:type="dxa" w:w="8208"/>
            <w:vAlign w:val="top"/>
            <w:tcMar>
              <w:top w:w="60" w:type="dxa"/>
              <w:start w:w="60" w:type="dxa"/>
              <w:bottom w:w="60" w:type="dxa"/>
              <w:end w:w="60" w:type="dxa"/>
            </w:tcMar>
          </w:tcPr>
          <w:p>
            <w:pPr>
              <w:spacing w:after="20"/>
            </w:pPr>
            <w:r>
              <w:rPr>
                <w:sz w:val="14"/>
              </w:rPr>
              <w:t>Application/API/mobile security practices and verification baseline.</w:t>
            </w:r>
          </w:p>
        </w:tc>
      </w:tr>
      <w:tr>
        <w:tc>
          <w:tcPr>
            <w:tcW w:type="dxa" w:w="2592"/>
            <w:vAlign w:val="top"/>
            <w:tcMar>
              <w:top w:w="60" w:type="dxa"/>
              <w:start w:w="60" w:type="dxa"/>
              <w:bottom w:w="60" w:type="dxa"/>
              <w:end w:w="60" w:type="dxa"/>
            </w:tcMar>
          </w:tcPr>
          <w:p>
            <w:pPr>
              <w:spacing w:after="20"/>
            </w:pPr>
            <w:r>
              <w:rPr>
                <w:sz w:val="14"/>
              </w:rPr>
              <w:t>OpenTelemetry</w:t>
            </w:r>
          </w:p>
        </w:tc>
        <w:tc>
          <w:tcPr>
            <w:tcW w:type="dxa" w:w="8208"/>
            <w:vAlign w:val="top"/>
            <w:tcMar>
              <w:top w:w="60" w:type="dxa"/>
              <w:start w:w="60" w:type="dxa"/>
              <w:bottom w:w="60" w:type="dxa"/>
              <w:end w:w="60" w:type="dxa"/>
            </w:tcMar>
          </w:tcPr>
          <w:p>
            <w:pPr>
              <w:spacing w:after="20"/>
            </w:pPr>
            <w:r>
              <w:rPr>
                <w:sz w:val="14"/>
              </w:rPr>
              <w:t>Vendor-neutral telemetry for application observability.</w:t>
            </w:r>
          </w:p>
        </w:tc>
      </w:tr>
    </w:tbl>
    <w:p>
      <w:pPr>
        <w:spacing w:after="20"/>
      </w:pPr>
    </w:p>
    <w:p>
      <w:pPr>
        <w:pStyle w:val="Heading1"/>
      </w:pPr>
      <w:r>
        <w:t>39. Summary</w:t>
      </w:r>
    </w:p>
    <w:p>
      <w:r>
        <w:t>The platform described in this DPR is intentionally broader than a traditional hospital management system. It is a unified healthcare operating system and transaction network with a common patient record, specialty-aware clinical platform, revenue/insurance workflows, pharmaceutical and diagnostic commerce, workforce/asset operations, SCADA visibility and a patient super-app.</w:t>
      </w:r>
    </w:p>
    <w:p>
      <w:r>
        <w:t>The engineering design preserves this breadth without creating a monolith of tightly coupled screens: bounded contexts, Protobuf contracts, Go clean architecture, Svelte/SvelteKit web applications, Flutter mobile applications, event/workflow infrastructure and Rust intelligence services create a consistent product platform. Specialty depth is delivered through governed specialty packs that reuse the clinical core while adding specialty-specific observations, procedures, pathways, calculators, registries and integrations.</w:t>
      </w:r>
    </w:p>
    <w:p>
      <w:r>
        <w:t>The recommended execution strategy is phased. Foundation and a revenue-generating hospital/pharmacy/diagnostics MVP should reach pilots first; enterprise inpatient, claims, pharma network, specialty packs, SCADA and advanced AI are layered progressively. This sequencing protects clinical safety, implementation quality and cash efficiency while preserving the long-term unified architecture.</w:t>
      </w:r>
    </w:p>
    <w:p>
      <w:pPr>
        <w:pStyle w:val="Heading1"/>
      </w:pPr>
      <w:r>
        <w:t>Appendix A. Role Catalogue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AF7"/>
            <w:vAlign w:val="center"/>
            <w:tcMar>
              <w:top w:w="60" w:type="dxa"/>
              <w:start w:w="60" w:type="dxa"/>
              <w:bottom w:w="60" w:type="dxa"/>
              <w:end w:w="60" w:type="dxa"/>
            </w:tcMar>
          </w:tcPr>
          <w:p>
            <w:r>
              <w:rPr>
                <w:b/>
                <w:sz w:val="14"/>
              </w:rPr>
              <w:t>ID</w:t>
            </w:r>
          </w:p>
        </w:tc>
        <w:tc>
          <w:tcPr>
            <w:tcW w:type="dxa" w:w="9360"/>
            <w:shd w:fill="D9EAF7"/>
            <w:vAlign w:val="center"/>
            <w:tcMar>
              <w:top w:w="60" w:type="dxa"/>
              <w:start w:w="60" w:type="dxa"/>
              <w:bottom w:w="60" w:type="dxa"/>
              <w:end w:w="60" w:type="dxa"/>
            </w:tcMar>
          </w:tcPr>
          <w:p>
            <w:r>
              <w:rPr>
                <w:b/>
                <w:sz w:val="14"/>
              </w:rPr>
              <w:t>Role</w:t>
            </w:r>
          </w:p>
        </w:tc>
      </w:tr>
      <w:tr>
        <w:tc>
          <w:tcPr>
            <w:tcW w:type="dxa" w:w="1440"/>
            <w:vAlign w:val="top"/>
            <w:tcMar>
              <w:top w:w="60" w:type="dxa"/>
              <w:start w:w="60" w:type="dxa"/>
              <w:bottom w:w="60" w:type="dxa"/>
              <w:end w:w="60" w:type="dxa"/>
            </w:tcMar>
          </w:tcPr>
          <w:p>
            <w:pPr>
              <w:spacing w:after="20"/>
            </w:pPr>
            <w:r>
              <w:rPr>
                <w:sz w:val="14"/>
              </w:rPr>
              <w:t>ROLE-001</w:t>
            </w:r>
          </w:p>
        </w:tc>
        <w:tc>
          <w:tcPr>
            <w:tcW w:type="dxa" w:w="9360"/>
            <w:vAlign w:val="top"/>
            <w:tcMar>
              <w:top w:w="60" w:type="dxa"/>
              <w:start w:w="60" w:type="dxa"/>
              <w:bottom w:w="60" w:type="dxa"/>
              <w:end w:w="60" w:type="dxa"/>
            </w:tcMar>
          </w:tcPr>
          <w:p>
            <w:pPr>
              <w:spacing w:after="20"/>
            </w:pPr>
            <w:r>
              <w:rPr>
                <w:sz w:val="14"/>
              </w:rPr>
              <w:t>Patient</w:t>
            </w:r>
          </w:p>
        </w:tc>
      </w:tr>
      <w:tr>
        <w:tc>
          <w:tcPr>
            <w:tcW w:type="dxa" w:w="1440"/>
            <w:vAlign w:val="top"/>
            <w:tcMar>
              <w:top w:w="60" w:type="dxa"/>
              <w:start w:w="60" w:type="dxa"/>
              <w:bottom w:w="60" w:type="dxa"/>
              <w:end w:w="60" w:type="dxa"/>
            </w:tcMar>
          </w:tcPr>
          <w:p>
            <w:pPr>
              <w:spacing w:after="20"/>
            </w:pPr>
            <w:r>
              <w:rPr>
                <w:sz w:val="14"/>
              </w:rPr>
              <w:t>ROLE-002</w:t>
            </w:r>
          </w:p>
        </w:tc>
        <w:tc>
          <w:tcPr>
            <w:tcW w:type="dxa" w:w="9360"/>
            <w:vAlign w:val="top"/>
            <w:tcMar>
              <w:top w:w="60" w:type="dxa"/>
              <w:start w:w="60" w:type="dxa"/>
              <w:bottom w:w="60" w:type="dxa"/>
              <w:end w:w="60" w:type="dxa"/>
            </w:tcMar>
          </w:tcPr>
          <w:p>
            <w:pPr>
              <w:spacing w:after="20"/>
            </w:pPr>
            <w:r>
              <w:rPr>
                <w:sz w:val="14"/>
              </w:rPr>
              <w:t>Caregiver</w:t>
            </w:r>
          </w:p>
        </w:tc>
      </w:tr>
      <w:tr>
        <w:tc>
          <w:tcPr>
            <w:tcW w:type="dxa" w:w="1440"/>
            <w:vAlign w:val="top"/>
            <w:tcMar>
              <w:top w:w="60" w:type="dxa"/>
              <w:start w:w="60" w:type="dxa"/>
              <w:bottom w:w="60" w:type="dxa"/>
              <w:end w:w="60" w:type="dxa"/>
            </w:tcMar>
          </w:tcPr>
          <w:p>
            <w:pPr>
              <w:spacing w:after="20"/>
            </w:pPr>
            <w:r>
              <w:rPr>
                <w:sz w:val="14"/>
              </w:rPr>
              <w:t>ROLE-003</w:t>
            </w:r>
          </w:p>
        </w:tc>
        <w:tc>
          <w:tcPr>
            <w:tcW w:type="dxa" w:w="9360"/>
            <w:vAlign w:val="top"/>
            <w:tcMar>
              <w:top w:w="60" w:type="dxa"/>
              <w:start w:w="60" w:type="dxa"/>
              <w:bottom w:w="60" w:type="dxa"/>
              <w:end w:w="60" w:type="dxa"/>
            </w:tcMar>
          </w:tcPr>
          <w:p>
            <w:pPr>
              <w:spacing w:after="20"/>
            </w:pPr>
            <w:r>
              <w:rPr>
                <w:sz w:val="14"/>
              </w:rPr>
              <w:t>Front desk/registration</w:t>
            </w:r>
          </w:p>
        </w:tc>
      </w:tr>
      <w:tr>
        <w:tc>
          <w:tcPr>
            <w:tcW w:type="dxa" w:w="1440"/>
            <w:vAlign w:val="top"/>
            <w:tcMar>
              <w:top w:w="60" w:type="dxa"/>
              <w:start w:w="60" w:type="dxa"/>
              <w:bottom w:w="60" w:type="dxa"/>
              <w:end w:w="60" w:type="dxa"/>
            </w:tcMar>
          </w:tcPr>
          <w:p>
            <w:pPr>
              <w:spacing w:after="20"/>
            </w:pPr>
            <w:r>
              <w:rPr>
                <w:sz w:val="14"/>
              </w:rPr>
              <w:t>ROLE-004</w:t>
            </w:r>
          </w:p>
        </w:tc>
        <w:tc>
          <w:tcPr>
            <w:tcW w:type="dxa" w:w="9360"/>
            <w:vAlign w:val="top"/>
            <w:tcMar>
              <w:top w:w="60" w:type="dxa"/>
              <w:start w:w="60" w:type="dxa"/>
              <w:bottom w:w="60" w:type="dxa"/>
              <w:end w:w="60" w:type="dxa"/>
            </w:tcMar>
          </w:tcPr>
          <w:p>
            <w:pPr>
              <w:spacing w:after="20"/>
            </w:pPr>
            <w:r>
              <w:rPr>
                <w:sz w:val="14"/>
              </w:rPr>
              <w:t>Call center</w:t>
            </w:r>
          </w:p>
        </w:tc>
      </w:tr>
      <w:tr>
        <w:tc>
          <w:tcPr>
            <w:tcW w:type="dxa" w:w="1440"/>
            <w:vAlign w:val="top"/>
            <w:tcMar>
              <w:top w:w="60" w:type="dxa"/>
              <w:start w:w="60" w:type="dxa"/>
              <w:bottom w:w="60" w:type="dxa"/>
              <w:end w:w="60" w:type="dxa"/>
            </w:tcMar>
          </w:tcPr>
          <w:p>
            <w:pPr>
              <w:spacing w:after="20"/>
            </w:pPr>
            <w:r>
              <w:rPr>
                <w:sz w:val="14"/>
              </w:rPr>
              <w:t>ROLE-005</w:t>
            </w:r>
          </w:p>
        </w:tc>
        <w:tc>
          <w:tcPr>
            <w:tcW w:type="dxa" w:w="9360"/>
            <w:vAlign w:val="top"/>
            <w:tcMar>
              <w:top w:w="60" w:type="dxa"/>
              <w:start w:w="60" w:type="dxa"/>
              <w:bottom w:w="60" w:type="dxa"/>
              <w:end w:w="60" w:type="dxa"/>
            </w:tcMar>
          </w:tcPr>
          <w:p>
            <w:pPr>
              <w:spacing w:after="20"/>
            </w:pPr>
            <w:r>
              <w:rPr>
                <w:sz w:val="14"/>
              </w:rPr>
              <w:t>Doctor/consultant</w:t>
            </w:r>
          </w:p>
        </w:tc>
      </w:tr>
      <w:tr>
        <w:tc>
          <w:tcPr>
            <w:tcW w:type="dxa" w:w="1440"/>
            <w:vAlign w:val="top"/>
            <w:tcMar>
              <w:top w:w="60" w:type="dxa"/>
              <w:start w:w="60" w:type="dxa"/>
              <w:bottom w:w="60" w:type="dxa"/>
              <w:end w:w="60" w:type="dxa"/>
            </w:tcMar>
          </w:tcPr>
          <w:p>
            <w:pPr>
              <w:spacing w:after="20"/>
            </w:pPr>
            <w:r>
              <w:rPr>
                <w:sz w:val="14"/>
              </w:rPr>
              <w:t>ROLE-006</w:t>
            </w:r>
          </w:p>
        </w:tc>
        <w:tc>
          <w:tcPr>
            <w:tcW w:type="dxa" w:w="9360"/>
            <w:vAlign w:val="top"/>
            <w:tcMar>
              <w:top w:w="60" w:type="dxa"/>
              <w:start w:w="60" w:type="dxa"/>
              <w:bottom w:w="60" w:type="dxa"/>
              <w:end w:w="60" w:type="dxa"/>
            </w:tcMar>
          </w:tcPr>
          <w:p>
            <w:pPr>
              <w:spacing w:after="20"/>
            </w:pPr>
            <w:r>
              <w:rPr>
                <w:sz w:val="14"/>
              </w:rPr>
              <w:t>Resident/medical officer</w:t>
            </w:r>
          </w:p>
        </w:tc>
      </w:tr>
      <w:tr>
        <w:tc>
          <w:tcPr>
            <w:tcW w:type="dxa" w:w="1440"/>
            <w:vAlign w:val="top"/>
            <w:tcMar>
              <w:top w:w="60" w:type="dxa"/>
              <w:start w:w="60" w:type="dxa"/>
              <w:bottom w:w="60" w:type="dxa"/>
              <w:end w:w="60" w:type="dxa"/>
            </w:tcMar>
          </w:tcPr>
          <w:p>
            <w:pPr>
              <w:spacing w:after="20"/>
            </w:pPr>
            <w:r>
              <w:rPr>
                <w:sz w:val="14"/>
              </w:rPr>
              <w:t>ROLE-007</w:t>
            </w:r>
          </w:p>
        </w:tc>
        <w:tc>
          <w:tcPr>
            <w:tcW w:type="dxa" w:w="9360"/>
            <w:vAlign w:val="top"/>
            <w:tcMar>
              <w:top w:w="60" w:type="dxa"/>
              <w:start w:w="60" w:type="dxa"/>
              <w:bottom w:w="60" w:type="dxa"/>
              <w:end w:w="60" w:type="dxa"/>
            </w:tcMar>
          </w:tcPr>
          <w:p>
            <w:pPr>
              <w:spacing w:after="20"/>
            </w:pPr>
            <w:r>
              <w:rPr>
                <w:sz w:val="14"/>
              </w:rPr>
              <w:t>Nurse</w:t>
            </w:r>
          </w:p>
        </w:tc>
      </w:tr>
      <w:tr>
        <w:tc>
          <w:tcPr>
            <w:tcW w:type="dxa" w:w="1440"/>
            <w:vAlign w:val="top"/>
            <w:tcMar>
              <w:top w:w="60" w:type="dxa"/>
              <w:start w:w="60" w:type="dxa"/>
              <w:bottom w:w="60" w:type="dxa"/>
              <w:end w:w="60" w:type="dxa"/>
            </w:tcMar>
          </w:tcPr>
          <w:p>
            <w:pPr>
              <w:spacing w:after="20"/>
            </w:pPr>
            <w:r>
              <w:rPr>
                <w:sz w:val="14"/>
              </w:rPr>
              <w:t>ROLE-008</w:t>
            </w:r>
          </w:p>
        </w:tc>
        <w:tc>
          <w:tcPr>
            <w:tcW w:type="dxa" w:w="9360"/>
            <w:vAlign w:val="top"/>
            <w:tcMar>
              <w:top w:w="60" w:type="dxa"/>
              <w:start w:w="60" w:type="dxa"/>
              <w:bottom w:w="60" w:type="dxa"/>
              <w:end w:w="60" w:type="dxa"/>
            </w:tcMar>
          </w:tcPr>
          <w:p>
            <w:pPr>
              <w:spacing w:after="20"/>
            </w:pPr>
            <w:r>
              <w:rPr>
                <w:sz w:val="14"/>
              </w:rPr>
              <w:t>Nursing supervisor</w:t>
            </w:r>
          </w:p>
        </w:tc>
      </w:tr>
      <w:tr>
        <w:tc>
          <w:tcPr>
            <w:tcW w:type="dxa" w:w="1440"/>
            <w:vAlign w:val="top"/>
            <w:tcMar>
              <w:top w:w="60" w:type="dxa"/>
              <w:start w:w="60" w:type="dxa"/>
              <w:bottom w:w="60" w:type="dxa"/>
              <w:end w:w="60" w:type="dxa"/>
            </w:tcMar>
          </w:tcPr>
          <w:p>
            <w:pPr>
              <w:spacing w:after="20"/>
            </w:pPr>
            <w:r>
              <w:rPr>
                <w:sz w:val="14"/>
              </w:rPr>
              <w:t>ROLE-009</w:t>
            </w:r>
          </w:p>
        </w:tc>
        <w:tc>
          <w:tcPr>
            <w:tcW w:type="dxa" w:w="9360"/>
            <w:vAlign w:val="top"/>
            <w:tcMar>
              <w:top w:w="60" w:type="dxa"/>
              <w:start w:w="60" w:type="dxa"/>
              <w:bottom w:w="60" w:type="dxa"/>
              <w:end w:w="60" w:type="dxa"/>
            </w:tcMar>
          </w:tcPr>
          <w:p>
            <w:pPr>
              <w:spacing w:after="20"/>
            </w:pPr>
            <w:r>
              <w:rPr>
                <w:sz w:val="14"/>
              </w:rPr>
              <w:t>Pharmacist</w:t>
            </w:r>
          </w:p>
        </w:tc>
      </w:tr>
      <w:tr>
        <w:tc>
          <w:tcPr>
            <w:tcW w:type="dxa" w:w="1440"/>
            <w:vAlign w:val="top"/>
            <w:tcMar>
              <w:top w:w="60" w:type="dxa"/>
              <w:start w:w="60" w:type="dxa"/>
              <w:bottom w:w="60" w:type="dxa"/>
              <w:end w:w="60" w:type="dxa"/>
            </w:tcMar>
          </w:tcPr>
          <w:p>
            <w:pPr>
              <w:spacing w:after="20"/>
            </w:pPr>
            <w:r>
              <w:rPr>
                <w:sz w:val="14"/>
              </w:rPr>
              <w:t>ROLE-010</w:t>
            </w:r>
          </w:p>
        </w:tc>
        <w:tc>
          <w:tcPr>
            <w:tcW w:type="dxa" w:w="9360"/>
            <w:vAlign w:val="top"/>
            <w:tcMar>
              <w:top w:w="60" w:type="dxa"/>
              <w:start w:w="60" w:type="dxa"/>
              <w:bottom w:w="60" w:type="dxa"/>
              <w:end w:w="60" w:type="dxa"/>
            </w:tcMar>
          </w:tcPr>
          <w:p>
            <w:pPr>
              <w:spacing w:after="20"/>
            </w:pPr>
            <w:r>
              <w:rPr>
                <w:sz w:val="14"/>
              </w:rPr>
              <w:t>Pharmacy cashier</w:t>
            </w:r>
          </w:p>
        </w:tc>
      </w:tr>
      <w:tr>
        <w:tc>
          <w:tcPr>
            <w:tcW w:type="dxa" w:w="1440"/>
            <w:vAlign w:val="top"/>
            <w:tcMar>
              <w:top w:w="60" w:type="dxa"/>
              <w:start w:w="60" w:type="dxa"/>
              <w:bottom w:w="60" w:type="dxa"/>
              <w:end w:w="60" w:type="dxa"/>
            </w:tcMar>
          </w:tcPr>
          <w:p>
            <w:pPr>
              <w:spacing w:after="20"/>
            </w:pPr>
            <w:r>
              <w:rPr>
                <w:sz w:val="14"/>
              </w:rPr>
              <w:t>ROLE-011</w:t>
            </w:r>
          </w:p>
        </w:tc>
        <w:tc>
          <w:tcPr>
            <w:tcW w:type="dxa" w:w="9360"/>
            <w:vAlign w:val="top"/>
            <w:tcMar>
              <w:top w:w="60" w:type="dxa"/>
              <w:start w:w="60" w:type="dxa"/>
              <w:bottom w:w="60" w:type="dxa"/>
              <w:end w:w="60" w:type="dxa"/>
            </w:tcMar>
          </w:tcPr>
          <w:p>
            <w:pPr>
              <w:spacing w:after="20"/>
            </w:pPr>
            <w:r>
              <w:rPr>
                <w:sz w:val="14"/>
              </w:rPr>
              <w:t>Lab technician</w:t>
            </w:r>
          </w:p>
        </w:tc>
      </w:tr>
      <w:tr>
        <w:tc>
          <w:tcPr>
            <w:tcW w:type="dxa" w:w="1440"/>
            <w:vAlign w:val="top"/>
            <w:tcMar>
              <w:top w:w="60" w:type="dxa"/>
              <w:start w:w="60" w:type="dxa"/>
              <w:bottom w:w="60" w:type="dxa"/>
              <w:end w:w="60" w:type="dxa"/>
            </w:tcMar>
          </w:tcPr>
          <w:p>
            <w:pPr>
              <w:spacing w:after="20"/>
            </w:pPr>
            <w:r>
              <w:rPr>
                <w:sz w:val="14"/>
              </w:rPr>
              <w:t>ROLE-012</w:t>
            </w:r>
          </w:p>
        </w:tc>
        <w:tc>
          <w:tcPr>
            <w:tcW w:type="dxa" w:w="9360"/>
            <w:vAlign w:val="top"/>
            <w:tcMar>
              <w:top w:w="60" w:type="dxa"/>
              <w:start w:w="60" w:type="dxa"/>
              <w:bottom w:w="60" w:type="dxa"/>
              <w:end w:w="60" w:type="dxa"/>
            </w:tcMar>
          </w:tcPr>
          <w:p>
            <w:pPr>
              <w:spacing w:after="20"/>
            </w:pPr>
            <w:r>
              <w:rPr>
                <w:sz w:val="14"/>
              </w:rPr>
              <w:t>Phlebotomist</w:t>
            </w:r>
          </w:p>
        </w:tc>
      </w:tr>
      <w:tr>
        <w:tc>
          <w:tcPr>
            <w:tcW w:type="dxa" w:w="1440"/>
            <w:vAlign w:val="top"/>
            <w:tcMar>
              <w:top w:w="60" w:type="dxa"/>
              <w:start w:w="60" w:type="dxa"/>
              <w:bottom w:w="60" w:type="dxa"/>
              <w:end w:w="60" w:type="dxa"/>
            </w:tcMar>
          </w:tcPr>
          <w:p>
            <w:pPr>
              <w:spacing w:after="20"/>
            </w:pPr>
            <w:r>
              <w:rPr>
                <w:sz w:val="14"/>
              </w:rPr>
              <w:t>ROLE-013</w:t>
            </w:r>
          </w:p>
        </w:tc>
        <w:tc>
          <w:tcPr>
            <w:tcW w:type="dxa" w:w="9360"/>
            <w:vAlign w:val="top"/>
            <w:tcMar>
              <w:top w:w="60" w:type="dxa"/>
              <w:start w:w="60" w:type="dxa"/>
              <w:bottom w:w="60" w:type="dxa"/>
              <w:end w:w="60" w:type="dxa"/>
            </w:tcMar>
          </w:tcPr>
          <w:p>
            <w:pPr>
              <w:spacing w:after="20"/>
            </w:pPr>
            <w:r>
              <w:rPr>
                <w:sz w:val="14"/>
              </w:rPr>
              <w:t>Pathologist</w:t>
            </w:r>
          </w:p>
        </w:tc>
      </w:tr>
      <w:tr>
        <w:tc>
          <w:tcPr>
            <w:tcW w:type="dxa" w:w="1440"/>
            <w:vAlign w:val="top"/>
            <w:tcMar>
              <w:top w:w="60" w:type="dxa"/>
              <w:start w:w="60" w:type="dxa"/>
              <w:bottom w:w="60" w:type="dxa"/>
              <w:end w:w="60" w:type="dxa"/>
            </w:tcMar>
          </w:tcPr>
          <w:p>
            <w:pPr>
              <w:spacing w:after="20"/>
            </w:pPr>
            <w:r>
              <w:rPr>
                <w:sz w:val="14"/>
              </w:rPr>
              <w:t>ROLE-014</w:t>
            </w:r>
          </w:p>
        </w:tc>
        <w:tc>
          <w:tcPr>
            <w:tcW w:type="dxa" w:w="9360"/>
            <w:vAlign w:val="top"/>
            <w:tcMar>
              <w:top w:w="60" w:type="dxa"/>
              <w:start w:w="60" w:type="dxa"/>
              <w:bottom w:w="60" w:type="dxa"/>
              <w:end w:w="60" w:type="dxa"/>
            </w:tcMar>
          </w:tcPr>
          <w:p>
            <w:pPr>
              <w:spacing w:after="20"/>
            </w:pPr>
            <w:r>
              <w:rPr>
                <w:sz w:val="14"/>
              </w:rPr>
              <w:t>Radiologist</w:t>
            </w:r>
          </w:p>
        </w:tc>
      </w:tr>
      <w:tr>
        <w:tc>
          <w:tcPr>
            <w:tcW w:type="dxa" w:w="1440"/>
            <w:vAlign w:val="top"/>
            <w:tcMar>
              <w:top w:w="60" w:type="dxa"/>
              <w:start w:w="60" w:type="dxa"/>
              <w:bottom w:w="60" w:type="dxa"/>
              <w:end w:w="60" w:type="dxa"/>
            </w:tcMar>
          </w:tcPr>
          <w:p>
            <w:pPr>
              <w:spacing w:after="20"/>
            </w:pPr>
            <w:r>
              <w:rPr>
                <w:sz w:val="14"/>
              </w:rPr>
              <w:t>ROLE-015</w:t>
            </w:r>
          </w:p>
        </w:tc>
        <w:tc>
          <w:tcPr>
            <w:tcW w:type="dxa" w:w="9360"/>
            <w:vAlign w:val="top"/>
            <w:tcMar>
              <w:top w:w="60" w:type="dxa"/>
              <w:start w:w="60" w:type="dxa"/>
              <w:bottom w:w="60" w:type="dxa"/>
              <w:end w:w="60" w:type="dxa"/>
            </w:tcMar>
          </w:tcPr>
          <w:p>
            <w:pPr>
              <w:spacing w:after="20"/>
            </w:pPr>
            <w:r>
              <w:rPr>
                <w:sz w:val="14"/>
              </w:rPr>
              <w:t>Radiology technician</w:t>
            </w:r>
          </w:p>
        </w:tc>
      </w:tr>
      <w:tr>
        <w:tc>
          <w:tcPr>
            <w:tcW w:type="dxa" w:w="1440"/>
            <w:vAlign w:val="top"/>
            <w:tcMar>
              <w:top w:w="60" w:type="dxa"/>
              <w:start w:w="60" w:type="dxa"/>
              <w:bottom w:w="60" w:type="dxa"/>
              <w:end w:w="60" w:type="dxa"/>
            </w:tcMar>
          </w:tcPr>
          <w:p>
            <w:pPr>
              <w:spacing w:after="20"/>
            </w:pPr>
            <w:r>
              <w:rPr>
                <w:sz w:val="14"/>
              </w:rPr>
              <w:t>ROLE-016</w:t>
            </w:r>
          </w:p>
        </w:tc>
        <w:tc>
          <w:tcPr>
            <w:tcW w:type="dxa" w:w="9360"/>
            <w:vAlign w:val="top"/>
            <w:tcMar>
              <w:top w:w="60" w:type="dxa"/>
              <w:start w:w="60" w:type="dxa"/>
              <w:bottom w:w="60" w:type="dxa"/>
              <w:end w:w="60" w:type="dxa"/>
            </w:tcMar>
          </w:tcPr>
          <w:p>
            <w:pPr>
              <w:spacing w:after="20"/>
            </w:pPr>
            <w:r>
              <w:rPr>
                <w:sz w:val="14"/>
              </w:rPr>
              <w:t>Dietitian</w:t>
            </w:r>
          </w:p>
        </w:tc>
      </w:tr>
      <w:tr>
        <w:tc>
          <w:tcPr>
            <w:tcW w:type="dxa" w:w="1440"/>
            <w:vAlign w:val="top"/>
            <w:tcMar>
              <w:top w:w="60" w:type="dxa"/>
              <w:start w:w="60" w:type="dxa"/>
              <w:bottom w:w="60" w:type="dxa"/>
              <w:end w:w="60" w:type="dxa"/>
            </w:tcMar>
          </w:tcPr>
          <w:p>
            <w:pPr>
              <w:spacing w:after="20"/>
            </w:pPr>
            <w:r>
              <w:rPr>
                <w:sz w:val="14"/>
              </w:rPr>
              <w:t>ROLE-017</w:t>
            </w:r>
          </w:p>
        </w:tc>
        <w:tc>
          <w:tcPr>
            <w:tcW w:type="dxa" w:w="9360"/>
            <w:vAlign w:val="top"/>
            <w:tcMar>
              <w:top w:w="60" w:type="dxa"/>
              <w:start w:w="60" w:type="dxa"/>
              <w:bottom w:w="60" w:type="dxa"/>
              <w:end w:w="60" w:type="dxa"/>
            </w:tcMar>
          </w:tcPr>
          <w:p>
            <w:pPr>
              <w:spacing w:after="20"/>
            </w:pPr>
            <w:r>
              <w:rPr>
                <w:sz w:val="14"/>
              </w:rPr>
              <w:t>Physiotherapist</w:t>
            </w:r>
          </w:p>
        </w:tc>
      </w:tr>
      <w:tr>
        <w:tc>
          <w:tcPr>
            <w:tcW w:type="dxa" w:w="1440"/>
            <w:vAlign w:val="top"/>
            <w:tcMar>
              <w:top w:w="60" w:type="dxa"/>
              <w:start w:w="60" w:type="dxa"/>
              <w:bottom w:w="60" w:type="dxa"/>
              <w:end w:w="60" w:type="dxa"/>
            </w:tcMar>
          </w:tcPr>
          <w:p>
            <w:pPr>
              <w:spacing w:after="20"/>
            </w:pPr>
            <w:r>
              <w:rPr>
                <w:sz w:val="14"/>
              </w:rPr>
              <w:t>ROLE-018</w:t>
            </w:r>
          </w:p>
        </w:tc>
        <w:tc>
          <w:tcPr>
            <w:tcW w:type="dxa" w:w="9360"/>
            <w:vAlign w:val="top"/>
            <w:tcMar>
              <w:top w:w="60" w:type="dxa"/>
              <w:start w:w="60" w:type="dxa"/>
              <w:bottom w:w="60" w:type="dxa"/>
              <w:end w:w="60" w:type="dxa"/>
            </w:tcMar>
          </w:tcPr>
          <w:p>
            <w:pPr>
              <w:spacing w:after="20"/>
            </w:pPr>
            <w:r>
              <w:rPr>
                <w:sz w:val="14"/>
              </w:rPr>
              <w:t>OT technician</w:t>
            </w:r>
          </w:p>
        </w:tc>
      </w:tr>
      <w:tr>
        <w:tc>
          <w:tcPr>
            <w:tcW w:type="dxa" w:w="1440"/>
            <w:vAlign w:val="top"/>
            <w:tcMar>
              <w:top w:w="60" w:type="dxa"/>
              <w:start w:w="60" w:type="dxa"/>
              <w:bottom w:w="60" w:type="dxa"/>
              <w:end w:w="60" w:type="dxa"/>
            </w:tcMar>
          </w:tcPr>
          <w:p>
            <w:pPr>
              <w:spacing w:after="20"/>
            </w:pPr>
            <w:r>
              <w:rPr>
                <w:sz w:val="14"/>
              </w:rPr>
              <w:t>ROLE-019</w:t>
            </w:r>
          </w:p>
        </w:tc>
        <w:tc>
          <w:tcPr>
            <w:tcW w:type="dxa" w:w="9360"/>
            <w:vAlign w:val="top"/>
            <w:tcMar>
              <w:top w:w="60" w:type="dxa"/>
              <w:start w:w="60" w:type="dxa"/>
              <w:bottom w:w="60" w:type="dxa"/>
              <w:end w:w="60" w:type="dxa"/>
            </w:tcMar>
          </w:tcPr>
          <w:p>
            <w:pPr>
              <w:spacing w:after="20"/>
            </w:pPr>
            <w:r>
              <w:rPr>
                <w:sz w:val="14"/>
              </w:rPr>
              <w:t>Anesthetist</w:t>
            </w:r>
          </w:p>
        </w:tc>
      </w:tr>
      <w:tr>
        <w:tc>
          <w:tcPr>
            <w:tcW w:type="dxa" w:w="1440"/>
            <w:vAlign w:val="top"/>
            <w:tcMar>
              <w:top w:w="60" w:type="dxa"/>
              <w:start w:w="60" w:type="dxa"/>
              <w:bottom w:w="60" w:type="dxa"/>
              <w:end w:w="60" w:type="dxa"/>
            </w:tcMar>
          </w:tcPr>
          <w:p>
            <w:pPr>
              <w:spacing w:after="20"/>
            </w:pPr>
            <w:r>
              <w:rPr>
                <w:sz w:val="14"/>
              </w:rPr>
              <w:t>ROLE-020</w:t>
            </w:r>
          </w:p>
        </w:tc>
        <w:tc>
          <w:tcPr>
            <w:tcW w:type="dxa" w:w="9360"/>
            <w:vAlign w:val="top"/>
            <w:tcMar>
              <w:top w:w="60" w:type="dxa"/>
              <w:start w:w="60" w:type="dxa"/>
              <w:bottom w:w="60" w:type="dxa"/>
              <w:end w:w="60" w:type="dxa"/>
            </w:tcMar>
          </w:tcPr>
          <w:p>
            <w:pPr>
              <w:spacing w:after="20"/>
            </w:pPr>
            <w:r>
              <w:rPr>
                <w:sz w:val="14"/>
              </w:rPr>
              <w:t>Surgeon</w:t>
            </w:r>
          </w:p>
        </w:tc>
      </w:tr>
      <w:tr>
        <w:tc>
          <w:tcPr>
            <w:tcW w:type="dxa" w:w="1440"/>
            <w:vAlign w:val="top"/>
            <w:tcMar>
              <w:top w:w="60" w:type="dxa"/>
              <w:start w:w="60" w:type="dxa"/>
              <w:bottom w:w="60" w:type="dxa"/>
              <w:end w:w="60" w:type="dxa"/>
            </w:tcMar>
          </w:tcPr>
          <w:p>
            <w:pPr>
              <w:spacing w:after="20"/>
            </w:pPr>
            <w:r>
              <w:rPr>
                <w:sz w:val="14"/>
              </w:rPr>
              <w:t>ROLE-021</w:t>
            </w:r>
          </w:p>
        </w:tc>
        <w:tc>
          <w:tcPr>
            <w:tcW w:type="dxa" w:w="9360"/>
            <w:vAlign w:val="top"/>
            <w:tcMar>
              <w:top w:w="60" w:type="dxa"/>
              <w:start w:w="60" w:type="dxa"/>
              <w:bottom w:w="60" w:type="dxa"/>
              <w:end w:w="60" w:type="dxa"/>
            </w:tcMar>
          </w:tcPr>
          <w:p>
            <w:pPr>
              <w:spacing w:after="20"/>
            </w:pPr>
            <w:r>
              <w:rPr>
                <w:sz w:val="14"/>
              </w:rPr>
              <w:t>ICU clinician</w:t>
            </w:r>
          </w:p>
        </w:tc>
      </w:tr>
      <w:tr>
        <w:tc>
          <w:tcPr>
            <w:tcW w:type="dxa" w:w="1440"/>
            <w:vAlign w:val="top"/>
            <w:tcMar>
              <w:top w:w="60" w:type="dxa"/>
              <w:start w:w="60" w:type="dxa"/>
              <w:bottom w:w="60" w:type="dxa"/>
              <w:end w:w="60" w:type="dxa"/>
            </w:tcMar>
          </w:tcPr>
          <w:p>
            <w:pPr>
              <w:spacing w:after="20"/>
            </w:pPr>
            <w:r>
              <w:rPr>
                <w:sz w:val="14"/>
              </w:rPr>
              <w:t>ROLE-022</w:t>
            </w:r>
          </w:p>
        </w:tc>
        <w:tc>
          <w:tcPr>
            <w:tcW w:type="dxa" w:w="9360"/>
            <w:vAlign w:val="top"/>
            <w:tcMar>
              <w:top w:w="60" w:type="dxa"/>
              <w:start w:w="60" w:type="dxa"/>
              <w:bottom w:w="60" w:type="dxa"/>
              <w:end w:w="60" w:type="dxa"/>
            </w:tcMar>
          </w:tcPr>
          <w:p>
            <w:pPr>
              <w:spacing w:after="20"/>
            </w:pPr>
            <w:r>
              <w:rPr>
                <w:sz w:val="14"/>
              </w:rPr>
              <w:t>Emergency clinician</w:t>
            </w:r>
          </w:p>
        </w:tc>
      </w:tr>
      <w:tr>
        <w:tc>
          <w:tcPr>
            <w:tcW w:type="dxa" w:w="1440"/>
            <w:vAlign w:val="top"/>
            <w:tcMar>
              <w:top w:w="60" w:type="dxa"/>
              <w:start w:w="60" w:type="dxa"/>
              <w:bottom w:w="60" w:type="dxa"/>
              <w:end w:w="60" w:type="dxa"/>
            </w:tcMar>
          </w:tcPr>
          <w:p>
            <w:pPr>
              <w:spacing w:after="20"/>
            </w:pPr>
            <w:r>
              <w:rPr>
                <w:sz w:val="14"/>
              </w:rPr>
              <w:t>ROLE-023</w:t>
            </w:r>
          </w:p>
        </w:tc>
        <w:tc>
          <w:tcPr>
            <w:tcW w:type="dxa" w:w="9360"/>
            <w:vAlign w:val="top"/>
            <w:tcMar>
              <w:top w:w="60" w:type="dxa"/>
              <w:start w:w="60" w:type="dxa"/>
              <w:bottom w:w="60" w:type="dxa"/>
              <w:end w:w="60" w:type="dxa"/>
            </w:tcMar>
          </w:tcPr>
          <w:p>
            <w:pPr>
              <w:spacing w:after="20"/>
            </w:pPr>
            <w:r>
              <w:rPr>
                <w:sz w:val="14"/>
              </w:rPr>
              <w:t>Billing executive</w:t>
            </w:r>
          </w:p>
        </w:tc>
      </w:tr>
      <w:tr>
        <w:tc>
          <w:tcPr>
            <w:tcW w:type="dxa" w:w="1440"/>
            <w:vAlign w:val="top"/>
            <w:tcMar>
              <w:top w:w="60" w:type="dxa"/>
              <w:start w:w="60" w:type="dxa"/>
              <w:bottom w:w="60" w:type="dxa"/>
              <w:end w:w="60" w:type="dxa"/>
            </w:tcMar>
          </w:tcPr>
          <w:p>
            <w:pPr>
              <w:spacing w:after="20"/>
            </w:pPr>
            <w:r>
              <w:rPr>
                <w:sz w:val="14"/>
              </w:rPr>
              <w:t>ROLE-024</w:t>
            </w:r>
          </w:p>
        </w:tc>
        <w:tc>
          <w:tcPr>
            <w:tcW w:type="dxa" w:w="9360"/>
            <w:vAlign w:val="top"/>
            <w:tcMar>
              <w:top w:w="60" w:type="dxa"/>
              <w:start w:w="60" w:type="dxa"/>
              <w:bottom w:w="60" w:type="dxa"/>
              <w:end w:w="60" w:type="dxa"/>
            </w:tcMar>
          </w:tcPr>
          <w:p>
            <w:pPr>
              <w:spacing w:after="20"/>
            </w:pPr>
            <w:r>
              <w:rPr>
                <w:sz w:val="14"/>
              </w:rPr>
              <w:t>Cashier</w:t>
            </w:r>
          </w:p>
        </w:tc>
      </w:tr>
      <w:tr>
        <w:tc>
          <w:tcPr>
            <w:tcW w:type="dxa" w:w="1440"/>
            <w:vAlign w:val="top"/>
            <w:tcMar>
              <w:top w:w="60" w:type="dxa"/>
              <w:start w:w="60" w:type="dxa"/>
              <w:bottom w:w="60" w:type="dxa"/>
              <w:end w:w="60" w:type="dxa"/>
            </w:tcMar>
          </w:tcPr>
          <w:p>
            <w:pPr>
              <w:spacing w:after="20"/>
            </w:pPr>
            <w:r>
              <w:rPr>
                <w:sz w:val="14"/>
              </w:rPr>
              <w:t>ROLE-025</w:t>
            </w:r>
          </w:p>
        </w:tc>
        <w:tc>
          <w:tcPr>
            <w:tcW w:type="dxa" w:w="9360"/>
            <w:vAlign w:val="top"/>
            <w:tcMar>
              <w:top w:w="60" w:type="dxa"/>
              <w:start w:w="60" w:type="dxa"/>
              <w:bottom w:w="60" w:type="dxa"/>
              <w:end w:w="60" w:type="dxa"/>
            </w:tcMar>
          </w:tcPr>
          <w:p>
            <w:pPr>
              <w:spacing w:after="20"/>
            </w:pPr>
            <w:r>
              <w:rPr>
                <w:sz w:val="14"/>
              </w:rPr>
              <w:t>Insurance desk</w:t>
            </w:r>
          </w:p>
        </w:tc>
      </w:tr>
      <w:tr>
        <w:tc>
          <w:tcPr>
            <w:tcW w:type="dxa" w:w="1440"/>
            <w:vAlign w:val="top"/>
            <w:tcMar>
              <w:top w:w="60" w:type="dxa"/>
              <w:start w:w="60" w:type="dxa"/>
              <w:bottom w:w="60" w:type="dxa"/>
              <w:end w:w="60" w:type="dxa"/>
            </w:tcMar>
          </w:tcPr>
          <w:p>
            <w:pPr>
              <w:spacing w:after="20"/>
            </w:pPr>
            <w:r>
              <w:rPr>
                <w:sz w:val="14"/>
              </w:rPr>
              <w:t>ROLE-026</w:t>
            </w:r>
          </w:p>
        </w:tc>
        <w:tc>
          <w:tcPr>
            <w:tcW w:type="dxa" w:w="9360"/>
            <w:vAlign w:val="top"/>
            <w:tcMar>
              <w:top w:w="60" w:type="dxa"/>
              <w:start w:w="60" w:type="dxa"/>
              <w:bottom w:w="60" w:type="dxa"/>
              <w:end w:w="60" w:type="dxa"/>
            </w:tcMar>
          </w:tcPr>
          <w:p>
            <w:pPr>
              <w:spacing w:after="20"/>
            </w:pPr>
            <w:r>
              <w:rPr>
                <w:sz w:val="14"/>
              </w:rPr>
              <w:t>Medical coder</w:t>
            </w:r>
          </w:p>
        </w:tc>
      </w:tr>
      <w:tr>
        <w:tc>
          <w:tcPr>
            <w:tcW w:type="dxa" w:w="1440"/>
            <w:vAlign w:val="top"/>
            <w:tcMar>
              <w:top w:w="60" w:type="dxa"/>
              <w:start w:w="60" w:type="dxa"/>
              <w:bottom w:w="60" w:type="dxa"/>
              <w:end w:w="60" w:type="dxa"/>
            </w:tcMar>
          </w:tcPr>
          <w:p>
            <w:pPr>
              <w:spacing w:after="20"/>
            </w:pPr>
            <w:r>
              <w:rPr>
                <w:sz w:val="14"/>
              </w:rPr>
              <w:t>ROLE-027</w:t>
            </w:r>
          </w:p>
        </w:tc>
        <w:tc>
          <w:tcPr>
            <w:tcW w:type="dxa" w:w="9360"/>
            <w:vAlign w:val="top"/>
            <w:tcMar>
              <w:top w:w="60" w:type="dxa"/>
              <w:start w:w="60" w:type="dxa"/>
              <w:bottom w:w="60" w:type="dxa"/>
              <w:end w:w="60" w:type="dxa"/>
            </w:tcMar>
          </w:tcPr>
          <w:p>
            <w:pPr>
              <w:spacing w:after="20"/>
            </w:pPr>
            <w:r>
              <w:rPr>
                <w:sz w:val="14"/>
              </w:rPr>
              <w:t>RCM manager</w:t>
            </w:r>
          </w:p>
        </w:tc>
      </w:tr>
      <w:tr>
        <w:tc>
          <w:tcPr>
            <w:tcW w:type="dxa" w:w="1440"/>
            <w:vAlign w:val="top"/>
            <w:tcMar>
              <w:top w:w="60" w:type="dxa"/>
              <w:start w:w="60" w:type="dxa"/>
              <w:bottom w:w="60" w:type="dxa"/>
              <w:end w:w="60" w:type="dxa"/>
            </w:tcMar>
          </w:tcPr>
          <w:p>
            <w:pPr>
              <w:spacing w:after="20"/>
            </w:pPr>
            <w:r>
              <w:rPr>
                <w:sz w:val="14"/>
              </w:rPr>
              <w:t>ROLE-028</w:t>
            </w:r>
          </w:p>
        </w:tc>
        <w:tc>
          <w:tcPr>
            <w:tcW w:type="dxa" w:w="9360"/>
            <w:vAlign w:val="top"/>
            <w:tcMar>
              <w:top w:w="60" w:type="dxa"/>
              <w:start w:w="60" w:type="dxa"/>
              <w:bottom w:w="60" w:type="dxa"/>
              <w:end w:w="60" w:type="dxa"/>
            </w:tcMar>
          </w:tcPr>
          <w:p>
            <w:pPr>
              <w:spacing w:after="20"/>
            </w:pPr>
            <w:r>
              <w:rPr>
                <w:sz w:val="14"/>
              </w:rPr>
              <w:t>MRD/HIM</w:t>
            </w:r>
          </w:p>
        </w:tc>
      </w:tr>
      <w:tr>
        <w:tc>
          <w:tcPr>
            <w:tcW w:type="dxa" w:w="1440"/>
            <w:vAlign w:val="top"/>
            <w:tcMar>
              <w:top w:w="60" w:type="dxa"/>
              <w:start w:w="60" w:type="dxa"/>
              <w:bottom w:w="60" w:type="dxa"/>
              <w:end w:w="60" w:type="dxa"/>
            </w:tcMar>
          </w:tcPr>
          <w:p>
            <w:pPr>
              <w:spacing w:after="20"/>
            </w:pPr>
            <w:r>
              <w:rPr>
                <w:sz w:val="14"/>
              </w:rPr>
              <w:t>ROLE-029</w:t>
            </w:r>
          </w:p>
        </w:tc>
        <w:tc>
          <w:tcPr>
            <w:tcW w:type="dxa" w:w="9360"/>
            <w:vAlign w:val="top"/>
            <w:tcMar>
              <w:top w:w="60" w:type="dxa"/>
              <w:start w:w="60" w:type="dxa"/>
              <w:bottom w:w="60" w:type="dxa"/>
              <w:end w:w="60" w:type="dxa"/>
            </w:tcMar>
          </w:tcPr>
          <w:p>
            <w:pPr>
              <w:spacing w:after="20"/>
            </w:pPr>
            <w:r>
              <w:rPr>
                <w:sz w:val="14"/>
              </w:rPr>
              <w:t>Quality manager</w:t>
            </w:r>
          </w:p>
        </w:tc>
      </w:tr>
      <w:tr>
        <w:tc>
          <w:tcPr>
            <w:tcW w:type="dxa" w:w="1440"/>
            <w:vAlign w:val="top"/>
            <w:tcMar>
              <w:top w:w="60" w:type="dxa"/>
              <w:start w:w="60" w:type="dxa"/>
              <w:bottom w:w="60" w:type="dxa"/>
              <w:end w:w="60" w:type="dxa"/>
            </w:tcMar>
          </w:tcPr>
          <w:p>
            <w:pPr>
              <w:spacing w:after="20"/>
            </w:pPr>
            <w:r>
              <w:rPr>
                <w:sz w:val="14"/>
              </w:rPr>
              <w:t>ROLE-030</w:t>
            </w:r>
          </w:p>
        </w:tc>
        <w:tc>
          <w:tcPr>
            <w:tcW w:type="dxa" w:w="9360"/>
            <w:vAlign w:val="top"/>
            <w:tcMar>
              <w:top w:w="60" w:type="dxa"/>
              <w:start w:w="60" w:type="dxa"/>
              <w:bottom w:w="60" w:type="dxa"/>
              <w:end w:w="60" w:type="dxa"/>
            </w:tcMar>
          </w:tcPr>
          <w:p>
            <w:pPr>
              <w:spacing w:after="20"/>
            </w:pPr>
            <w:r>
              <w:rPr>
                <w:sz w:val="14"/>
              </w:rPr>
              <w:t>Infection-control nurse</w:t>
            </w:r>
          </w:p>
        </w:tc>
      </w:tr>
      <w:tr>
        <w:tc>
          <w:tcPr>
            <w:tcW w:type="dxa" w:w="1440"/>
            <w:vAlign w:val="top"/>
            <w:tcMar>
              <w:top w:w="60" w:type="dxa"/>
              <w:start w:w="60" w:type="dxa"/>
              <w:bottom w:w="60" w:type="dxa"/>
              <w:end w:w="60" w:type="dxa"/>
            </w:tcMar>
          </w:tcPr>
          <w:p>
            <w:pPr>
              <w:spacing w:after="20"/>
            </w:pPr>
            <w:r>
              <w:rPr>
                <w:sz w:val="14"/>
              </w:rPr>
              <w:t>ROLE-031</w:t>
            </w:r>
          </w:p>
        </w:tc>
        <w:tc>
          <w:tcPr>
            <w:tcW w:type="dxa" w:w="9360"/>
            <w:vAlign w:val="top"/>
            <w:tcMar>
              <w:top w:w="60" w:type="dxa"/>
              <w:start w:w="60" w:type="dxa"/>
              <w:bottom w:w="60" w:type="dxa"/>
              <w:end w:w="60" w:type="dxa"/>
            </w:tcMar>
          </w:tcPr>
          <w:p>
            <w:pPr>
              <w:spacing w:after="20"/>
            </w:pPr>
            <w:r>
              <w:rPr>
                <w:sz w:val="14"/>
              </w:rPr>
              <w:t>Biomedical engineer</w:t>
            </w:r>
          </w:p>
        </w:tc>
      </w:tr>
      <w:tr>
        <w:tc>
          <w:tcPr>
            <w:tcW w:type="dxa" w:w="1440"/>
            <w:vAlign w:val="top"/>
            <w:tcMar>
              <w:top w:w="60" w:type="dxa"/>
              <w:start w:w="60" w:type="dxa"/>
              <w:bottom w:w="60" w:type="dxa"/>
              <w:end w:w="60" w:type="dxa"/>
            </w:tcMar>
          </w:tcPr>
          <w:p>
            <w:pPr>
              <w:spacing w:after="20"/>
            </w:pPr>
            <w:r>
              <w:rPr>
                <w:sz w:val="14"/>
              </w:rPr>
              <w:t>ROLE-032</w:t>
            </w:r>
          </w:p>
        </w:tc>
        <w:tc>
          <w:tcPr>
            <w:tcW w:type="dxa" w:w="9360"/>
            <w:vAlign w:val="top"/>
            <w:tcMar>
              <w:top w:w="60" w:type="dxa"/>
              <w:start w:w="60" w:type="dxa"/>
              <w:bottom w:w="60" w:type="dxa"/>
              <w:end w:w="60" w:type="dxa"/>
            </w:tcMar>
          </w:tcPr>
          <w:p>
            <w:pPr>
              <w:spacing w:after="20"/>
            </w:pPr>
            <w:r>
              <w:rPr>
                <w:sz w:val="14"/>
              </w:rPr>
              <w:t>Facility engineer</w:t>
            </w:r>
          </w:p>
        </w:tc>
      </w:tr>
      <w:tr>
        <w:tc>
          <w:tcPr>
            <w:tcW w:type="dxa" w:w="1440"/>
            <w:vAlign w:val="top"/>
            <w:tcMar>
              <w:top w:w="60" w:type="dxa"/>
              <w:start w:w="60" w:type="dxa"/>
              <w:bottom w:w="60" w:type="dxa"/>
              <w:end w:w="60" w:type="dxa"/>
            </w:tcMar>
          </w:tcPr>
          <w:p>
            <w:pPr>
              <w:spacing w:after="20"/>
            </w:pPr>
            <w:r>
              <w:rPr>
                <w:sz w:val="14"/>
              </w:rPr>
              <w:t>ROLE-033</w:t>
            </w:r>
          </w:p>
        </w:tc>
        <w:tc>
          <w:tcPr>
            <w:tcW w:type="dxa" w:w="9360"/>
            <w:vAlign w:val="top"/>
            <w:tcMar>
              <w:top w:w="60" w:type="dxa"/>
              <w:start w:w="60" w:type="dxa"/>
              <w:bottom w:w="60" w:type="dxa"/>
              <w:end w:w="60" w:type="dxa"/>
            </w:tcMar>
          </w:tcPr>
          <w:p>
            <w:pPr>
              <w:spacing w:after="20"/>
            </w:pPr>
            <w:r>
              <w:rPr>
                <w:sz w:val="14"/>
              </w:rPr>
              <w:t>SCADA operator</w:t>
            </w:r>
          </w:p>
        </w:tc>
      </w:tr>
      <w:tr>
        <w:tc>
          <w:tcPr>
            <w:tcW w:type="dxa" w:w="1440"/>
            <w:vAlign w:val="top"/>
            <w:tcMar>
              <w:top w:w="60" w:type="dxa"/>
              <w:start w:w="60" w:type="dxa"/>
              <w:bottom w:w="60" w:type="dxa"/>
              <w:end w:w="60" w:type="dxa"/>
            </w:tcMar>
          </w:tcPr>
          <w:p>
            <w:pPr>
              <w:spacing w:after="20"/>
            </w:pPr>
            <w:r>
              <w:rPr>
                <w:sz w:val="14"/>
              </w:rPr>
              <w:t>ROLE-034</w:t>
            </w:r>
          </w:p>
        </w:tc>
        <w:tc>
          <w:tcPr>
            <w:tcW w:type="dxa" w:w="9360"/>
            <w:vAlign w:val="top"/>
            <w:tcMar>
              <w:top w:w="60" w:type="dxa"/>
              <w:start w:w="60" w:type="dxa"/>
              <w:bottom w:w="60" w:type="dxa"/>
              <w:end w:w="60" w:type="dxa"/>
            </w:tcMar>
          </w:tcPr>
          <w:p>
            <w:pPr>
              <w:spacing w:after="20"/>
            </w:pPr>
            <w:r>
              <w:rPr>
                <w:sz w:val="14"/>
              </w:rPr>
              <w:t>Storekeeper</w:t>
            </w:r>
          </w:p>
        </w:tc>
      </w:tr>
      <w:tr>
        <w:tc>
          <w:tcPr>
            <w:tcW w:type="dxa" w:w="1440"/>
            <w:vAlign w:val="top"/>
            <w:tcMar>
              <w:top w:w="60" w:type="dxa"/>
              <w:start w:w="60" w:type="dxa"/>
              <w:bottom w:w="60" w:type="dxa"/>
              <w:end w:w="60" w:type="dxa"/>
            </w:tcMar>
          </w:tcPr>
          <w:p>
            <w:pPr>
              <w:spacing w:after="20"/>
            </w:pPr>
            <w:r>
              <w:rPr>
                <w:sz w:val="14"/>
              </w:rPr>
              <w:t>ROLE-035</w:t>
            </w:r>
          </w:p>
        </w:tc>
        <w:tc>
          <w:tcPr>
            <w:tcW w:type="dxa" w:w="9360"/>
            <w:vAlign w:val="top"/>
            <w:tcMar>
              <w:top w:w="60" w:type="dxa"/>
              <w:start w:w="60" w:type="dxa"/>
              <w:bottom w:w="60" w:type="dxa"/>
              <w:end w:w="60" w:type="dxa"/>
            </w:tcMar>
          </w:tcPr>
          <w:p>
            <w:pPr>
              <w:spacing w:after="20"/>
            </w:pPr>
            <w:r>
              <w:rPr>
                <w:sz w:val="14"/>
              </w:rPr>
              <w:t>Purchase officer</w:t>
            </w:r>
          </w:p>
        </w:tc>
      </w:tr>
      <w:tr>
        <w:tc>
          <w:tcPr>
            <w:tcW w:type="dxa" w:w="1440"/>
            <w:vAlign w:val="top"/>
            <w:tcMar>
              <w:top w:w="60" w:type="dxa"/>
              <w:start w:w="60" w:type="dxa"/>
              <w:bottom w:w="60" w:type="dxa"/>
              <w:end w:w="60" w:type="dxa"/>
            </w:tcMar>
          </w:tcPr>
          <w:p>
            <w:pPr>
              <w:spacing w:after="20"/>
            </w:pPr>
            <w:r>
              <w:rPr>
                <w:sz w:val="14"/>
              </w:rPr>
              <w:t>ROLE-036</w:t>
            </w:r>
          </w:p>
        </w:tc>
        <w:tc>
          <w:tcPr>
            <w:tcW w:type="dxa" w:w="9360"/>
            <w:vAlign w:val="top"/>
            <w:tcMar>
              <w:top w:w="60" w:type="dxa"/>
              <w:start w:w="60" w:type="dxa"/>
              <w:bottom w:w="60" w:type="dxa"/>
              <w:end w:w="60" w:type="dxa"/>
            </w:tcMar>
          </w:tcPr>
          <w:p>
            <w:pPr>
              <w:spacing w:after="20"/>
            </w:pPr>
            <w:r>
              <w:rPr>
                <w:sz w:val="14"/>
              </w:rPr>
              <w:t>Finance/AP</w:t>
            </w:r>
          </w:p>
        </w:tc>
      </w:tr>
      <w:tr>
        <w:tc>
          <w:tcPr>
            <w:tcW w:type="dxa" w:w="1440"/>
            <w:vAlign w:val="top"/>
            <w:tcMar>
              <w:top w:w="60" w:type="dxa"/>
              <w:start w:w="60" w:type="dxa"/>
              <w:bottom w:w="60" w:type="dxa"/>
              <w:end w:w="60" w:type="dxa"/>
            </w:tcMar>
          </w:tcPr>
          <w:p>
            <w:pPr>
              <w:spacing w:after="20"/>
            </w:pPr>
            <w:r>
              <w:rPr>
                <w:sz w:val="14"/>
              </w:rPr>
              <w:t>ROLE-037</w:t>
            </w:r>
          </w:p>
        </w:tc>
        <w:tc>
          <w:tcPr>
            <w:tcW w:type="dxa" w:w="9360"/>
            <w:vAlign w:val="top"/>
            <w:tcMar>
              <w:top w:w="60" w:type="dxa"/>
              <w:start w:w="60" w:type="dxa"/>
              <w:bottom w:w="60" w:type="dxa"/>
              <w:end w:w="60" w:type="dxa"/>
            </w:tcMar>
          </w:tcPr>
          <w:p>
            <w:pPr>
              <w:spacing w:after="20"/>
            </w:pPr>
            <w:r>
              <w:rPr>
                <w:sz w:val="14"/>
              </w:rPr>
              <w:t>Finance/AR</w:t>
            </w:r>
          </w:p>
        </w:tc>
      </w:tr>
      <w:tr>
        <w:tc>
          <w:tcPr>
            <w:tcW w:type="dxa" w:w="1440"/>
            <w:vAlign w:val="top"/>
            <w:tcMar>
              <w:top w:w="60" w:type="dxa"/>
              <w:start w:w="60" w:type="dxa"/>
              <w:bottom w:w="60" w:type="dxa"/>
              <w:end w:w="60" w:type="dxa"/>
            </w:tcMar>
          </w:tcPr>
          <w:p>
            <w:pPr>
              <w:spacing w:after="20"/>
            </w:pPr>
            <w:r>
              <w:rPr>
                <w:sz w:val="14"/>
              </w:rPr>
              <w:t>ROLE-038</w:t>
            </w:r>
          </w:p>
        </w:tc>
        <w:tc>
          <w:tcPr>
            <w:tcW w:type="dxa" w:w="9360"/>
            <w:vAlign w:val="top"/>
            <w:tcMar>
              <w:top w:w="60" w:type="dxa"/>
              <w:start w:w="60" w:type="dxa"/>
              <w:bottom w:w="60" w:type="dxa"/>
              <w:end w:w="60" w:type="dxa"/>
            </w:tcMar>
          </w:tcPr>
          <w:p>
            <w:pPr>
              <w:spacing w:after="20"/>
            </w:pPr>
            <w:r>
              <w:rPr>
                <w:sz w:val="14"/>
              </w:rPr>
              <w:t>HR</w:t>
            </w:r>
          </w:p>
        </w:tc>
      </w:tr>
      <w:tr>
        <w:tc>
          <w:tcPr>
            <w:tcW w:type="dxa" w:w="1440"/>
            <w:vAlign w:val="top"/>
            <w:tcMar>
              <w:top w:w="60" w:type="dxa"/>
              <w:start w:w="60" w:type="dxa"/>
              <w:bottom w:w="60" w:type="dxa"/>
              <w:end w:w="60" w:type="dxa"/>
            </w:tcMar>
          </w:tcPr>
          <w:p>
            <w:pPr>
              <w:spacing w:after="20"/>
            </w:pPr>
            <w:r>
              <w:rPr>
                <w:sz w:val="14"/>
              </w:rPr>
              <w:t>ROLE-039</w:t>
            </w:r>
          </w:p>
        </w:tc>
        <w:tc>
          <w:tcPr>
            <w:tcW w:type="dxa" w:w="9360"/>
            <w:vAlign w:val="top"/>
            <w:tcMar>
              <w:top w:w="60" w:type="dxa"/>
              <w:start w:w="60" w:type="dxa"/>
              <w:bottom w:w="60" w:type="dxa"/>
              <w:end w:w="60" w:type="dxa"/>
            </w:tcMar>
          </w:tcPr>
          <w:p>
            <w:pPr>
              <w:spacing w:after="20"/>
            </w:pPr>
            <w:r>
              <w:rPr>
                <w:sz w:val="14"/>
              </w:rPr>
              <w:t>Payroll</w:t>
            </w:r>
          </w:p>
        </w:tc>
      </w:tr>
      <w:tr>
        <w:tc>
          <w:tcPr>
            <w:tcW w:type="dxa" w:w="1440"/>
            <w:vAlign w:val="top"/>
            <w:tcMar>
              <w:top w:w="60" w:type="dxa"/>
              <w:start w:w="60" w:type="dxa"/>
              <w:bottom w:w="60" w:type="dxa"/>
              <w:end w:w="60" w:type="dxa"/>
            </w:tcMar>
          </w:tcPr>
          <w:p>
            <w:pPr>
              <w:spacing w:after="20"/>
            </w:pPr>
            <w:r>
              <w:rPr>
                <w:sz w:val="14"/>
              </w:rPr>
              <w:t>ROLE-040</w:t>
            </w:r>
          </w:p>
        </w:tc>
        <w:tc>
          <w:tcPr>
            <w:tcW w:type="dxa" w:w="9360"/>
            <w:vAlign w:val="top"/>
            <w:tcMar>
              <w:top w:w="60" w:type="dxa"/>
              <w:start w:w="60" w:type="dxa"/>
              <w:bottom w:w="60" w:type="dxa"/>
              <w:end w:w="60" w:type="dxa"/>
            </w:tcMar>
          </w:tcPr>
          <w:p>
            <w:pPr>
              <w:spacing w:after="20"/>
            </w:pPr>
            <w:r>
              <w:rPr>
                <w:sz w:val="14"/>
              </w:rPr>
              <w:t>Credentialing</w:t>
            </w:r>
          </w:p>
        </w:tc>
      </w:tr>
      <w:tr>
        <w:tc>
          <w:tcPr>
            <w:tcW w:type="dxa" w:w="1440"/>
            <w:vAlign w:val="top"/>
            <w:tcMar>
              <w:top w:w="60" w:type="dxa"/>
              <w:start w:w="60" w:type="dxa"/>
              <w:bottom w:w="60" w:type="dxa"/>
              <w:end w:w="60" w:type="dxa"/>
            </w:tcMar>
          </w:tcPr>
          <w:p>
            <w:pPr>
              <w:spacing w:after="20"/>
            </w:pPr>
            <w:r>
              <w:rPr>
                <w:sz w:val="14"/>
              </w:rPr>
              <w:t>ROLE-041</w:t>
            </w:r>
          </w:p>
        </w:tc>
        <w:tc>
          <w:tcPr>
            <w:tcW w:type="dxa" w:w="9360"/>
            <w:vAlign w:val="top"/>
            <w:tcMar>
              <w:top w:w="60" w:type="dxa"/>
              <w:start w:w="60" w:type="dxa"/>
              <w:bottom w:w="60" w:type="dxa"/>
              <w:end w:w="60" w:type="dxa"/>
            </w:tcMar>
          </w:tcPr>
          <w:p>
            <w:pPr>
              <w:spacing w:after="20"/>
            </w:pPr>
            <w:r>
              <w:rPr>
                <w:sz w:val="14"/>
              </w:rPr>
              <w:t>IT admin</w:t>
            </w:r>
          </w:p>
        </w:tc>
      </w:tr>
      <w:tr>
        <w:tc>
          <w:tcPr>
            <w:tcW w:type="dxa" w:w="1440"/>
            <w:vAlign w:val="top"/>
            <w:tcMar>
              <w:top w:w="60" w:type="dxa"/>
              <w:start w:w="60" w:type="dxa"/>
              <w:bottom w:w="60" w:type="dxa"/>
              <w:end w:w="60" w:type="dxa"/>
            </w:tcMar>
          </w:tcPr>
          <w:p>
            <w:pPr>
              <w:spacing w:after="20"/>
            </w:pPr>
            <w:r>
              <w:rPr>
                <w:sz w:val="14"/>
              </w:rPr>
              <w:t>ROLE-042</w:t>
            </w:r>
          </w:p>
        </w:tc>
        <w:tc>
          <w:tcPr>
            <w:tcW w:type="dxa" w:w="9360"/>
            <w:vAlign w:val="top"/>
            <w:tcMar>
              <w:top w:w="60" w:type="dxa"/>
              <w:start w:w="60" w:type="dxa"/>
              <w:bottom w:w="60" w:type="dxa"/>
              <w:end w:w="60" w:type="dxa"/>
            </w:tcMar>
          </w:tcPr>
          <w:p>
            <w:pPr>
              <w:spacing w:after="20"/>
            </w:pPr>
            <w:r>
              <w:rPr>
                <w:sz w:val="14"/>
              </w:rPr>
              <w:t>Security admin</w:t>
            </w:r>
          </w:p>
        </w:tc>
      </w:tr>
      <w:tr>
        <w:tc>
          <w:tcPr>
            <w:tcW w:type="dxa" w:w="1440"/>
            <w:vAlign w:val="top"/>
            <w:tcMar>
              <w:top w:w="60" w:type="dxa"/>
              <w:start w:w="60" w:type="dxa"/>
              <w:bottom w:w="60" w:type="dxa"/>
              <w:end w:w="60" w:type="dxa"/>
            </w:tcMar>
          </w:tcPr>
          <w:p>
            <w:pPr>
              <w:spacing w:after="20"/>
            </w:pPr>
            <w:r>
              <w:rPr>
                <w:sz w:val="14"/>
              </w:rPr>
              <w:t>ROLE-043</w:t>
            </w:r>
          </w:p>
        </w:tc>
        <w:tc>
          <w:tcPr>
            <w:tcW w:type="dxa" w:w="9360"/>
            <w:vAlign w:val="top"/>
            <w:tcMar>
              <w:top w:w="60" w:type="dxa"/>
              <w:start w:w="60" w:type="dxa"/>
              <w:bottom w:w="60" w:type="dxa"/>
              <w:end w:w="60" w:type="dxa"/>
            </w:tcMar>
          </w:tcPr>
          <w:p>
            <w:pPr>
              <w:spacing w:after="20"/>
            </w:pPr>
            <w:r>
              <w:rPr>
                <w:sz w:val="14"/>
              </w:rPr>
              <w:t>Data analyst</w:t>
            </w:r>
          </w:p>
        </w:tc>
      </w:tr>
      <w:tr>
        <w:tc>
          <w:tcPr>
            <w:tcW w:type="dxa" w:w="1440"/>
            <w:vAlign w:val="top"/>
            <w:tcMar>
              <w:top w:w="60" w:type="dxa"/>
              <w:start w:w="60" w:type="dxa"/>
              <w:bottom w:w="60" w:type="dxa"/>
              <w:end w:w="60" w:type="dxa"/>
            </w:tcMar>
          </w:tcPr>
          <w:p>
            <w:pPr>
              <w:spacing w:after="20"/>
            </w:pPr>
            <w:r>
              <w:rPr>
                <w:sz w:val="14"/>
              </w:rPr>
              <w:t>ROLE-044</w:t>
            </w:r>
          </w:p>
        </w:tc>
        <w:tc>
          <w:tcPr>
            <w:tcW w:type="dxa" w:w="9360"/>
            <w:vAlign w:val="top"/>
            <w:tcMar>
              <w:top w:w="60" w:type="dxa"/>
              <w:start w:w="60" w:type="dxa"/>
              <w:bottom w:w="60" w:type="dxa"/>
              <w:end w:w="60" w:type="dxa"/>
            </w:tcMar>
          </w:tcPr>
          <w:p>
            <w:pPr>
              <w:spacing w:after="20"/>
            </w:pPr>
            <w:r>
              <w:rPr>
                <w:sz w:val="14"/>
              </w:rPr>
              <w:t>Hospital administrator</w:t>
            </w:r>
          </w:p>
        </w:tc>
      </w:tr>
      <w:tr>
        <w:tc>
          <w:tcPr>
            <w:tcW w:type="dxa" w:w="1440"/>
            <w:vAlign w:val="top"/>
            <w:tcMar>
              <w:top w:w="60" w:type="dxa"/>
              <w:start w:w="60" w:type="dxa"/>
              <w:bottom w:w="60" w:type="dxa"/>
              <w:end w:w="60" w:type="dxa"/>
            </w:tcMar>
          </w:tcPr>
          <w:p>
            <w:pPr>
              <w:spacing w:after="20"/>
            </w:pPr>
            <w:r>
              <w:rPr>
                <w:sz w:val="14"/>
              </w:rPr>
              <w:t>ROLE-045</w:t>
            </w:r>
          </w:p>
        </w:tc>
        <w:tc>
          <w:tcPr>
            <w:tcW w:type="dxa" w:w="9360"/>
            <w:vAlign w:val="top"/>
            <w:tcMar>
              <w:top w:w="60" w:type="dxa"/>
              <w:start w:w="60" w:type="dxa"/>
              <w:bottom w:w="60" w:type="dxa"/>
              <w:end w:w="60" w:type="dxa"/>
            </w:tcMar>
          </w:tcPr>
          <w:p>
            <w:pPr>
              <w:spacing w:after="20"/>
            </w:pPr>
            <w:r>
              <w:rPr>
                <w:sz w:val="14"/>
              </w:rPr>
              <w:t>Manufacturer sales ops</w:t>
            </w:r>
          </w:p>
        </w:tc>
      </w:tr>
      <w:tr>
        <w:tc>
          <w:tcPr>
            <w:tcW w:type="dxa" w:w="1440"/>
            <w:vAlign w:val="top"/>
            <w:tcMar>
              <w:top w:w="60" w:type="dxa"/>
              <w:start w:w="60" w:type="dxa"/>
              <w:bottom w:w="60" w:type="dxa"/>
              <w:end w:w="60" w:type="dxa"/>
            </w:tcMar>
          </w:tcPr>
          <w:p>
            <w:pPr>
              <w:spacing w:after="20"/>
            </w:pPr>
            <w:r>
              <w:rPr>
                <w:sz w:val="14"/>
              </w:rPr>
              <w:t>ROLE-046</w:t>
            </w:r>
          </w:p>
        </w:tc>
        <w:tc>
          <w:tcPr>
            <w:tcW w:type="dxa" w:w="9360"/>
            <w:vAlign w:val="top"/>
            <w:tcMar>
              <w:top w:w="60" w:type="dxa"/>
              <w:start w:w="60" w:type="dxa"/>
              <w:bottom w:w="60" w:type="dxa"/>
              <w:end w:w="60" w:type="dxa"/>
            </w:tcMar>
          </w:tcPr>
          <w:p>
            <w:pPr>
              <w:spacing w:after="20"/>
            </w:pPr>
            <w:r>
              <w:rPr>
                <w:sz w:val="14"/>
              </w:rPr>
              <w:t>C&amp;F operator</w:t>
            </w:r>
          </w:p>
        </w:tc>
      </w:tr>
      <w:tr>
        <w:tc>
          <w:tcPr>
            <w:tcW w:type="dxa" w:w="1440"/>
            <w:vAlign w:val="top"/>
            <w:tcMar>
              <w:top w:w="60" w:type="dxa"/>
              <w:start w:w="60" w:type="dxa"/>
              <w:bottom w:w="60" w:type="dxa"/>
              <w:end w:w="60" w:type="dxa"/>
            </w:tcMar>
          </w:tcPr>
          <w:p>
            <w:pPr>
              <w:spacing w:after="20"/>
            </w:pPr>
            <w:r>
              <w:rPr>
                <w:sz w:val="14"/>
              </w:rPr>
              <w:t>ROLE-047</w:t>
            </w:r>
          </w:p>
        </w:tc>
        <w:tc>
          <w:tcPr>
            <w:tcW w:type="dxa" w:w="9360"/>
            <w:vAlign w:val="top"/>
            <w:tcMar>
              <w:top w:w="60" w:type="dxa"/>
              <w:start w:w="60" w:type="dxa"/>
              <w:bottom w:w="60" w:type="dxa"/>
              <w:end w:w="60" w:type="dxa"/>
            </w:tcMar>
          </w:tcPr>
          <w:p>
            <w:pPr>
              <w:spacing w:after="20"/>
            </w:pPr>
            <w:r>
              <w:rPr>
                <w:sz w:val="14"/>
              </w:rPr>
              <w:t>Distributor/stockist operator</w:t>
            </w:r>
          </w:p>
        </w:tc>
      </w:tr>
      <w:tr>
        <w:tc>
          <w:tcPr>
            <w:tcW w:type="dxa" w:w="1440"/>
            <w:vAlign w:val="top"/>
            <w:tcMar>
              <w:top w:w="60" w:type="dxa"/>
              <w:start w:w="60" w:type="dxa"/>
              <w:bottom w:w="60" w:type="dxa"/>
              <w:end w:w="60" w:type="dxa"/>
            </w:tcMar>
          </w:tcPr>
          <w:p>
            <w:pPr>
              <w:spacing w:after="20"/>
            </w:pPr>
            <w:r>
              <w:rPr>
                <w:sz w:val="14"/>
              </w:rPr>
              <w:t>ROLE-048</w:t>
            </w:r>
          </w:p>
        </w:tc>
        <w:tc>
          <w:tcPr>
            <w:tcW w:type="dxa" w:w="9360"/>
            <w:vAlign w:val="top"/>
            <w:tcMar>
              <w:top w:w="60" w:type="dxa"/>
              <w:start w:w="60" w:type="dxa"/>
              <w:bottom w:w="60" w:type="dxa"/>
              <w:end w:w="60" w:type="dxa"/>
            </w:tcMar>
          </w:tcPr>
          <w:p>
            <w:pPr>
              <w:spacing w:after="20"/>
            </w:pPr>
            <w:r>
              <w:rPr>
                <w:sz w:val="14"/>
              </w:rPr>
              <w:t>Warehouse picker/packer</w:t>
            </w:r>
          </w:p>
        </w:tc>
      </w:tr>
      <w:tr>
        <w:tc>
          <w:tcPr>
            <w:tcW w:type="dxa" w:w="1440"/>
            <w:vAlign w:val="top"/>
            <w:tcMar>
              <w:top w:w="60" w:type="dxa"/>
              <w:start w:w="60" w:type="dxa"/>
              <w:bottom w:w="60" w:type="dxa"/>
              <w:end w:w="60" w:type="dxa"/>
            </w:tcMar>
          </w:tcPr>
          <w:p>
            <w:pPr>
              <w:spacing w:after="20"/>
            </w:pPr>
            <w:r>
              <w:rPr>
                <w:sz w:val="14"/>
              </w:rPr>
              <w:t>ROLE-049</w:t>
            </w:r>
          </w:p>
        </w:tc>
        <w:tc>
          <w:tcPr>
            <w:tcW w:type="dxa" w:w="9360"/>
            <w:vAlign w:val="top"/>
            <w:tcMar>
              <w:top w:w="60" w:type="dxa"/>
              <w:start w:w="60" w:type="dxa"/>
              <w:bottom w:w="60" w:type="dxa"/>
              <w:end w:w="60" w:type="dxa"/>
            </w:tcMar>
          </w:tcPr>
          <w:p>
            <w:pPr>
              <w:spacing w:after="20"/>
            </w:pPr>
            <w:r>
              <w:rPr>
                <w:sz w:val="14"/>
              </w:rPr>
              <w:t>Delivery rider</w:t>
            </w:r>
          </w:p>
        </w:tc>
      </w:tr>
      <w:tr>
        <w:tc>
          <w:tcPr>
            <w:tcW w:type="dxa" w:w="1440"/>
            <w:vAlign w:val="top"/>
            <w:tcMar>
              <w:top w:w="60" w:type="dxa"/>
              <w:start w:w="60" w:type="dxa"/>
              <w:bottom w:w="60" w:type="dxa"/>
              <w:end w:w="60" w:type="dxa"/>
            </w:tcMar>
          </w:tcPr>
          <w:p>
            <w:pPr>
              <w:spacing w:after="20"/>
            </w:pPr>
            <w:r>
              <w:rPr>
                <w:sz w:val="14"/>
              </w:rPr>
              <w:t>ROLE-050</w:t>
            </w:r>
          </w:p>
        </w:tc>
        <w:tc>
          <w:tcPr>
            <w:tcW w:type="dxa" w:w="9360"/>
            <w:vAlign w:val="top"/>
            <w:tcMar>
              <w:top w:w="60" w:type="dxa"/>
              <w:start w:w="60" w:type="dxa"/>
              <w:bottom w:w="60" w:type="dxa"/>
              <w:end w:w="60" w:type="dxa"/>
            </w:tcMar>
          </w:tcPr>
          <w:p>
            <w:pPr>
              <w:spacing w:after="20"/>
            </w:pPr>
            <w:r>
              <w:rPr>
                <w:sz w:val="14"/>
              </w:rPr>
              <w:t>Diagnostic collection-center operator</w:t>
            </w:r>
          </w:p>
        </w:tc>
      </w:tr>
      <w:tr>
        <w:tc>
          <w:tcPr>
            <w:tcW w:type="dxa" w:w="1440"/>
            <w:vAlign w:val="top"/>
            <w:tcMar>
              <w:top w:w="60" w:type="dxa"/>
              <w:start w:w="60" w:type="dxa"/>
              <w:bottom w:w="60" w:type="dxa"/>
              <w:end w:w="60" w:type="dxa"/>
            </w:tcMar>
          </w:tcPr>
          <w:p>
            <w:pPr>
              <w:spacing w:after="20"/>
            </w:pPr>
            <w:r>
              <w:rPr>
                <w:sz w:val="14"/>
              </w:rPr>
              <w:t>ROLE-051</w:t>
            </w:r>
          </w:p>
        </w:tc>
        <w:tc>
          <w:tcPr>
            <w:tcW w:type="dxa" w:w="9360"/>
            <w:vAlign w:val="top"/>
            <w:tcMar>
              <w:top w:w="60" w:type="dxa"/>
              <w:start w:w="60" w:type="dxa"/>
              <w:bottom w:w="60" w:type="dxa"/>
              <w:end w:w="60" w:type="dxa"/>
            </w:tcMar>
          </w:tcPr>
          <w:p>
            <w:pPr>
              <w:spacing w:after="20"/>
            </w:pPr>
            <w:r>
              <w:rPr>
                <w:sz w:val="14"/>
              </w:rPr>
              <w:t>Insurer/TPA user</w:t>
            </w:r>
          </w:p>
        </w:tc>
      </w:tr>
      <w:tr>
        <w:tc>
          <w:tcPr>
            <w:tcW w:type="dxa" w:w="1440"/>
            <w:vAlign w:val="top"/>
            <w:tcMar>
              <w:top w:w="60" w:type="dxa"/>
              <w:start w:w="60" w:type="dxa"/>
              <w:bottom w:w="60" w:type="dxa"/>
              <w:end w:w="60" w:type="dxa"/>
            </w:tcMar>
          </w:tcPr>
          <w:p>
            <w:pPr>
              <w:spacing w:after="20"/>
            </w:pPr>
            <w:r>
              <w:rPr>
                <w:sz w:val="14"/>
              </w:rPr>
              <w:t>ROLE-052</w:t>
            </w:r>
          </w:p>
        </w:tc>
        <w:tc>
          <w:tcPr>
            <w:tcW w:type="dxa" w:w="9360"/>
            <w:vAlign w:val="top"/>
            <w:tcMar>
              <w:top w:w="60" w:type="dxa"/>
              <w:start w:w="60" w:type="dxa"/>
              <w:bottom w:w="60" w:type="dxa"/>
              <w:end w:w="60" w:type="dxa"/>
            </w:tcMar>
          </w:tcPr>
          <w:p>
            <w:pPr>
              <w:spacing w:after="20"/>
            </w:pPr>
            <w:r>
              <w:rPr>
                <w:sz w:val="14"/>
              </w:rPr>
              <w:t>Auditor/read-only reviewer</w:t>
            </w:r>
          </w:p>
        </w:tc>
      </w:tr>
    </w:tbl>
    <w:p>
      <w:pPr>
        <w:spacing w:after="20"/>
      </w:pPr>
    </w:p>
    <w:p>
      <w:pPr>
        <w:pStyle w:val="Heading1"/>
      </w:pPr>
      <w:r>
        <w:t>Appendix B. Reporting Catalogue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D9EAF7"/>
            <w:vAlign w:val="center"/>
            <w:tcMar>
              <w:top w:w="60" w:type="dxa"/>
              <w:start w:w="60" w:type="dxa"/>
              <w:bottom w:w="60" w:type="dxa"/>
              <w:end w:w="60" w:type="dxa"/>
            </w:tcMar>
          </w:tcPr>
          <w:p>
            <w:r>
              <w:rPr>
                <w:b/>
                <w:sz w:val="14"/>
              </w:rPr>
              <w:t>Domain</w:t>
            </w:r>
          </w:p>
        </w:tc>
        <w:tc>
          <w:tcPr>
            <w:tcW w:type="dxa" w:w="8496"/>
            <w:shd w:fill="D9EAF7"/>
            <w:vAlign w:val="center"/>
            <w:tcMar>
              <w:top w:w="60" w:type="dxa"/>
              <w:start w:w="60" w:type="dxa"/>
              <w:bottom w:w="60" w:type="dxa"/>
              <w:end w:w="60" w:type="dxa"/>
            </w:tcMar>
          </w:tcPr>
          <w:p>
            <w:r>
              <w:rPr>
                <w:b/>
                <w:sz w:val="14"/>
              </w:rPr>
              <w:t>Reports</w:t>
            </w:r>
          </w:p>
        </w:tc>
      </w:tr>
      <w:tr>
        <w:tc>
          <w:tcPr>
            <w:tcW w:type="dxa" w:w="2304"/>
            <w:vAlign w:val="top"/>
            <w:tcMar>
              <w:top w:w="60" w:type="dxa"/>
              <w:start w:w="60" w:type="dxa"/>
              <w:bottom w:w="60" w:type="dxa"/>
              <w:end w:w="60" w:type="dxa"/>
            </w:tcMar>
          </w:tcPr>
          <w:p>
            <w:pPr>
              <w:spacing w:after="20"/>
            </w:pPr>
            <w:r>
              <w:rPr>
                <w:sz w:val="14"/>
              </w:rPr>
              <w:t>Hospital</w:t>
            </w:r>
          </w:p>
        </w:tc>
        <w:tc>
          <w:tcPr>
            <w:tcW w:type="dxa" w:w="8496"/>
            <w:vAlign w:val="top"/>
            <w:tcMar>
              <w:top w:w="60" w:type="dxa"/>
              <w:start w:w="60" w:type="dxa"/>
              <w:bottom w:w="60" w:type="dxa"/>
              <w:end w:w="60" w:type="dxa"/>
            </w:tcMar>
          </w:tcPr>
          <w:p>
            <w:pPr>
              <w:spacing w:after="20"/>
            </w:pPr>
            <w:r>
              <w:rPr>
                <w:sz w:val="14"/>
              </w:rPr>
              <w:t>Daily census; occupancy; admissions/discharges; OP/ER volumes; wait times; bed turnaround; specialty volumes.</w:t>
            </w:r>
          </w:p>
        </w:tc>
      </w:tr>
      <w:tr>
        <w:tc>
          <w:tcPr>
            <w:tcW w:type="dxa" w:w="2304"/>
            <w:vAlign w:val="top"/>
            <w:tcMar>
              <w:top w:w="60" w:type="dxa"/>
              <w:start w:w="60" w:type="dxa"/>
              <w:bottom w:w="60" w:type="dxa"/>
              <w:end w:w="60" w:type="dxa"/>
            </w:tcMar>
          </w:tcPr>
          <w:p>
            <w:pPr>
              <w:spacing w:after="20"/>
            </w:pPr>
            <w:r>
              <w:rPr>
                <w:sz w:val="14"/>
              </w:rPr>
              <w:t>Clinical quality</w:t>
            </w:r>
          </w:p>
        </w:tc>
        <w:tc>
          <w:tcPr>
            <w:tcW w:type="dxa" w:w="8496"/>
            <w:vAlign w:val="top"/>
            <w:tcMar>
              <w:top w:w="60" w:type="dxa"/>
              <w:start w:w="60" w:type="dxa"/>
              <w:bottom w:w="60" w:type="dxa"/>
              <w:end w:w="60" w:type="dxa"/>
            </w:tcMar>
          </w:tcPr>
          <w:p>
            <w:pPr>
              <w:spacing w:after="20"/>
            </w:pPr>
            <w:r>
              <w:rPr>
                <w:sz w:val="14"/>
              </w:rPr>
              <w:t>Critical results; medication incidents; infection/device metrics; pathway compliance; specialty registries.</w:t>
            </w:r>
          </w:p>
        </w:tc>
      </w:tr>
      <w:tr>
        <w:tc>
          <w:tcPr>
            <w:tcW w:type="dxa" w:w="2304"/>
            <w:vAlign w:val="top"/>
            <w:tcMar>
              <w:top w:w="60" w:type="dxa"/>
              <w:start w:w="60" w:type="dxa"/>
              <w:bottom w:w="60" w:type="dxa"/>
              <w:end w:w="60" w:type="dxa"/>
            </w:tcMar>
          </w:tcPr>
          <w:p>
            <w:pPr>
              <w:spacing w:after="20"/>
            </w:pPr>
            <w:r>
              <w:rPr>
                <w:sz w:val="14"/>
              </w:rPr>
              <w:t>Revenue</w:t>
            </w:r>
          </w:p>
        </w:tc>
        <w:tc>
          <w:tcPr>
            <w:tcW w:type="dxa" w:w="8496"/>
            <w:vAlign w:val="top"/>
            <w:tcMar>
              <w:top w:w="60" w:type="dxa"/>
              <w:start w:w="60" w:type="dxa"/>
              <w:bottom w:w="60" w:type="dxa"/>
              <w:end w:w="60" w:type="dxa"/>
            </w:tcMar>
          </w:tcPr>
          <w:p>
            <w:pPr>
              <w:spacing w:after="20"/>
            </w:pPr>
            <w:r>
              <w:rPr>
                <w:sz w:val="14"/>
              </w:rPr>
              <w:t>Gross/net revenue; payer mix; discounts; refunds; unbilled; AR; packages; doctor/service profitability views.</w:t>
            </w:r>
          </w:p>
        </w:tc>
      </w:tr>
      <w:tr>
        <w:tc>
          <w:tcPr>
            <w:tcW w:type="dxa" w:w="2304"/>
            <w:vAlign w:val="top"/>
            <w:tcMar>
              <w:top w:w="60" w:type="dxa"/>
              <w:start w:w="60" w:type="dxa"/>
              <w:bottom w:w="60" w:type="dxa"/>
              <w:end w:w="60" w:type="dxa"/>
            </w:tcMar>
          </w:tcPr>
          <w:p>
            <w:pPr>
              <w:spacing w:after="20"/>
            </w:pPr>
            <w:r>
              <w:rPr>
                <w:sz w:val="14"/>
              </w:rPr>
              <w:t>Pharmacy</w:t>
            </w:r>
          </w:p>
        </w:tc>
        <w:tc>
          <w:tcPr>
            <w:tcW w:type="dxa" w:w="8496"/>
            <w:vAlign w:val="top"/>
            <w:tcMar>
              <w:top w:w="60" w:type="dxa"/>
              <w:start w:w="60" w:type="dxa"/>
              <w:bottom w:w="60" w:type="dxa"/>
              <w:end w:w="60" w:type="dxa"/>
            </w:tcMar>
          </w:tcPr>
          <w:p>
            <w:pPr>
              <w:spacing w:after="20"/>
            </w:pPr>
            <w:r>
              <w:rPr>
                <w:sz w:val="14"/>
              </w:rPr>
              <w:t>Stock valuation; expiry; near expiry; fast/slow/dead; fill rate; substitutions; purchase/sales; margins.</w:t>
            </w:r>
          </w:p>
        </w:tc>
      </w:tr>
      <w:tr>
        <w:tc>
          <w:tcPr>
            <w:tcW w:type="dxa" w:w="2304"/>
            <w:vAlign w:val="top"/>
            <w:tcMar>
              <w:top w:w="60" w:type="dxa"/>
              <w:start w:w="60" w:type="dxa"/>
              <w:bottom w:w="60" w:type="dxa"/>
              <w:end w:w="60" w:type="dxa"/>
            </w:tcMar>
          </w:tcPr>
          <w:p>
            <w:pPr>
              <w:spacing w:after="20"/>
            </w:pPr>
            <w:r>
              <w:rPr>
                <w:sz w:val="14"/>
              </w:rPr>
              <w:t>Pharma network</w:t>
            </w:r>
          </w:p>
        </w:tc>
        <w:tc>
          <w:tcPr>
            <w:tcW w:type="dxa" w:w="8496"/>
            <w:vAlign w:val="top"/>
            <w:tcMar>
              <w:top w:w="60" w:type="dxa"/>
              <w:start w:w="60" w:type="dxa"/>
              <w:bottom w:w="60" w:type="dxa"/>
              <w:end w:w="60" w:type="dxa"/>
            </w:tcMar>
          </w:tcPr>
          <w:p>
            <w:pPr>
              <w:spacing w:after="20"/>
            </w:pPr>
            <w:r>
              <w:rPr>
                <w:sz w:val="14"/>
              </w:rPr>
              <w:t>Primary/secondary sales; OTIF; fill; DSO; channel stock; returns; expiry; schemes; order automation exceptions.</w:t>
            </w:r>
          </w:p>
        </w:tc>
      </w:tr>
      <w:tr>
        <w:tc>
          <w:tcPr>
            <w:tcW w:type="dxa" w:w="2304"/>
            <w:vAlign w:val="top"/>
            <w:tcMar>
              <w:top w:w="60" w:type="dxa"/>
              <w:start w:w="60" w:type="dxa"/>
              <w:bottom w:w="60" w:type="dxa"/>
              <w:end w:w="60" w:type="dxa"/>
            </w:tcMar>
          </w:tcPr>
          <w:p>
            <w:pPr>
              <w:spacing w:after="20"/>
            </w:pPr>
            <w:r>
              <w:rPr>
                <w:sz w:val="14"/>
              </w:rPr>
              <w:t>Diagnostics</w:t>
            </w:r>
          </w:p>
        </w:tc>
        <w:tc>
          <w:tcPr>
            <w:tcW w:type="dxa" w:w="8496"/>
            <w:vAlign w:val="top"/>
            <w:tcMar>
              <w:top w:w="60" w:type="dxa"/>
              <w:start w:w="60" w:type="dxa"/>
              <w:bottom w:w="60" w:type="dxa"/>
              <w:end w:w="60" w:type="dxa"/>
            </w:tcMar>
          </w:tcPr>
          <w:p>
            <w:pPr>
              <w:spacing w:after="20"/>
            </w:pPr>
            <w:r>
              <w:rPr>
                <w:sz w:val="14"/>
              </w:rPr>
              <w:t>TAT; rejection; critical values; analyzer load; referral; volumes; revenue; home collection productivity.</w:t>
            </w:r>
          </w:p>
        </w:tc>
      </w:tr>
      <w:tr>
        <w:tc>
          <w:tcPr>
            <w:tcW w:type="dxa" w:w="2304"/>
            <w:vAlign w:val="top"/>
            <w:tcMar>
              <w:top w:w="60" w:type="dxa"/>
              <w:start w:w="60" w:type="dxa"/>
              <w:bottom w:w="60" w:type="dxa"/>
              <w:end w:w="60" w:type="dxa"/>
            </w:tcMar>
          </w:tcPr>
          <w:p>
            <w:pPr>
              <w:spacing w:after="20"/>
            </w:pPr>
            <w:r>
              <w:rPr>
                <w:sz w:val="14"/>
              </w:rPr>
              <w:t>Insurance</w:t>
            </w:r>
          </w:p>
        </w:tc>
        <w:tc>
          <w:tcPr>
            <w:tcW w:type="dxa" w:w="8496"/>
            <w:vAlign w:val="top"/>
            <w:tcMar>
              <w:top w:w="60" w:type="dxa"/>
              <w:start w:w="60" w:type="dxa"/>
              <w:bottom w:w="60" w:type="dxa"/>
              <w:end w:w="60" w:type="dxa"/>
            </w:tcMar>
          </w:tcPr>
          <w:p>
            <w:pPr>
              <w:spacing w:after="20"/>
            </w:pPr>
            <w:r>
              <w:rPr>
                <w:sz w:val="14"/>
              </w:rPr>
              <w:t>Preauth; approval; query; claims submitted; denial; aging; settlement; deductions.</w:t>
            </w:r>
          </w:p>
        </w:tc>
      </w:tr>
      <w:tr>
        <w:tc>
          <w:tcPr>
            <w:tcW w:type="dxa" w:w="2304"/>
            <w:vAlign w:val="top"/>
            <w:tcMar>
              <w:top w:w="60" w:type="dxa"/>
              <w:start w:w="60" w:type="dxa"/>
              <w:bottom w:w="60" w:type="dxa"/>
              <w:end w:w="60" w:type="dxa"/>
            </w:tcMar>
          </w:tcPr>
          <w:p>
            <w:pPr>
              <w:spacing w:after="20"/>
            </w:pPr>
            <w:r>
              <w:rPr>
                <w:sz w:val="14"/>
              </w:rPr>
              <w:t>Workforce</w:t>
            </w:r>
          </w:p>
        </w:tc>
        <w:tc>
          <w:tcPr>
            <w:tcW w:type="dxa" w:w="8496"/>
            <w:vAlign w:val="top"/>
            <w:tcMar>
              <w:top w:w="60" w:type="dxa"/>
              <w:start w:w="60" w:type="dxa"/>
              <w:bottom w:w="60" w:type="dxa"/>
              <w:end w:w="60" w:type="dxa"/>
            </w:tcMar>
          </w:tcPr>
          <w:p>
            <w:pPr>
              <w:spacing w:after="20"/>
            </w:pPr>
            <w:r>
              <w:rPr>
                <w:sz w:val="14"/>
              </w:rPr>
              <w:t>Headcount; attendance; overtime; leave; roster coverage; credential expiry; payroll variance.</w:t>
            </w:r>
          </w:p>
        </w:tc>
      </w:tr>
      <w:tr>
        <w:tc>
          <w:tcPr>
            <w:tcW w:type="dxa" w:w="2304"/>
            <w:vAlign w:val="top"/>
            <w:tcMar>
              <w:top w:w="60" w:type="dxa"/>
              <w:start w:w="60" w:type="dxa"/>
              <w:bottom w:w="60" w:type="dxa"/>
              <w:end w:w="60" w:type="dxa"/>
            </w:tcMar>
          </w:tcPr>
          <w:p>
            <w:pPr>
              <w:spacing w:after="20"/>
            </w:pPr>
            <w:r>
              <w:rPr>
                <w:sz w:val="14"/>
              </w:rPr>
              <w:t>Procurement</w:t>
            </w:r>
          </w:p>
        </w:tc>
        <w:tc>
          <w:tcPr>
            <w:tcW w:type="dxa" w:w="8496"/>
            <w:vAlign w:val="top"/>
            <w:tcMar>
              <w:top w:w="60" w:type="dxa"/>
              <w:start w:w="60" w:type="dxa"/>
              <w:bottom w:w="60" w:type="dxa"/>
              <w:end w:w="60" w:type="dxa"/>
            </w:tcMar>
          </w:tcPr>
          <w:p>
            <w:pPr>
              <w:spacing w:after="20"/>
            </w:pPr>
            <w:r>
              <w:rPr>
                <w:sz w:val="14"/>
              </w:rPr>
              <w:t>Spend; supplier performance; PO cycle; price variance; stock-outs; inventory turns.</w:t>
            </w:r>
          </w:p>
        </w:tc>
      </w:tr>
      <w:tr>
        <w:tc>
          <w:tcPr>
            <w:tcW w:type="dxa" w:w="2304"/>
            <w:vAlign w:val="top"/>
            <w:tcMar>
              <w:top w:w="60" w:type="dxa"/>
              <w:start w:w="60" w:type="dxa"/>
              <w:bottom w:w="60" w:type="dxa"/>
              <w:end w:w="60" w:type="dxa"/>
            </w:tcMar>
          </w:tcPr>
          <w:p>
            <w:pPr>
              <w:spacing w:after="20"/>
            </w:pPr>
            <w:r>
              <w:rPr>
                <w:sz w:val="14"/>
              </w:rPr>
              <w:t>Biomedical</w:t>
            </w:r>
          </w:p>
        </w:tc>
        <w:tc>
          <w:tcPr>
            <w:tcW w:type="dxa" w:w="8496"/>
            <w:vAlign w:val="top"/>
            <w:tcMar>
              <w:top w:w="60" w:type="dxa"/>
              <w:start w:w="60" w:type="dxa"/>
              <w:bottom w:w="60" w:type="dxa"/>
              <w:end w:w="60" w:type="dxa"/>
            </w:tcMar>
          </w:tcPr>
          <w:p>
            <w:pPr>
              <w:spacing w:after="20"/>
            </w:pPr>
            <w:r>
              <w:rPr>
                <w:sz w:val="14"/>
              </w:rPr>
              <w:t>PM due/completed; breakdown; MTTR; downtime; calibration; contract expiry.</w:t>
            </w:r>
          </w:p>
        </w:tc>
      </w:tr>
      <w:tr>
        <w:tc>
          <w:tcPr>
            <w:tcW w:type="dxa" w:w="2304"/>
            <w:vAlign w:val="top"/>
            <w:tcMar>
              <w:top w:w="60" w:type="dxa"/>
              <w:start w:w="60" w:type="dxa"/>
              <w:bottom w:w="60" w:type="dxa"/>
              <w:end w:w="60" w:type="dxa"/>
            </w:tcMar>
          </w:tcPr>
          <w:p>
            <w:pPr>
              <w:spacing w:after="20"/>
            </w:pPr>
            <w:r>
              <w:rPr>
                <w:sz w:val="14"/>
              </w:rPr>
              <w:t>SCADA</w:t>
            </w:r>
          </w:p>
        </w:tc>
        <w:tc>
          <w:tcPr>
            <w:tcW w:type="dxa" w:w="8496"/>
            <w:vAlign w:val="top"/>
            <w:tcMar>
              <w:top w:w="60" w:type="dxa"/>
              <w:start w:w="60" w:type="dxa"/>
              <w:bottom w:w="60" w:type="dxa"/>
              <w:end w:w="60" w:type="dxa"/>
            </w:tcMar>
          </w:tcPr>
          <w:p>
            <w:pPr>
              <w:spacing w:after="20"/>
            </w:pPr>
            <w:r>
              <w:rPr>
                <w:sz w:val="14"/>
              </w:rPr>
              <w:t>Alarms; energy; water; DG/UPS; HVAC; temperature excursions; equipment/runtime trends.</w:t>
            </w:r>
          </w:p>
        </w:tc>
      </w:tr>
      <w:tr>
        <w:tc>
          <w:tcPr>
            <w:tcW w:type="dxa" w:w="2304"/>
            <w:vAlign w:val="top"/>
            <w:tcMar>
              <w:top w:w="60" w:type="dxa"/>
              <w:start w:w="60" w:type="dxa"/>
              <w:bottom w:w="60" w:type="dxa"/>
              <w:end w:w="60" w:type="dxa"/>
            </w:tcMar>
          </w:tcPr>
          <w:p>
            <w:pPr>
              <w:spacing w:after="20"/>
            </w:pPr>
            <w:r>
              <w:rPr>
                <w:sz w:val="14"/>
              </w:rPr>
              <w:t>Digital platform</w:t>
            </w:r>
          </w:p>
        </w:tc>
        <w:tc>
          <w:tcPr>
            <w:tcW w:type="dxa" w:w="8496"/>
            <w:vAlign w:val="top"/>
            <w:tcMar>
              <w:top w:w="60" w:type="dxa"/>
              <w:start w:w="60" w:type="dxa"/>
              <w:bottom w:w="60" w:type="dxa"/>
              <w:end w:w="60" w:type="dxa"/>
            </w:tcMar>
          </w:tcPr>
          <w:p>
            <w:pPr>
              <w:spacing w:after="20"/>
            </w:pPr>
            <w:r>
              <w:rPr>
                <w:sz w:val="14"/>
              </w:rPr>
              <w:t>Users/adoption; task SLA; API/SLO; errors; workflow backlog; integration failures.</w:t>
            </w:r>
          </w:p>
        </w:tc>
      </w:tr>
    </w:tbl>
    <w:p>
      <w:pPr>
        <w:spacing w:after="20"/>
      </w:pPr>
    </w:p>
    <w:p>
      <w:pPr>
        <w:pStyle w:val="Heading1"/>
      </w:pPr>
      <w:r>
        <w:t>Appendix C. Suggested Initial Repository / Mono-repo Structure</w:t>
      </w:r>
    </w:p>
    <w:p>
      <w:r>
        <w:rPr>
          <w:rFonts w:ascii="Consolas" w:hAnsi="Consolas"/>
          <w:sz w:val="16"/>
        </w:rPr>
        <w:t>apps/</w:t>
        <w:br/>
        <w:t xml:space="preserve">  web/                  # SvelteKit workspaces / portals</w:t>
        <w:br/>
        <w:t xml:space="preserve">  patient-mobile/       # Flutter</w:t>
        <w:br/>
        <w:t xml:space="preserve">  staff-mobile/         # Flutter</w:t>
        <w:br/>
        <w:t xml:space="preserve">  field-mobile/         # Flutter</w:t>
        <w:br/>
        <w:t>services/</w:t>
        <w:br/>
        <w:t xml:space="preserve">  platform-api/         # Go modular service host(s)</w:t>
        <w:br/>
        <w:t xml:space="preserve">  integration-api/      # Go adapters / external APIs</w:t>
        <w:br/>
        <w:t xml:space="preserve">  ai-runtime/           # Rust</w:t>
        <w:br/>
        <w:t xml:space="preserve">  scada-edge/           # Go/Rust edge gateway depending protocol stack</w:t>
        <w:br/>
        <w:t>packages/</w:t>
        <w:br/>
        <w:t xml:space="preserve">  proto/</w:t>
        <w:br/>
        <w:t xml:space="preserve">  web-ui/</w:t>
        <w:br/>
        <w:t xml:space="preserve">  web-sdk/</w:t>
        <w:br/>
        <w:t xml:space="preserve">  flutter-sdk/</w:t>
        <w:br/>
        <w:t xml:space="preserve">  domain-shared/        # only truly shared primitives, no cross-domain business logic</w:t>
        <w:br/>
        <w:t>db/</w:t>
        <w:br/>
        <w:t xml:space="preserve">  migrations/</w:t>
        <w:br/>
        <w:t xml:space="preserve">  sqlc/</w:t>
        <w:br/>
        <w:t>infra/</w:t>
        <w:br/>
        <w:t xml:space="preserve">  kubernetes/</w:t>
        <w:br/>
        <w:t xml:space="preserve">  terraform/</w:t>
        <w:br/>
        <w:t xml:space="preserve">  observability/</w:t>
        <w:br/>
        <w:t>docs/</w:t>
        <w:br/>
        <w:t xml:space="preserve">  adr/</w:t>
        <w:br/>
        <w:t xml:space="preserve">  api/</w:t>
        <w:br/>
        <w:t xml:space="preserve">  clinical-safety/</w:t>
        <w:br/>
        <w:t xml:space="preserve">  runbooks/</w:t>
        <w:br/>
      </w:r>
    </w:p>
    <w:p>
      <w:pPr>
        <w:pStyle w:val="Heading1"/>
      </w:pPr>
      <w:r>
        <w:t>Appendix D. Definition of Done</w:t>
      </w:r>
    </w:p>
    <w:p>
      <w:pPr>
        <w:pStyle w:val="ListBullet"/>
      </w:pPr>
      <w:r>
        <w:t>Requirements/acceptance criteria approved for the feature.</w:t>
      </w:r>
    </w:p>
    <w:p>
      <w:pPr>
        <w:pStyle w:val="ListBullet"/>
      </w:pPr>
      <w:r>
        <w:t>Threat/privacy/clinical-risk impact assessed where applicable.</w:t>
      </w:r>
    </w:p>
    <w:p>
      <w:pPr>
        <w:pStyle w:val="ListBullet"/>
      </w:pPr>
      <w:r>
        <w:t>Protobuf/API schema reviewed and backward compatibility preserved.</w:t>
      </w:r>
    </w:p>
    <w:p>
      <w:pPr>
        <w:pStyle w:val="ListBullet"/>
      </w:pPr>
      <w:r>
        <w:t>Domain tests and repository integration tests pass.</w:t>
      </w:r>
    </w:p>
    <w:p>
      <w:pPr>
        <w:pStyle w:val="ListBullet"/>
      </w:pPr>
      <w:r>
        <w:t>Authorization, tenant isolation and audit behavior verified.</w:t>
      </w:r>
    </w:p>
    <w:p>
      <w:pPr>
        <w:pStyle w:val="ListBullet"/>
      </w:pPr>
      <w:r>
        <w:t>Svelte/Flutter UX includes loading, empty, error, retry and accessibility states.</w:t>
      </w:r>
    </w:p>
    <w:p>
      <w:pPr>
        <w:pStyle w:val="ListBullet"/>
      </w:pPr>
      <w:r>
        <w:t>Observability: logs/metrics/traces and operational dashboard/alert if needed.</w:t>
      </w:r>
    </w:p>
    <w:p>
      <w:pPr>
        <w:pStyle w:val="ListBullet"/>
      </w:pPr>
      <w:r>
        <w:t>Migration/data changes are reversible or expand/contract and tested on representative volume.</w:t>
      </w:r>
    </w:p>
    <w:p>
      <w:pPr>
        <w:pStyle w:val="ListBullet"/>
      </w:pPr>
      <w:r>
        <w:t>Documentation/runbook/support notes updated.</w:t>
      </w:r>
    </w:p>
    <w:p>
      <w:pPr>
        <w:pStyle w:val="ListBullet"/>
      </w:pPr>
      <w:r>
        <w:t>UAT/clinical/finance/business owner sign-off obtained for governed features.</w:t>
      </w:r>
    </w:p>
    <w:p>
      <w:pPr>
        <w:pStyle w:val="ListBullet"/>
      </w:pPr>
      <w:r>
        <w:t>No unresolved critical/high security or clinical safety defect for production release.</w:t>
      </w:r>
    </w:p>
    <w:p>
      <w:r>
        <w:br w:type="page"/>
      </w:r>
    </w:p>
    <w:p>
      <w:pPr>
        <w:pStyle w:val="Heading1"/>
      </w:pPr>
      <w:r>
        <w:t>40. Expanded Hospital Operational Departments</w:t>
      </w:r>
    </w:p>
    <w:p>
      <w:r>
        <w:t>The platform shall support the non-specialty departments that keep a hospital operational. These are first-class bounded capabilities, not miscellaneous utilities, because their workflows directly affect patient safety, throughput, accreditation, cost and revenue integrity.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3"/>
              </w:rPr>
              <w:t>Department</w:t>
            </w:r>
          </w:p>
        </w:tc>
        <w:tc>
          <w:tcPr>
            <w:tcW w:type="dxa" w:w="5083"/>
            <w:shd w:fill="D9EAF7"/>
            <w:tcMar>
              <w:top w:w="50" w:type="dxa"/>
              <w:start w:w="55" w:type="dxa"/>
              <w:bottom w:w="50" w:type="dxa"/>
              <w:end w:w="55" w:type="dxa"/>
            </w:tcMar>
          </w:tcPr>
          <w:p>
            <w:pPr>
              <w:spacing w:after="0"/>
            </w:pPr>
            <w:r>
              <w:rPr>
                <w:b/>
                <w:sz w:val="13"/>
              </w:rPr>
              <w:t>Required capabilities</w:t>
            </w:r>
          </w:p>
        </w:tc>
      </w:tr>
      <w:tr>
        <w:tc>
          <w:tcPr>
            <w:tcW w:type="dxa" w:w="2448"/>
            <w:tcMar>
              <w:top w:w="50" w:type="dxa"/>
              <w:start w:w="55" w:type="dxa"/>
              <w:bottom w:w="50" w:type="dxa"/>
              <w:end w:w="55" w:type="dxa"/>
            </w:tcMar>
            <w:vAlign w:val="top"/>
          </w:tcPr>
          <w:p>
            <w:pPr>
              <w:spacing w:after="0"/>
            </w:pPr>
            <w:r>
              <w:rPr>
                <w:sz w:val="13"/>
              </w:rPr>
              <w:t>Blood Centre / Blood Bank</w:t>
            </w:r>
          </w:p>
        </w:tc>
        <w:tc>
          <w:tcPr>
            <w:tcW w:type="dxa" w:w="8352"/>
            <w:tcMar>
              <w:top w:w="50" w:type="dxa"/>
              <w:start w:w="55" w:type="dxa"/>
              <w:bottom w:w="50" w:type="dxa"/>
              <w:end w:w="55" w:type="dxa"/>
            </w:tcMar>
            <w:vAlign w:val="top"/>
          </w:tcPr>
          <w:p>
            <w:pPr>
              <w:spacing w:after="0"/>
            </w:pPr>
            <w:r>
              <w:rPr>
                <w:sz w:val="13"/>
              </w:rPr>
              <w:t>Donor registration and eligibility; collection; component preparation; testing/quarantine; inventory by blood group/component/expiry; requisition; cross-match; reservation; issue/return; bedside transfusion traceability; reaction/hemovigilance; recall; camps and donor communication.</w:t>
            </w:r>
          </w:p>
        </w:tc>
      </w:tr>
      <w:tr>
        <w:tc>
          <w:tcPr>
            <w:tcW w:type="dxa" w:w="2448"/>
            <w:tcMar>
              <w:top w:w="50" w:type="dxa"/>
              <w:start w:w="55" w:type="dxa"/>
              <w:bottom w:w="50" w:type="dxa"/>
              <w:end w:w="55" w:type="dxa"/>
            </w:tcMar>
            <w:vAlign w:val="top"/>
          </w:tcPr>
          <w:p>
            <w:pPr>
              <w:spacing w:after="0"/>
            </w:pPr>
            <w:r>
              <w:rPr>
                <w:sz w:val="13"/>
              </w:rPr>
              <w:t>CSSD</w:t>
            </w:r>
          </w:p>
        </w:tc>
        <w:tc>
          <w:tcPr>
            <w:tcW w:type="dxa" w:w="8352"/>
            <w:tcMar>
              <w:top w:w="50" w:type="dxa"/>
              <w:start w:w="55" w:type="dxa"/>
              <w:bottom w:w="50" w:type="dxa"/>
              <w:end w:w="55" w:type="dxa"/>
            </w:tcMar>
            <w:vAlign w:val="top"/>
          </w:tcPr>
          <w:p>
            <w:pPr>
              <w:spacing w:after="0"/>
            </w:pPr>
            <w:r>
              <w:rPr>
                <w:sz w:val="13"/>
              </w:rPr>
              <w:t>Instrument/set master; dirty receipt; washing/disinfection; assembly; packing; sterilizer cycle; biological/chemical indicators; release; sterile-store inventory; OT issue/return; tray-level traceability; recall; maintenance and quality evidence.</w:t>
            </w:r>
          </w:p>
        </w:tc>
      </w:tr>
      <w:tr>
        <w:tc>
          <w:tcPr>
            <w:tcW w:type="dxa" w:w="2448"/>
            <w:tcMar>
              <w:top w:w="50" w:type="dxa"/>
              <w:start w:w="55" w:type="dxa"/>
              <w:bottom w:w="50" w:type="dxa"/>
              <w:end w:w="55" w:type="dxa"/>
            </w:tcMar>
            <w:vAlign w:val="top"/>
          </w:tcPr>
          <w:p>
            <w:pPr>
              <w:spacing w:after="0"/>
            </w:pPr>
            <w:r>
              <w:rPr>
                <w:sz w:val="13"/>
              </w:rPr>
              <w:t>Infection Prevention &amp; Control</w:t>
            </w:r>
          </w:p>
        </w:tc>
        <w:tc>
          <w:tcPr>
            <w:tcW w:type="dxa" w:w="8352"/>
            <w:tcMar>
              <w:top w:w="50" w:type="dxa"/>
              <w:start w:w="55" w:type="dxa"/>
              <w:bottom w:w="50" w:type="dxa"/>
              <w:end w:w="55" w:type="dxa"/>
            </w:tcMar>
            <w:vAlign w:val="top"/>
          </w:tcPr>
          <w:p>
            <w:pPr>
              <w:spacing w:after="0"/>
            </w:pPr>
            <w:r>
              <w:rPr>
                <w:sz w:val="13"/>
              </w:rPr>
              <w:t>HAI surveillance; device-associated infection denominators; isolation; organism/MDR alerts; antimicrobial stewardship linkage; hand-hygiene audits; outbreak investigation; exposure management; environmental cultures; committee minutes; CAPA.</w:t>
            </w:r>
          </w:p>
        </w:tc>
      </w:tr>
      <w:tr>
        <w:tc>
          <w:tcPr>
            <w:tcW w:type="dxa" w:w="2448"/>
            <w:tcMar>
              <w:top w:w="50" w:type="dxa"/>
              <w:start w:w="55" w:type="dxa"/>
              <w:bottom w:w="50" w:type="dxa"/>
              <w:end w:w="55" w:type="dxa"/>
            </w:tcMar>
            <w:vAlign w:val="top"/>
          </w:tcPr>
          <w:p>
            <w:pPr>
              <w:spacing w:after="0"/>
            </w:pPr>
            <w:r>
              <w:rPr>
                <w:sz w:val="13"/>
              </w:rPr>
              <w:t>Quality &amp; Patient Safety</w:t>
            </w:r>
          </w:p>
        </w:tc>
        <w:tc>
          <w:tcPr>
            <w:tcW w:type="dxa" w:w="8352"/>
            <w:tcMar>
              <w:top w:w="50" w:type="dxa"/>
              <w:start w:w="55" w:type="dxa"/>
              <w:bottom w:w="50" w:type="dxa"/>
              <w:end w:w="55" w:type="dxa"/>
            </w:tcMar>
            <w:vAlign w:val="top"/>
          </w:tcPr>
          <w:p>
            <w:pPr>
              <w:spacing w:after="0"/>
            </w:pPr>
            <w:r>
              <w:rPr>
                <w:sz w:val="13"/>
              </w:rPr>
              <w:t>Incident reporting; near miss; sentinel event; RCA; CAPA; clinical audit; tracer audit; indicators; committee governance; document control; accreditation evidence; safety rounds; risk register.</w:t>
            </w:r>
          </w:p>
        </w:tc>
      </w:tr>
      <w:tr>
        <w:tc>
          <w:tcPr>
            <w:tcW w:type="dxa" w:w="2448"/>
            <w:tcMar>
              <w:top w:w="50" w:type="dxa"/>
              <w:start w:w="55" w:type="dxa"/>
              <w:bottom w:w="50" w:type="dxa"/>
              <w:end w:w="55" w:type="dxa"/>
            </w:tcMar>
            <w:vAlign w:val="top"/>
          </w:tcPr>
          <w:p>
            <w:pPr>
              <w:spacing w:after="0"/>
            </w:pPr>
            <w:r>
              <w:rPr>
                <w:sz w:val="13"/>
              </w:rPr>
              <w:t>Medical Records / HIM</w:t>
            </w:r>
          </w:p>
        </w:tc>
        <w:tc>
          <w:tcPr>
            <w:tcW w:type="dxa" w:w="8352"/>
            <w:tcMar>
              <w:top w:w="50" w:type="dxa"/>
              <w:start w:w="55" w:type="dxa"/>
              <w:bottom w:w="50" w:type="dxa"/>
              <w:end w:w="55" w:type="dxa"/>
            </w:tcMar>
            <w:vAlign w:val="top"/>
          </w:tcPr>
          <w:p>
            <w:pPr>
              <w:spacing w:after="0"/>
            </w:pPr>
            <w:r>
              <w:rPr>
                <w:sz w:val="13"/>
              </w:rPr>
              <w:t>Record completion; deficiencies; coding; release-of-information; legal hold; scanning/indexing; retention/destruction policy; incomplete record worklist; birth/death registers; privacy request fulfilment.</w:t>
            </w:r>
          </w:p>
        </w:tc>
      </w:tr>
      <w:tr>
        <w:tc>
          <w:tcPr>
            <w:tcW w:type="dxa" w:w="2448"/>
            <w:tcMar>
              <w:top w:w="50" w:type="dxa"/>
              <w:start w:w="55" w:type="dxa"/>
              <w:bottom w:w="50" w:type="dxa"/>
              <w:end w:w="55" w:type="dxa"/>
            </w:tcMar>
            <w:vAlign w:val="top"/>
          </w:tcPr>
          <w:p>
            <w:pPr>
              <w:spacing w:after="0"/>
            </w:pPr>
            <w:r>
              <w:rPr>
                <w:sz w:val="13"/>
              </w:rPr>
              <w:t>Dietary / Kitchen</w:t>
            </w:r>
          </w:p>
        </w:tc>
        <w:tc>
          <w:tcPr>
            <w:tcW w:type="dxa" w:w="8352"/>
            <w:tcMar>
              <w:top w:w="50" w:type="dxa"/>
              <w:start w:w="55" w:type="dxa"/>
              <w:bottom w:w="50" w:type="dxa"/>
              <w:end w:w="55" w:type="dxa"/>
            </w:tcMar>
            <w:vAlign w:val="top"/>
          </w:tcPr>
          <w:p>
            <w:pPr>
              <w:spacing w:after="0"/>
            </w:pPr>
            <w:r>
              <w:rPr>
                <w:sz w:val="13"/>
              </w:rPr>
              <w:t>Dietician orders; diet codes; allergy/restrictions; kitchen census; meal production; tray ticket; ward dispatch; missed meal; patient feedback; nutrition-cost reporting; food-safety checklists.</w:t>
            </w:r>
          </w:p>
        </w:tc>
      </w:tr>
      <w:tr>
        <w:tc>
          <w:tcPr>
            <w:tcW w:type="dxa" w:w="2448"/>
            <w:tcMar>
              <w:top w:w="50" w:type="dxa"/>
              <w:start w:w="55" w:type="dxa"/>
              <w:bottom w:w="50" w:type="dxa"/>
              <w:end w:w="55" w:type="dxa"/>
            </w:tcMar>
            <w:vAlign w:val="top"/>
          </w:tcPr>
          <w:p>
            <w:pPr>
              <w:spacing w:after="0"/>
            </w:pPr>
            <w:r>
              <w:rPr>
                <w:sz w:val="13"/>
              </w:rPr>
              <w:t>Housekeeping</w:t>
            </w:r>
          </w:p>
        </w:tc>
        <w:tc>
          <w:tcPr>
            <w:tcW w:type="dxa" w:w="8352"/>
            <w:tcMar>
              <w:top w:w="50" w:type="dxa"/>
              <w:start w:w="55" w:type="dxa"/>
              <w:bottom w:w="50" w:type="dxa"/>
              <w:end w:w="55" w:type="dxa"/>
            </w:tcMar>
            <w:vAlign w:val="top"/>
          </w:tcPr>
          <w:p>
            <w:pPr>
              <w:spacing w:after="0"/>
            </w:pPr>
            <w:r>
              <w:rPr>
                <w:sz w:val="13"/>
              </w:rPr>
              <w:t>Area/room cleaning schedules; discharge cleaning; isolation terminal cleaning; housekeeping task dispatch; SLA; inspection; consumables; pest-control schedule; bed turnaround integration.</w:t>
            </w:r>
          </w:p>
        </w:tc>
      </w:tr>
      <w:tr>
        <w:tc>
          <w:tcPr>
            <w:tcW w:type="dxa" w:w="2448"/>
            <w:tcMar>
              <w:top w:w="50" w:type="dxa"/>
              <w:start w:w="55" w:type="dxa"/>
              <w:bottom w:w="50" w:type="dxa"/>
              <w:end w:w="55" w:type="dxa"/>
            </w:tcMar>
            <w:vAlign w:val="top"/>
          </w:tcPr>
          <w:p>
            <w:pPr>
              <w:spacing w:after="0"/>
            </w:pPr>
            <w:r>
              <w:rPr>
                <w:sz w:val="13"/>
              </w:rPr>
              <w:t>Laundry &amp; Linen</w:t>
            </w:r>
          </w:p>
        </w:tc>
        <w:tc>
          <w:tcPr>
            <w:tcW w:type="dxa" w:w="8352"/>
            <w:tcMar>
              <w:top w:w="50" w:type="dxa"/>
              <w:start w:w="55" w:type="dxa"/>
              <w:bottom w:w="50" w:type="dxa"/>
              <w:end w:w="55" w:type="dxa"/>
            </w:tcMar>
            <w:vAlign w:val="top"/>
          </w:tcPr>
          <w:p>
            <w:pPr>
              <w:spacing w:after="0"/>
            </w:pPr>
            <w:r>
              <w:rPr>
                <w:sz w:val="13"/>
              </w:rPr>
              <w:t>Linen master; ward par level; soiled collection; segregation; wash cycle/vendor; clean issue; loss/damage; infection-category handling; cost and stock reconciliation.</w:t>
            </w:r>
          </w:p>
        </w:tc>
      </w:tr>
      <w:tr>
        <w:tc>
          <w:tcPr>
            <w:tcW w:type="dxa" w:w="2448"/>
            <w:tcMar>
              <w:top w:w="50" w:type="dxa"/>
              <w:start w:w="55" w:type="dxa"/>
              <w:bottom w:w="50" w:type="dxa"/>
              <w:end w:w="55" w:type="dxa"/>
            </w:tcMar>
            <w:vAlign w:val="top"/>
          </w:tcPr>
          <w:p>
            <w:pPr>
              <w:spacing w:after="0"/>
            </w:pPr>
            <w:r>
              <w:rPr>
                <w:sz w:val="13"/>
              </w:rPr>
              <w:t>Biomedical Waste</w:t>
            </w:r>
          </w:p>
        </w:tc>
        <w:tc>
          <w:tcPr>
            <w:tcW w:type="dxa" w:w="8352"/>
            <w:tcMar>
              <w:top w:w="50" w:type="dxa"/>
              <w:start w:w="55" w:type="dxa"/>
              <w:bottom w:w="50" w:type="dxa"/>
              <w:end w:w="55" w:type="dxa"/>
            </w:tcMar>
            <w:vAlign w:val="top"/>
          </w:tcPr>
          <w:p>
            <w:pPr>
              <w:spacing w:after="0"/>
            </w:pPr>
            <w:r>
              <w:rPr>
                <w:sz w:val="13"/>
              </w:rPr>
              <w:t>Waste category; source location; bag/container tracking; weight; temporary storage; pickup/vendor manifest; exception; statutory report support.</w:t>
            </w:r>
          </w:p>
        </w:tc>
      </w:tr>
      <w:tr>
        <w:tc>
          <w:tcPr>
            <w:tcW w:type="dxa" w:w="2448"/>
            <w:tcMar>
              <w:top w:w="50" w:type="dxa"/>
              <w:start w:w="55" w:type="dxa"/>
              <w:bottom w:w="50" w:type="dxa"/>
              <w:end w:w="55" w:type="dxa"/>
            </w:tcMar>
            <w:vAlign w:val="top"/>
          </w:tcPr>
          <w:p>
            <w:pPr>
              <w:spacing w:after="0"/>
            </w:pPr>
            <w:r>
              <w:rPr>
                <w:sz w:val="13"/>
              </w:rPr>
              <w:t>Ambulance &amp; Fleet</w:t>
            </w:r>
          </w:p>
        </w:tc>
        <w:tc>
          <w:tcPr>
            <w:tcW w:type="dxa" w:w="8352"/>
            <w:tcMar>
              <w:top w:w="50" w:type="dxa"/>
              <w:start w:w="55" w:type="dxa"/>
              <w:bottom w:w="50" w:type="dxa"/>
              <w:end w:w="55" w:type="dxa"/>
            </w:tcMar>
            <w:vAlign w:val="top"/>
          </w:tcPr>
          <w:p>
            <w:pPr>
              <w:spacing w:after="0"/>
            </w:pPr>
            <w:r>
              <w:rPr>
                <w:sz w:val="13"/>
              </w:rPr>
              <w:t>Vehicle/crew roster; emergency dispatch; GPS; pre-arrival information; consumables/equipment checklist; maintenance; trip billing; referral transfer and inter-facility movement.</w:t>
            </w:r>
          </w:p>
        </w:tc>
      </w:tr>
      <w:tr>
        <w:tc>
          <w:tcPr>
            <w:tcW w:type="dxa" w:w="2448"/>
            <w:tcMar>
              <w:top w:w="50" w:type="dxa"/>
              <w:start w:w="55" w:type="dxa"/>
              <w:bottom w:w="50" w:type="dxa"/>
              <w:end w:w="55" w:type="dxa"/>
            </w:tcMar>
            <w:vAlign w:val="top"/>
          </w:tcPr>
          <w:p>
            <w:pPr>
              <w:spacing w:after="0"/>
            </w:pPr>
            <w:r>
              <w:rPr>
                <w:sz w:val="13"/>
              </w:rPr>
              <w:t>Security &amp; Access</w:t>
            </w:r>
          </w:p>
        </w:tc>
        <w:tc>
          <w:tcPr>
            <w:tcW w:type="dxa" w:w="8352"/>
            <w:tcMar>
              <w:top w:w="50" w:type="dxa"/>
              <w:start w:w="55" w:type="dxa"/>
              <w:bottom w:w="50" w:type="dxa"/>
              <w:end w:w="55" w:type="dxa"/>
            </w:tcMar>
            <w:vAlign w:val="top"/>
          </w:tcPr>
          <w:p>
            <w:pPr>
              <w:spacing w:after="0"/>
            </w:pPr>
            <w:r>
              <w:rPr>
                <w:sz w:val="13"/>
              </w:rPr>
              <w:t>Visitor passes; restricted area access; incident log; lost-and-found; infant/asset protection integrations; parking; access-control/CCTV reference integration subject to policy.</w:t>
            </w:r>
          </w:p>
        </w:tc>
      </w:tr>
      <w:tr>
        <w:tc>
          <w:tcPr>
            <w:tcW w:type="dxa" w:w="2448"/>
            <w:tcMar>
              <w:top w:w="50" w:type="dxa"/>
              <w:start w:w="55" w:type="dxa"/>
              <w:bottom w:w="50" w:type="dxa"/>
              <w:end w:w="55" w:type="dxa"/>
            </w:tcMar>
            <w:vAlign w:val="top"/>
          </w:tcPr>
          <w:p>
            <w:pPr>
              <w:spacing w:after="0"/>
            </w:pPr>
            <w:r>
              <w:rPr>
                <w:sz w:val="13"/>
              </w:rPr>
              <w:t>Mortuary</w:t>
            </w:r>
          </w:p>
        </w:tc>
        <w:tc>
          <w:tcPr>
            <w:tcW w:type="dxa" w:w="8352"/>
            <w:tcMar>
              <w:top w:w="50" w:type="dxa"/>
              <w:start w:w="55" w:type="dxa"/>
              <w:bottom w:w="50" w:type="dxa"/>
              <w:end w:w="55" w:type="dxa"/>
            </w:tcMar>
            <w:vAlign w:val="top"/>
          </w:tcPr>
          <w:p>
            <w:pPr>
              <w:spacing w:after="0"/>
            </w:pPr>
            <w:r>
              <w:rPr>
                <w:sz w:val="13"/>
              </w:rPr>
              <w:t>Body registration; storage location; release authorization; medico-legal restriction; valuables; post-mortem coordination; body handover and audit.</w:t>
            </w:r>
          </w:p>
        </w:tc>
      </w:tr>
      <w:tr>
        <w:tc>
          <w:tcPr>
            <w:tcW w:type="dxa" w:w="2448"/>
            <w:tcMar>
              <w:top w:w="50" w:type="dxa"/>
              <w:start w:w="55" w:type="dxa"/>
              <w:bottom w:w="50" w:type="dxa"/>
              <w:end w:w="55" w:type="dxa"/>
            </w:tcMar>
            <w:vAlign w:val="top"/>
          </w:tcPr>
          <w:p>
            <w:pPr>
              <w:spacing w:after="0"/>
            </w:pPr>
            <w:r>
              <w:rPr>
                <w:sz w:val="13"/>
              </w:rPr>
              <w:t>Guest Relations / CRM</w:t>
            </w:r>
          </w:p>
        </w:tc>
        <w:tc>
          <w:tcPr>
            <w:tcW w:type="dxa" w:w="8352"/>
            <w:tcMar>
              <w:top w:w="50" w:type="dxa"/>
              <w:start w:w="55" w:type="dxa"/>
              <w:bottom w:w="50" w:type="dxa"/>
              <w:end w:w="55" w:type="dxa"/>
            </w:tcMar>
            <w:vAlign w:val="top"/>
          </w:tcPr>
          <w:p>
            <w:pPr>
              <w:spacing w:after="0"/>
            </w:pPr>
            <w:r>
              <w:rPr>
                <w:sz w:val="13"/>
              </w:rPr>
              <w:t>Complaints, compliments, service recovery, patient feedback, NPS/PREMs, grievance SLA, escalation and closure.</w:t>
            </w:r>
          </w:p>
        </w:tc>
      </w:tr>
      <w:tr>
        <w:tc>
          <w:tcPr>
            <w:tcW w:type="dxa" w:w="2448"/>
            <w:tcMar>
              <w:top w:w="50" w:type="dxa"/>
              <w:start w:w="55" w:type="dxa"/>
              <w:bottom w:w="50" w:type="dxa"/>
              <w:end w:w="55" w:type="dxa"/>
            </w:tcMar>
            <w:vAlign w:val="top"/>
          </w:tcPr>
          <w:p>
            <w:pPr>
              <w:spacing w:after="0"/>
            </w:pPr>
            <w:r>
              <w:rPr>
                <w:sz w:val="13"/>
              </w:rPr>
              <w:t>Call Centre</w:t>
            </w:r>
          </w:p>
        </w:tc>
        <w:tc>
          <w:tcPr>
            <w:tcW w:type="dxa" w:w="8352"/>
            <w:tcMar>
              <w:top w:w="50" w:type="dxa"/>
              <w:start w:w="55" w:type="dxa"/>
              <w:bottom w:w="50" w:type="dxa"/>
              <w:end w:w="55" w:type="dxa"/>
            </w:tcMar>
            <w:vAlign w:val="top"/>
          </w:tcPr>
          <w:p>
            <w:pPr>
              <w:spacing w:after="0"/>
            </w:pPr>
            <w:r>
              <w:rPr>
                <w:sz w:val="13"/>
              </w:rPr>
              <w:t>Unified appointment, patient enquiry, follow-up, outbound campaign, missed-call, call disposition and quality workflow.</w:t>
            </w:r>
          </w:p>
        </w:tc>
      </w:tr>
      <w:tr>
        <w:tc>
          <w:tcPr>
            <w:tcW w:type="dxa" w:w="2448"/>
            <w:tcMar>
              <w:top w:w="50" w:type="dxa"/>
              <w:start w:w="55" w:type="dxa"/>
              <w:bottom w:w="50" w:type="dxa"/>
              <w:end w:w="55" w:type="dxa"/>
            </w:tcMar>
            <w:vAlign w:val="top"/>
          </w:tcPr>
          <w:p>
            <w:pPr>
              <w:spacing w:after="0"/>
            </w:pPr>
            <w:r>
              <w:rPr>
                <w:sz w:val="13"/>
              </w:rPr>
              <w:t>Engineering &amp; Facilities</w:t>
            </w:r>
          </w:p>
        </w:tc>
        <w:tc>
          <w:tcPr>
            <w:tcW w:type="dxa" w:w="8352"/>
            <w:tcMar>
              <w:top w:w="50" w:type="dxa"/>
              <w:start w:w="55" w:type="dxa"/>
              <w:bottom w:w="50" w:type="dxa"/>
              <w:end w:w="55" w:type="dxa"/>
            </w:tcMar>
            <w:vAlign w:val="top"/>
          </w:tcPr>
          <w:p>
            <w:pPr>
              <w:spacing w:after="0"/>
            </w:pPr>
            <w:r>
              <w:rPr>
                <w:sz w:val="13"/>
              </w:rPr>
              <w:t>Work orders, preventive maintenance, permits, utility rounds, statutory inspection calendar, contractor management and SCADA-linked alarms.</w:t>
            </w:r>
          </w:p>
        </w:tc>
      </w:tr>
    </w:tbl>
    <w:p>
      <w:pPr>
        <w:spacing w:after="20"/>
      </w:pPr>
    </w:p>
    <w:p>
      <w:pPr>
        <w:pStyle w:val="Heading1"/>
      </w:pPr>
      <w:r>
        <w:t>41. Quality, Accreditation and Clinical Governance</w:t>
      </w:r>
    </w:p>
    <w:p>
      <w:r>
        <w:t>The product shall include a configurable quality-management system supporting hospitals pursuing NABH and comparable accreditation frameworks. As of 2026, NABH publishes the 6th Edition Hospital Accreditation Standards. The application must support evidence capture and workflow without claiming that software use itself confers accreditation.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ID</w:t>
            </w:r>
          </w:p>
        </w:tc>
        <w:tc>
          <w:tcPr>
            <w:tcW w:type="dxa" w:w="5083"/>
            <w:shd w:fill="D9EAF7"/>
            <w:tcMar>
              <w:top w:w="50" w:type="dxa"/>
              <w:start w:w="55" w:type="dxa"/>
              <w:bottom w:w="50" w:type="dxa"/>
              <w:end w:w="55" w:type="dxa"/>
            </w:tcMar>
          </w:tcPr>
          <w:p>
            <w:pPr>
              <w:spacing w:after="0"/>
            </w:pPr>
            <w:r>
              <w:rPr>
                <w:b/>
                <w:sz w:val="14"/>
              </w:rPr>
              <w:t>Requirement</w:t>
            </w:r>
          </w:p>
        </w:tc>
      </w:tr>
      <w:tr>
        <w:tc>
          <w:tcPr>
            <w:tcW w:type="dxa" w:w="1440"/>
            <w:tcMar>
              <w:top w:w="50" w:type="dxa"/>
              <w:start w:w="55" w:type="dxa"/>
              <w:bottom w:w="50" w:type="dxa"/>
              <w:end w:w="55" w:type="dxa"/>
            </w:tcMar>
            <w:vAlign w:val="top"/>
          </w:tcPr>
          <w:p>
            <w:pPr>
              <w:spacing w:after="0"/>
            </w:pPr>
            <w:r>
              <w:rPr>
                <w:sz w:val="14"/>
              </w:rPr>
              <w:t>QMS-001</w:t>
            </w:r>
          </w:p>
        </w:tc>
        <w:tc>
          <w:tcPr>
            <w:tcW w:type="dxa" w:w="9360"/>
            <w:tcMar>
              <w:top w:w="50" w:type="dxa"/>
              <w:start w:w="55" w:type="dxa"/>
              <w:bottom w:w="50" w:type="dxa"/>
              <w:end w:w="55" w:type="dxa"/>
            </w:tcMar>
            <w:vAlign w:val="top"/>
          </w:tcPr>
          <w:p>
            <w:pPr>
              <w:spacing w:after="0"/>
            </w:pPr>
            <w:r>
              <w:rPr>
                <w:sz w:val="14"/>
              </w:rPr>
              <w:t>Controlled document/SOP lifecycle: draft, review, approve, effective date, supersede, acknowledgement, distribution, archival and controlled print.</w:t>
            </w:r>
          </w:p>
        </w:tc>
      </w:tr>
      <w:tr>
        <w:tc>
          <w:tcPr>
            <w:tcW w:type="dxa" w:w="1440"/>
            <w:tcMar>
              <w:top w:w="50" w:type="dxa"/>
              <w:start w:w="55" w:type="dxa"/>
              <w:bottom w:w="50" w:type="dxa"/>
              <w:end w:w="55" w:type="dxa"/>
            </w:tcMar>
            <w:vAlign w:val="top"/>
          </w:tcPr>
          <w:p>
            <w:pPr>
              <w:spacing w:after="0"/>
            </w:pPr>
            <w:r>
              <w:rPr>
                <w:sz w:val="14"/>
              </w:rPr>
              <w:t>QMS-002</w:t>
            </w:r>
          </w:p>
        </w:tc>
        <w:tc>
          <w:tcPr>
            <w:tcW w:type="dxa" w:w="9360"/>
            <w:tcMar>
              <w:top w:w="50" w:type="dxa"/>
              <w:start w:w="55" w:type="dxa"/>
              <w:bottom w:w="50" w:type="dxa"/>
              <w:end w:w="55" w:type="dxa"/>
            </w:tcMar>
            <w:vAlign w:val="top"/>
          </w:tcPr>
          <w:p>
            <w:pPr>
              <w:spacing w:after="0"/>
            </w:pPr>
            <w:r>
              <w:rPr>
                <w:sz w:val="14"/>
              </w:rPr>
              <w:t>Incident/near-miss/sentinel-event reporting with severity, immediate action, investigation, RCA methodology, CAPA, owner, due date, effectiveness check and closure.</w:t>
            </w:r>
          </w:p>
        </w:tc>
      </w:tr>
      <w:tr>
        <w:tc>
          <w:tcPr>
            <w:tcW w:type="dxa" w:w="1440"/>
            <w:tcMar>
              <w:top w:w="50" w:type="dxa"/>
              <w:start w:w="55" w:type="dxa"/>
              <w:bottom w:w="50" w:type="dxa"/>
              <w:end w:w="55" w:type="dxa"/>
            </w:tcMar>
            <w:vAlign w:val="top"/>
          </w:tcPr>
          <w:p>
            <w:pPr>
              <w:spacing w:after="0"/>
            </w:pPr>
            <w:r>
              <w:rPr>
                <w:sz w:val="14"/>
              </w:rPr>
              <w:t>QMS-003</w:t>
            </w:r>
          </w:p>
        </w:tc>
        <w:tc>
          <w:tcPr>
            <w:tcW w:type="dxa" w:w="9360"/>
            <w:tcMar>
              <w:top w:w="50" w:type="dxa"/>
              <w:start w:w="55" w:type="dxa"/>
              <w:bottom w:w="50" w:type="dxa"/>
              <w:end w:w="55" w:type="dxa"/>
            </w:tcMar>
            <w:vAlign w:val="top"/>
          </w:tcPr>
          <w:p>
            <w:pPr>
              <w:spacing w:after="0"/>
            </w:pPr>
            <w:r>
              <w:rPr>
                <w:sz w:val="14"/>
              </w:rPr>
              <w:t>Clinical and non-clinical audit programme: schedule, checklist, sample, finding, evidence, score, CAPA and re-audit.</w:t>
            </w:r>
          </w:p>
        </w:tc>
      </w:tr>
      <w:tr>
        <w:tc>
          <w:tcPr>
            <w:tcW w:type="dxa" w:w="1440"/>
            <w:tcMar>
              <w:top w:w="50" w:type="dxa"/>
              <w:start w:w="55" w:type="dxa"/>
              <w:bottom w:w="50" w:type="dxa"/>
              <w:end w:w="55" w:type="dxa"/>
            </w:tcMar>
            <w:vAlign w:val="top"/>
          </w:tcPr>
          <w:p>
            <w:pPr>
              <w:spacing w:after="0"/>
            </w:pPr>
            <w:r>
              <w:rPr>
                <w:sz w:val="14"/>
              </w:rPr>
              <w:t>QMS-004</w:t>
            </w:r>
          </w:p>
        </w:tc>
        <w:tc>
          <w:tcPr>
            <w:tcW w:type="dxa" w:w="9360"/>
            <w:tcMar>
              <w:top w:w="50" w:type="dxa"/>
              <w:start w:w="55" w:type="dxa"/>
              <w:bottom w:w="50" w:type="dxa"/>
              <w:end w:w="55" w:type="dxa"/>
            </w:tcMar>
            <w:vAlign w:val="top"/>
          </w:tcPr>
          <w:p>
            <w:pPr>
              <w:spacing w:after="0"/>
            </w:pPr>
            <w:r>
              <w:rPr>
                <w:sz w:val="14"/>
              </w:rPr>
              <w:t>Hospital committee workspace for agenda, attendance, minutes, action items, recurring decisions and evidence.</w:t>
            </w:r>
          </w:p>
        </w:tc>
      </w:tr>
      <w:tr>
        <w:tc>
          <w:tcPr>
            <w:tcW w:type="dxa" w:w="1440"/>
            <w:tcMar>
              <w:top w:w="50" w:type="dxa"/>
              <w:start w:w="55" w:type="dxa"/>
              <w:bottom w:w="50" w:type="dxa"/>
              <w:end w:w="55" w:type="dxa"/>
            </w:tcMar>
            <w:vAlign w:val="top"/>
          </w:tcPr>
          <w:p>
            <w:pPr>
              <w:spacing w:after="0"/>
            </w:pPr>
            <w:r>
              <w:rPr>
                <w:sz w:val="14"/>
              </w:rPr>
              <w:t>QMS-005</w:t>
            </w:r>
          </w:p>
        </w:tc>
        <w:tc>
          <w:tcPr>
            <w:tcW w:type="dxa" w:w="9360"/>
            <w:tcMar>
              <w:top w:w="50" w:type="dxa"/>
              <w:start w:w="55" w:type="dxa"/>
              <w:bottom w:w="50" w:type="dxa"/>
              <w:end w:w="55" w:type="dxa"/>
            </w:tcMar>
            <w:vAlign w:val="top"/>
          </w:tcPr>
          <w:p>
            <w:pPr>
              <w:spacing w:after="0"/>
            </w:pPr>
            <w:r>
              <w:rPr>
                <w:sz w:val="14"/>
              </w:rPr>
              <w:t>Quality indicator dictionary with numerator, denominator, exclusions, source, frequency, target, benchmark and automated/manual collection.</w:t>
            </w:r>
          </w:p>
        </w:tc>
      </w:tr>
      <w:tr>
        <w:tc>
          <w:tcPr>
            <w:tcW w:type="dxa" w:w="1440"/>
            <w:tcMar>
              <w:top w:w="50" w:type="dxa"/>
              <w:start w:w="55" w:type="dxa"/>
              <w:bottom w:w="50" w:type="dxa"/>
              <w:end w:w="55" w:type="dxa"/>
            </w:tcMar>
            <w:vAlign w:val="top"/>
          </w:tcPr>
          <w:p>
            <w:pPr>
              <w:spacing w:after="0"/>
            </w:pPr>
            <w:r>
              <w:rPr>
                <w:sz w:val="14"/>
              </w:rPr>
              <w:t>QMS-006</w:t>
            </w:r>
          </w:p>
        </w:tc>
        <w:tc>
          <w:tcPr>
            <w:tcW w:type="dxa" w:w="9360"/>
            <w:tcMar>
              <w:top w:w="50" w:type="dxa"/>
              <w:start w:w="55" w:type="dxa"/>
              <w:bottom w:w="50" w:type="dxa"/>
              <w:end w:w="55" w:type="dxa"/>
            </w:tcMar>
            <w:vAlign w:val="top"/>
          </w:tcPr>
          <w:p>
            <w:pPr>
              <w:spacing w:after="0"/>
            </w:pPr>
            <w:r>
              <w:rPr>
                <w:sz w:val="14"/>
              </w:rPr>
              <w:t>Patient safety rounds, facility rounds, medication safety, infection-control tracer and department tracer workflows.</w:t>
            </w:r>
          </w:p>
        </w:tc>
      </w:tr>
      <w:tr>
        <w:tc>
          <w:tcPr>
            <w:tcW w:type="dxa" w:w="1440"/>
            <w:tcMar>
              <w:top w:w="50" w:type="dxa"/>
              <w:start w:w="55" w:type="dxa"/>
              <w:bottom w:w="50" w:type="dxa"/>
              <w:end w:w="55" w:type="dxa"/>
            </w:tcMar>
            <w:vAlign w:val="top"/>
          </w:tcPr>
          <w:p>
            <w:pPr>
              <w:spacing w:after="0"/>
            </w:pPr>
            <w:r>
              <w:rPr>
                <w:sz w:val="14"/>
              </w:rPr>
              <w:t>QMS-007</w:t>
            </w:r>
          </w:p>
        </w:tc>
        <w:tc>
          <w:tcPr>
            <w:tcW w:type="dxa" w:w="9360"/>
            <w:tcMar>
              <w:top w:w="50" w:type="dxa"/>
              <w:start w:w="55" w:type="dxa"/>
              <w:bottom w:w="50" w:type="dxa"/>
              <w:end w:w="55" w:type="dxa"/>
            </w:tcMar>
            <w:vAlign w:val="top"/>
          </w:tcPr>
          <w:p>
            <w:pPr>
              <w:spacing w:after="0"/>
            </w:pPr>
            <w:r>
              <w:rPr>
                <w:sz w:val="14"/>
              </w:rPr>
              <w:t>Mortality/morbidity review, unexpected outcome review and multidisciplinary case-review records with restricted access.</w:t>
            </w:r>
          </w:p>
        </w:tc>
      </w:tr>
      <w:tr>
        <w:tc>
          <w:tcPr>
            <w:tcW w:type="dxa" w:w="1440"/>
            <w:tcMar>
              <w:top w:w="50" w:type="dxa"/>
              <w:start w:w="55" w:type="dxa"/>
              <w:bottom w:w="50" w:type="dxa"/>
              <w:end w:w="55" w:type="dxa"/>
            </w:tcMar>
            <w:vAlign w:val="top"/>
          </w:tcPr>
          <w:p>
            <w:pPr>
              <w:spacing w:after="0"/>
            </w:pPr>
            <w:r>
              <w:rPr>
                <w:sz w:val="14"/>
              </w:rPr>
              <w:t>QMS-008</w:t>
            </w:r>
          </w:p>
        </w:tc>
        <w:tc>
          <w:tcPr>
            <w:tcW w:type="dxa" w:w="9360"/>
            <w:tcMar>
              <w:top w:w="50" w:type="dxa"/>
              <w:start w:w="55" w:type="dxa"/>
              <w:bottom w:w="50" w:type="dxa"/>
              <w:end w:w="55" w:type="dxa"/>
            </w:tcMar>
            <w:vAlign w:val="top"/>
          </w:tcPr>
          <w:p>
            <w:pPr>
              <w:spacing w:after="0"/>
            </w:pPr>
            <w:r>
              <w:rPr>
                <w:sz w:val="14"/>
              </w:rPr>
              <w:t>Policy/standard requirement mapping so one evidence item may support multiple accreditation objective elements without duplicating evidence.</w:t>
            </w:r>
          </w:p>
        </w:tc>
      </w:tr>
      <w:tr>
        <w:tc>
          <w:tcPr>
            <w:tcW w:type="dxa" w:w="1440"/>
            <w:tcMar>
              <w:top w:w="50" w:type="dxa"/>
              <w:start w:w="55" w:type="dxa"/>
              <w:bottom w:w="50" w:type="dxa"/>
              <w:end w:w="55" w:type="dxa"/>
            </w:tcMar>
            <w:vAlign w:val="top"/>
          </w:tcPr>
          <w:p>
            <w:pPr>
              <w:spacing w:after="0"/>
            </w:pPr>
            <w:r>
              <w:rPr>
                <w:sz w:val="14"/>
              </w:rPr>
              <w:t>QMS-009</w:t>
            </w:r>
          </w:p>
        </w:tc>
        <w:tc>
          <w:tcPr>
            <w:tcW w:type="dxa" w:w="9360"/>
            <w:tcMar>
              <w:top w:w="50" w:type="dxa"/>
              <w:start w:w="55" w:type="dxa"/>
              <w:bottom w:w="50" w:type="dxa"/>
              <w:end w:w="55" w:type="dxa"/>
            </w:tcMar>
            <w:vAlign w:val="top"/>
          </w:tcPr>
          <w:p>
            <w:pPr>
              <w:spacing w:after="0"/>
            </w:pPr>
            <w:r>
              <w:rPr>
                <w:sz w:val="14"/>
              </w:rPr>
              <w:t>Risk register with probability, impact, controls, residual risk, treatment plan, owner and review schedule.</w:t>
            </w:r>
          </w:p>
        </w:tc>
      </w:tr>
      <w:tr>
        <w:tc>
          <w:tcPr>
            <w:tcW w:type="dxa" w:w="1440"/>
            <w:tcMar>
              <w:top w:w="50" w:type="dxa"/>
              <w:start w:w="55" w:type="dxa"/>
              <w:bottom w:w="50" w:type="dxa"/>
              <w:end w:w="55" w:type="dxa"/>
            </w:tcMar>
            <w:vAlign w:val="top"/>
          </w:tcPr>
          <w:p>
            <w:pPr>
              <w:spacing w:after="0"/>
            </w:pPr>
            <w:r>
              <w:rPr>
                <w:sz w:val="14"/>
              </w:rPr>
              <w:t>QMS-010</w:t>
            </w:r>
          </w:p>
        </w:tc>
        <w:tc>
          <w:tcPr>
            <w:tcW w:type="dxa" w:w="9360"/>
            <w:tcMar>
              <w:top w:w="50" w:type="dxa"/>
              <w:start w:w="55" w:type="dxa"/>
              <w:bottom w:w="50" w:type="dxa"/>
              <w:end w:w="55" w:type="dxa"/>
            </w:tcMar>
            <w:vAlign w:val="top"/>
          </w:tcPr>
          <w:p>
            <w:pPr>
              <w:spacing w:after="0"/>
            </w:pPr>
            <w:r>
              <w:rPr>
                <w:sz w:val="14"/>
              </w:rPr>
              <w:t>Training/competency evidence linked to staff role and policies; expiry and reassessment alerts.</w:t>
            </w:r>
          </w:p>
        </w:tc>
      </w:tr>
    </w:tbl>
    <w:p>
      <w:pPr>
        <w:spacing w:after="20"/>
      </w:pPr>
    </w:p>
    <w:p>
      <w:pPr>
        <w:pStyle w:val="Heading1"/>
      </w:pPr>
      <w:r>
        <w:t>42. Nursing Information System - Expanded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ID</w:t>
            </w:r>
          </w:p>
        </w:tc>
        <w:tc>
          <w:tcPr>
            <w:tcW w:type="dxa" w:w="5083"/>
            <w:shd w:fill="D9EAF7"/>
            <w:tcMar>
              <w:top w:w="50" w:type="dxa"/>
              <w:start w:w="55" w:type="dxa"/>
              <w:bottom w:w="50" w:type="dxa"/>
              <w:end w:w="55" w:type="dxa"/>
            </w:tcMar>
          </w:tcPr>
          <w:p>
            <w:pPr>
              <w:spacing w:after="0"/>
            </w:pPr>
            <w:r>
              <w:rPr>
                <w:b/>
                <w:sz w:val="14"/>
              </w:rPr>
              <w:t>Requirement</w:t>
            </w:r>
          </w:p>
        </w:tc>
      </w:tr>
      <w:tr>
        <w:tc>
          <w:tcPr>
            <w:tcW w:type="dxa" w:w="1440"/>
            <w:tcMar>
              <w:top w:w="50" w:type="dxa"/>
              <w:start w:w="55" w:type="dxa"/>
              <w:bottom w:w="50" w:type="dxa"/>
              <w:end w:w="55" w:type="dxa"/>
            </w:tcMar>
            <w:vAlign w:val="top"/>
          </w:tcPr>
          <w:p>
            <w:pPr>
              <w:spacing w:after="0"/>
            </w:pPr>
            <w:r>
              <w:rPr>
                <w:sz w:val="14"/>
              </w:rPr>
              <w:t>NUR-001</w:t>
            </w:r>
          </w:p>
        </w:tc>
        <w:tc>
          <w:tcPr>
            <w:tcW w:type="dxa" w:w="9360"/>
            <w:tcMar>
              <w:top w:w="50" w:type="dxa"/>
              <w:start w:w="55" w:type="dxa"/>
              <w:bottom w:w="50" w:type="dxa"/>
              <w:end w:w="55" w:type="dxa"/>
            </w:tcMar>
            <w:vAlign w:val="top"/>
          </w:tcPr>
          <w:p>
            <w:pPr>
              <w:spacing w:after="0"/>
            </w:pPr>
            <w:r>
              <w:rPr>
                <w:sz w:val="14"/>
              </w:rPr>
              <w:t>Admission nursing assessment with dependency/acuity, skin, nutrition, falls, pain, functional status, devices, isolation and education needs.</w:t>
            </w:r>
          </w:p>
        </w:tc>
      </w:tr>
      <w:tr>
        <w:tc>
          <w:tcPr>
            <w:tcW w:type="dxa" w:w="1440"/>
            <w:tcMar>
              <w:top w:w="50" w:type="dxa"/>
              <w:start w:w="55" w:type="dxa"/>
              <w:bottom w:w="50" w:type="dxa"/>
              <w:end w:w="55" w:type="dxa"/>
            </w:tcMar>
            <w:vAlign w:val="top"/>
          </w:tcPr>
          <w:p>
            <w:pPr>
              <w:spacing w:after="0"/>
            </w:pPr>
            <w:r>
              <w:rPr>
                <w:sz w:val="14"/>
              </w:rPr>
              <w:t>NUR-002</w:t>
            </w:r>
          </w:p>
        </w:tc>
        <w:tc>
          <w:tcPr>
            <w:tcW w:type="dxa" w:w="9360"/>
            <w:tcMar>
              <w:top w:w="50" w:type="dxa"/>
              <w:start w:w="55" w:type="dxa"/>
              <w:bottom w:w="50" w:type="dxa"/>
              <w:end w:w="55" w:type="dxa"/>
            </w:tcMar>
            <w:vAlign w:val="top"/>
          </w:tcPr>
          <w:p>
            <w:pPr>
              <w:spacing w:after="0"/>
            </w:pPr>
            <w:r>
              <w:rPr>
                <w:sz w:val="14"/>
              </w:rPr>
              <w:t>Nursing diagnosis/problem, goal, intervention, frequency, evaluation and outcome care-plan engine.</w:t>
            </w:r>
          </w:p>
        </w:tc>
      </w:tr>
      <w:tr>
        <w:tc>
          <w:tcPr>
            <w:tcW w:type="dxa" w:w="1440"/>
            <w:tcMar>
              <w:top w:w="50" w:type="dxa"/>
              <w:start w:w="55" w:type="dxa"/>
              <w:bottom w:w="50" w:type="dxa"/>
              <w:end w:w="55" w:type="dxa"/>
            </w:tcMar>
            <w:vAlign w:val="top"/>
          </w:tcPr>
          <w:p>
            <w:pPr>
              <w:spacing w:after="0"/>
            </w:pPr>
            <w:r>
              <w:rPr>
                <w:sz w:val="14"/>
              </w:rPr>
              <w:t>NUR-003</w:t>
            </w:r>
          </w:p>
        </w:tc>
        <w:tc>
          <w:tcPr>
            <w:tcW w:type="dxa" w:w="9360"/>
            <w:tcMar>
              <w:top w:w="50" w:type="dxa"/>
              <w:start w:w="55" w:type="dxa"/>
              <w:bottom w:w="50" w:type="dxa"/>
              <w:end w:w="55" w:type="dxa"/>
            </w:tcMar>
            <w:vAlign w:val="top"/>
          </w:tcPr>
          <w:p>
            <w:pPr>
              <w:spacing w:after="0"/>
            </w:pPr>
            <w:r>
              <w:rPr>
                <w:sz w:val="14"/>
              </w:rPr>
              <w:t>eMAR with due-time grid, barcode patient/medication verification, hold/refuse/omitted reason, PRN indication/effect and controlled co-sign.</w:t>
            </w:r>
          </w:p>
        </w:tc>
      </w:tr>
      <w:tr>
        <w:tc>
          <w:tcPr>
            <w:tcW w:type="dxa" w:w="1440"/>
            <w:tcMar>
              <w:top w:w="50" w:type="dxa"/>
              <w:start w:w="55" w:type="dxa"/>
              <w:bottom w:w="50" w:type="dxa"/>
              <w:end w:w="55" w:type="dxa"/>
            </w:tcMar>
            <w:vAlign w:val="top"/>
          </w:tcPr>
          <w:p>
            <w:pPr>
              <w:spacing w:after="0"/>
            </w:pPr>
            <w:r>
              <w:rPr>
                <w:sz w:val="14"/>
              </w:rPr>
              <w:t>NUR-004</w:t>
            </w:r>
          </w:p>
        </w:tc>
        <w:tc>
          <w:tcPr>
            <w:tcW w:type="dxa" w:w="9360"/>
            <w:tcMar>
              <w:top w:w="50" w:type="dxa"/>
              <w:start w:w="55" w:type="dxa"/>
              <w:bottom w:w="50" w:type="dxa"/>
              <w:end w:w="55" w:type="dxa"/>
            </w:tcMar>
            <w:vAlign w:val="top"/>
          </w:tcPr>
          <w:p>
            <w:pPr>
              <w:spacing w:after="0"/>
            </w:pPr>
            <w:r>
              <w:rPr>
                <w:sz w:val="14"/>
              </w:rPr>
              <w:t>IV therapy: line/catheter, site checks, fluids, infusion rates, pump reference, infiltration/phlebitis and line-day calculation.</w:t>
            </w:r>
          </w:p>
        </w:tc>
      </w:tr>
      <w:tr>
        <w:tc>
          <w:tcPr>
            <w:tcW w:type="dxa" w:w="1440"/>
            <w:tcMar>
              <w:top w:w="50" w:type="dxa"/>
              <w:start w:w="55" w:type="dxa"/>
              <w:bottom w:w="50" w:type="dxa"/>
              <w:end w:w="55" w:type="dxa"/>
            </w:tcMar>
            <w:vAlign w:val="top"/>
          </w:tcPr>
          <w:p>
            <w:pPr>
              <w:spacing w:after="0"/>
            </w:pPr>
            <w:r>
              <w:rPr>
                <w:sz w:val="14"/>
              </w:rPr>
              <w:t>NUR-005</w:t>
            </w:r>
          </w:p>
        </w:tc>
        <w:tc>
          <w:tcPr>
            <w:tcW w:type="dxa" w:w="9360"/>
            <w:tcMar>
              <w:top w:w="50" w:type="dxa"/>
              <w:start w:w="55" w:type="dxa"/>
              <w:bottom w:w="50" w:type="dxa"/>
              <w:end w:w="55" w:type="dxa"/>
            </w:tcMar>
            <w:vAlign w:val="top"/>
          </w:tcPr>
          <w:p>
            <w:pPr>
              <w:spacing w:after="0"/>
            </w:pPr>
            <w:r>
              <w:rPr>
                <w:sz w:val="14"/>
              </w:rPr>
              <w:t>Tubes/drains/airways/wounds: insertion, characteristics, output, site assessment, care and removal.</w:t>
            </w:r>
          </w:p>
        </w:tc>
      </w:tr>
      <w:tr>
        <w:tc>
          <w:tcPr>
            <w:tcW w:type="dxa" w:w="1440"/>
            <w:tcMar>
              <w:top w:w="50" w:type="dxa"/>
              <w:start w:w="55" w:type="dxa"/>
              <w:bottom w:w="50" w:type="dxa"/>
              <w:end w:w="55" w:type="dxa"/>
            </w:tcMar>
            <w:vAlign w:val="top"/>
          </w:tcPr>
          <w:p>
            <w:pPr>
              <w:spacing w:after="0"/>
            </w:pPr>
            <w:r>
              <w:rPr>
                <w:sz w:val="14"/>
              </w:rPr>
              <w:t>NUR-006</w:t>
            </w:r>
          </w:p>
        </w:tc>
        <w:tc>
          <w:tcPr>
            <w:tcW w:type="dxa" w:w="9360"/>
            <w:tcMar>
              <w:top w:w="50" w:type="dxa"/>
              <w:start w:w="55" w:type="dxa"/>
              <w:bottom w:w="50" w:type="dxa"/>
              <w:end w:w="55" w:type="dxa"/>
            </w:tcMar>
            <w:vAlign w:val="top"/>
          </w:tcPr>
          <w:p>
            <w:pPr>
              <w:spacing w:after="0"/>
            </w:pPr>
            <w:r>
              <w:rPr>
                <w:sz w:val="14"/>
              </w:rPr>
              <w:t>Pressure injury risk/assessment, body map, staging, photographs under consent/policy and wound-care plan.</w:t>
            </w:r>
          </w:p>
        </w:tc>
      </w:tr>
      <w:tr>
        <w:tc>
          <w:tcPr>
            <w:tcW w:type="dxa" w:w="1440"/>
            <w:tcMar>
              <w:top w:w="50" w:type="dxa"/>
              <w:start w:w="55" w:type="dxa"/>
              <w:bottom w:w="50" w:type="dxa"/>
              <w:end w:w="55" w:type="dxa"/>
            </w:tcMar>
            <w:vAlign w:val="top"/>
          </w:tcPr>
          <w:p>
            <w:pPr>
              <w:spacing w:after="0"/>
            </w:pPr>
            <w:r>
              <w:rPr>
                <w:sz w:val="14"/>
              </w:rPr>
              <w:t>NUR-007</w:t>
            </w:r>
          </w:p>
        </w:tc>
        <w:tc>
          <w:tcPr>
            <w:tcW w:type="dxa" w:w="9360"/>
            <w:tcMar>
              <w:top w:w="50" w:type="dxa"/>
              <w:start w:w="55" w:type="dxa"/>
              <w:bottom w:w="50" w:type="dxa"/>
              <w:end w:w="55" w:type="dxa"/>
            </w:tcMar>
            <w:vAlign w:val="top"/>
          </w:tcPr>
          <w:p>
            <w:pPr>
              <w:spacing w:after="0"/>
            </w:pPr>
            <w:r>
              <w:rPr>
                <w:sz w:val="14"/>
              </w:rPr>
              <w:t>Falls/restraint/seclusion assessments and prevention/monitoring workflows as permitted by policy.</w:t>
            </w:r>
          </w:p>
        </w:tc>
      </w:tr>
      <w:tr>
        <w:tc>
          <w:tcPr>
            <w:tcW w:type="dxa" w:w="1440"/>
            <w:tcMar>
              <w:top w:w="50" w:type="dxa"/>
              <w:start w:w="55" w:type="dxa"/>
              <w:bottom w:w="50" w:type="dxa"/>
              <w:end w:w="55" w:type="dxa"/>
            </w:tcMar>
            <w:vAlign w:val="top"/>
          </w:tcPr>
          <w:p>
            <w:pPr>
              <w:spacing w:after="0"/>
            </w:pPr>
            <w:r>
              <w:rPr>
                <w:sz w:val="14"/>
              </w:rPr>
              <w:t>NUR-008</w:t>
            </w:r>
          </w:p>
        </w:tc>
        <w:tc>
          <w:tcPr>
            <w:tcW w:type="dxa" w:w="9360"/>
            <w:tcMar>
              <w:top w:w="50" w:type="dxa"/>
              <w:start w:w="55" w:type="dxa"/>
              <w:bottom w:w="50" w:type="dxa"/>
              <w:end w:w="55" w:type="dxa"/>
            </w:tcMar>
            <w:vAlign w:val="top"/>
          </w:tcPr>
          <w:p>
            <w:pPr>
              <w:spacing w:after="0"/>
            </w:pPr>
            <w:r>
              <w:rPr>
                <w:sz w:val="14"/>
              </w:rPr>
              <w:t>Intake/output and cumulative balance; oral/enteral/IV intake; urine/drain/stool/other output.</w:t>
            </w:r>
          </w:p>
        </w:tc>
      </w:tr>
      <w:tr>
        <w:tc>
          <w:tcPr>
            <w:tcW w:type="dxa" w:w="1440"/>
            <w:tcMar>
              <w:top w:w="50" w:type="dxa"/>
              <w:start w:w="55" w:type="dxa"/>
              <w:bottom w:w="50" w:type="dxa"/>
              <w:end w:w="55" w:type="dxa"/>
            </w:tcMar>
            <w:vAlign w:val="top"/>
          </w:tcPr>
          <w:p>
            <w:pPr>
              <w:spacing w:after="0"/>
            </w:pPr>
            <w:r>
              <w:rPr>
                <w:sz w:val="14"/>
              </w:rPr>
              <w:t>NUR-009</w:t>
            </w:r>
          </w:p>
        </w:tc>
        <w:tc>
          <w:tcPr>
            <w:tcW w:type="dxa" w:w="9360"/>
            <w:tcMar>
              <w:top w:w="50" w:type="dxa"/>
              <w:start w:w="55" w:type="dxa"/>
              <w:bottom w:w="50" w:type="dxa"/>
              <w:end w:w="55" w:type="dxa"/>
            </w:tcMar>
            <w:vAlign w:val="top"/>
          </w:tcPr>
          <w:p>
            <w:pPr>
              <w:spacing w:after="0"/>
            </w:pPr>
            <w:r>
              <w:rPr>
                <w:sz w:val="14"/>
              </w:rPr>
              <w:t>Structured shift handover: diagnosis, code status, allergies, isolation, pending results, lines/drains, high-risk meds, tasks and concerns.</w:t>
            </w:r>
          </w:p>
        </w:tc>
      </w:tr>
      <w:tr>
        <w:tc>
          <w:tcPr>
            <w:tcW w:type="dxa" w:w="1440"/>
            <w:tcMar>
              <w:top w:w="50" w:type="dxa"/>
              <w:start w:w="55" w:type="dxa"/>
              <w:bottom w:w="50" w:type="dxa"/>
              <w:end w:w="55" w:type="dxa"/>
            </w:tcMar>
            <w:vAlign w:val="top"/>
          </w:tcPr>
          <w:p>
            <w:pPr>
              <w:spacing w:after="0"/>
            </w:pPr>
            <w:r>
              <w:rPr>
                <w:sz w:val="14"/>
              </w:rPr>
              <w:t>NUR-010</w:t>
            </w:r>
          </w:p>
        </w:tc>
        <w:tc>
          <w:tcPr>
            <w:tcW w:type="dxa" w:w="9360"/>
            <w:tcMar>
              <w:top w:w="50" w:type="dxa"/>
              <w:start w:w="55" w:type="dxa"/>
              <w:bottom w:w="50" w:type="dxa"/>
              <w:end w:w="55" w:type="dxa"/>
            </w:tcMar>
            <w:vAlign w:val="top"/>
          </w:tcPr>
          <w:p>
            <w:pPr>
              <w:spacing w:after="0"/>
            </w:pPr>
            <w:r>
              <w:rPr>
                <w:sz w:val="14"/>
              </w:rPr>
              <w:t>Nursing workload/acuity and staffing-demand indicators for shift planning.</w:t>
            </w:r>
          </w:p>
        </w:tc>
      </w:tr>
      <w:tr>
        <w:tc>
          <w:tcPr>
            <w:tcW w:type="dxa" w:w="1440"/>
            <w:tcMar>
              <w:top w:w="50" w:type="dxa"/>
              <w:start w:w="55" w:type="dxa"/>
              <w:bottom w:w="50" w:type="dxa"/>
              <w:end w:w="55" w:type="dxa"/>
            </w:tcMar>
            <w:vAlign w:val="top"/>
          </w:tcPr>
          <w:p>
            <w:pPr>
              <w:spacing w:after="0"/>
            </w:pPr>
            <w:r>
              <w:rPr>
                <w:sz w:val="14"/>
              </w:rPr>
              <w:t>NUR-011</w:t>
            </w:r>
          </w:p>
        </w:tc>
        <w:tc>
          <w:tcPr>
            <w:tcW w:type="dxa" w:w="9360"/>
            <w:tcMar>
              <w:top w:w="50" w:type="dxa"/>
              <w:start w:w="55" w:type="dxa"/>
              <w:bottom w:w="50" w:type="dxa"/>
              <w:end w:w="55" w:type="dxa"/>
            </w:tcMar>
            <w:vAlign w:val="top"/>
          </w:tcPr>
          <w:p>
            <w:pPr>
              <w:spacing w:after="0"/>
            </w:pPr>
            <w:r>
              <w:rPr>
                <w:sz w:val="14"/>
              </w:rPr>
              <w:t>Discharge education/checklist for medicines, wound/device care, diet, red flags, follow-up and caregiver acknowledgement.</w:t>
            </w:r>
          </w:p>
        </w:tc>
      </w:tr>
      <w:tr>
        <w:tc>
          <w:tcPr>
            <w:tcW w:type="dxa" w:w="1440"/>
            <w:tcMar>
              <w:top w:w="50" w:type="dxa"/>
              <w:start w:w="55" w:type="dxa"/>
              <w:bottom w:w="50" w:type="dxa"/>
              <w:end w:w="55" w:type="dxa"/>
            </w:tcMar>
            <w:vAlign w:val="top"/>
          </w:tcPr>
          <w:p>
            <w:pPr>
              <w:spacing w:after="0"/>
            </w:pPr>
            <w:r>
              <w:rPr>
                <w:sz w:val="14"/>
              </w:rPr>
              <w:t>NUR-012</w:t>
            </w:r>
          </w:p>
        </w:tc>
        <w:tc>
          <w:tcPr>
            <w:tcW w:type="dxa" w:w="9360"/>
            <w:tcMar>
              <w:top w:w="50" w:type="dxa"/>
              <w:start w:w="55" w:type="dxa"/>
              <w:bottom w:w="50" w:type="dxa"/>
              <w:end w:w="55" w:type="dxa"/>
            </w:tcMar>
            <w:vAlign w:val="top"/>
          </w:tcPr>
          <w:p>
            <w:pPr>
              <w:spacing w:after="0"/>
            </w:pPr>
            <w:r>
              <w:rPr>
                <w:sz w:val="14"/>
              </w:rPr>
              <w:t>Bedside task board and escalation for overdue medication, observations, specimens, care activities and discharge tasks.</w:t>
            </w:r>
          </w:p>
        </w:tc>
      </w:tr>
    </w:tbl>
    <w:p>
      <w:pPr>
        <w:spacing w:after="20"/>
      </w:pPr>
    </w:p>
    <w:p>
      <w:pPr>
        <w:pStyle w:val="Heading1"/>
      </w:pPr>
      <w:r>
        <w:t>43. Critical Care Information System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ID</w:t>
            </w:r>
          </w:p>
        </w:tc>
        <w:tc>
          <w:tcPr>
            <w:tcW w:type="dxa" w:w="5083"/>
            <w:shd w:fill="D9EAF7"/>
            <w:tcMar>
              <w:top w:w="50" w:type="dxa"/>
              <w:start w:w="55" w:type="dxa"/>
              <w:bottom w:w="50" w:type="dxa"/>
              <w:end w:w="55" w:type="dxa"/>
            </w:tcMar>
          </w:tcPr>
          <w:p>
            <w:pPr>
              <w:spacing w:after="0"/>
            </w:pPr>
            <w:r>
              <w:rPr>
                <w:b/>
                <w:sz w:val="14"/>
              </w:rPr>
              <w:t>Requirement</w:t>
            </w:r>
          </w:p>
        </w:tc>
      </w:tr>
      <w:tr>
        <w:tc>
          <w:tcPr>
            <w:tcW w:type="dxa" w:w="1440"/>
            <w:tcMar>
              <w:top w:w="50" w:type="dxa"/>
              <w:start w:w="55" w:type="dxa"/>
              <w:bottom w:w="50" w:type="dxa"/>
              <w:end w:w="55" w:type="dxa"/>
            </w:tcMar>
            <w:vAlign w:val="top"/>
          </w:tcPr>
          <w:p>
            <w:pPr>
              <w:spacing w:after="0"/>
            </w:pPr>
            <w:r>
              <w:rPr>
                <w:sz w:val="14"/>
              </w:rPr>
              <w:t>CCIS-001</w:t>
            </w:r>
          </w:p>
        </w:tc>
        <w:tc>
          <w:tcPr>
            <w:tcW w:type="dxa" w:w="9360"/>
            <w:tcMar>
              <w:top w:w="50" w:type="dxa"/>
              <w:start w:w="55" w:type="dxa"/>
              <w:bottom w:w="50" w:type="dxa"/>
              <w:end w:w="55" w:type="dxa"/>
            </w:tcMar>
            <w:vAlign w:val="top"/>
          </w:tcPr>
          <w:p>
            <w:pPr>
              <w:spacing w:after="0"/>
            </w:pPr>
            <w:r>
              <w:rPr>
                <w:sz w:val="14"/>
              </w:rPr>
              <w:t>High-density time-series bedside flowsheet supporting minute/hour granularity with source labeling: manual, monitor, ventilator, pump, analyzer or derived.</w:t>
            </w:r>
          </w:p>
        </w:tc>
      </w:tr>
      <w:tr>
        <w:tc>
          <w:tcPr>
            <w:tcW w:type="dxa" w:w="1440"/>
            <w:tcMar>
              <w:top w:w="50" w:type="dxa"/>
              <w:start w:w="55" w:type="dxa"/>
              <w:bottom w:w="50" w:type="dxa"/>
              <w:end w:w="55" w:type="dxa"/>
            </w:tcMar>
            <w:vAlign w:val="top"/>
          </w:tcPr>
          <w:p>
            <w:pPr>
              <w:spacing w:after="0"/>
            </w:pPr>
            <w:r>
              <w:rPr>
                <w:sz w:val="14"/>
              </w:rPr>
              <w:t>CCIS-002</w:t>
            </w:r>
          </w:p>
        </w:tc>
        <w:tc>
          <w:tcPr>
            <w:tcW w:type="dxa" w:w="9360"/>
            <w:tcMar>
              <w:top w:w="50" w:type="dxa"/>
              <w:start w:w="55" w:type="dxa"/>
              <w:bottom w:w="50" w:type="dxa"/>
              <w:end w:w="55" w:type="dxa"/>
            </w:tcMar>
            <w:vAlign w:val="top"/>
          </w:tcPr>
          <w:p>
            <w:pPr>
              <w:spacing w:after="0"/>
            </w:pPr>
            <w:r>
              <w:rPr>
                <w:sz w:val="14"/>
              </w:rPr>
              <w:t>Ventilation record: mode, settings, measured values, oxygenation, airway, humidification, weaning readiness, spontaneous-breathing trials and extubation.</w:t>
            </w:r>
          </w:p>
        </w:tc>
      </w:tr>
      <w:tr>
        <w:tc>
          <w:tcPr>
            <w:tcW w:type="dxa" w:w="1440"/>
            <w:tcMar>
              <w:top w:w="50" w:type="dxa"/>
              <w:start w:w="55" w:type="dxa"/>
              <w:bottom w:w="50" w:type="dxa"/>
              <w:end w:w="55" w:type="dxa"/>
            </w:tcMar>
            <w:vAlign w:val="top"/>
          </w:tcPr>
          <w:p>
            <w:pPr>
              <w:spacing w:after="0"/>
            </w:pPr>
            <w:r>
              <w:rPr>
                <w:sz w:val="14"/>
              </w:rPr>
              <w:t>CCIS-003</w:t>
            </w:r>
          </w:p>
        </w:tc>
        <w:tc>
          <w:tcPr>
            <w:tcW w:type="dxa" w:w="9360"/>
            <w:tcMar>
              <w:top w:w="50" w:type="dxa"/>
              <w:start w:w="55" w:type="dxa"/>
              <w:bottom w:w="50" w:type="dxa"/>
              <w:end w:w="55" w:type="dxa"/>
            </w:tcMar>
            <w:vAlign w:val="top"/>
          </w:tcPr>
          <w:p>
            <w:pPr>
              <w:spacing w:after="0"/>
            </w:pPr>
            <w:r>
              <w:rPr>
                <w:sz w:val="14"/>
              </w:rPr>
              <w:t>Infusion/vasoactive therapy view with dose normalization, titration history, concentration, pump/channel reference and target parameter.</w:t>
            </w:r>
          </w:p>
        </w:tc>
      </w:tr>
      <w:tr>
        <w:tc>
          <w:tcPr>
            <w:tcW w:type="dxa" w:w="1440"/>
            <w:tcMar>
              <w:top w:w="50" w:type="dxa"/>
              <w:start w:w="55" w:type="dxa"/>
              <w:bottom w:w="50" w:type="dxa"/>
              <w:end w:w="55" w:type="dxa"/>
            </w:tcMar>
            <w:vAlign w:val="top"/>
          </w:tcPr>
          <w:p>
            <w:pPr>
              <w:spacing w:after="0"/>
            </w:pPr>
            <w:r>
              <w:rPr>
                <w:sz w:val="14"/>
              </w:rPr>
              <w:t>CCIS-004</w:t>
            </w:r>
          </w:p>
        </w:tc>
        <w:tc>
          <w:tcPr>
            <w:tcW w:type="dxa" w:w="9360"/>
            <w:tcMar>
              <w:top w:w="50" w:type="dxa"/>
              <w:start w:w="55" w:type="dxa"/>
              <w:bottom w:w="50" w:type="dxa"/>
              <w:end w:w="55" w:type="dxa"/>
            </w:tcMar>
            <w:vAlign w:val="top"/>
          </w:tcPr>
          <w:p>
            <w:pPr>
              <w:spacing w:after="0"/>
            </w:pPr>
            <w:r>
              <w:rPr>
                <w:sz w:val="14"/>
              </w:rPr>
              <w:t>ABG/electrolyte trend and oxygenation/ventilation calculations with provenance.</w:t>
            </w:r>
          </w:p>
        </w:tc>
      </w:tr>
      <w:tr>
        <w:tc>
          <w:tcPr>
            <w:tcW w:type="dxa" w:w="1440"/>
            <w:tcMar>
              <w:top w:w="50" w:type="dxa"/>
              <w:start w:w="55" w:type="dxa"/>
              <w:bottom w:w="50" w:type="dxa"/>
              <w:end w:w="55" w:type="dxa"/>
            </w:tcMar>
            <w:vAlign w:val="top"/>
          </w:tcPr>
          <w:p>
            <w:pPr>
              <w:spacing w:after="0"/>
            </w:pPr>
            <w:r>
              <w:rPr>
                <w:sz w:val="14"/>
              </w:rPr>
              <w:t>CCIS-005</w:t>
            </w:r>
          </w:p>
        </w:tc>
        <w:tc>
          <w:tcPr>
            <w:tcW w:type="dxa" w:w="9360"/>
            <w:tcMar>
              <w:top w:w="50" w:type="dxa"/>
              <w:start w:w="55" w:type="dxa"/>
              <w:bottom w:w="50" w:type="dxa"/>
              <w:end w:w="55" w:type="dxa"/>
            </w:tcMar>
            <w:vAlign w:val="top"/>
          </w:tcPr>
          <w:p>
            <w:pPr>
              <w:spacing w:after="0"/>
            </w:pPr>
            <w:r>
              <w:rPr>
                <w:sz w:val="14"/>
              </w:rPr>
              <w:t>Sedation, delirium, pain, neurologic and organ-support scoring framework; formulas versioned.</w:t>
            </w:r>
          </w:p>
        </w:tc>
      </w:tr>
      <w:tr>
        <w:tc>
          <w:tcPr>
            <w:tcW w:type="dxa" w:w="1440"/>
            <w:tcMar>
              <w:top w:w="50" w:type="dxa"/>
              <w:start w:w="55" w:type="dxa"/>
              <w:bottom w:w="50" w:type="dxa"/>
              <w:end w:w="55" w:type="dxa"/>
            </w:tcMar>
            <w:vAlign w:val="top"/>
          </w:tcPr>
          <w:p>
            <w:pPr>
              <w:spacing w:after="0"/>
            </w:pPr>
            <w:r>
              <w:rPr>
                <w:sz w:val="14"/>
              </w:rPr>
              <w:t>CCIS-006</w:t>
            </w:r>
          </w:p>
        </w:tc>
        <w:tc>
          <w:tcPr>
            <w:tcW w:type="dxa" w:w="9360"/>
            <w:tcMar>
              <w:top w:w="50" w:type="dxa"/>
              <w:start w:w="55" w:type="dxa"/>
              <w:bottom w:w="50" w:type="dxa"/>
              <w:end w:w="55" w:type="dxa"/>
            </w:tcMar>
            <w:vAlign w:val="top"/>
          </w:tcPr>
          <w:p>
            <w:pPr>
              <w:spacing w:after="0"/>
            </w:pPr>
            <w:r>
              <w:rPr>
                <w:sz w:val="14"/>
              </w:rPr>
              <w:t>Sepsis/shock pathway timers, cultures/antibiotics/fluids/vasopressors/lactate milestones and override documentation.</w:t>
            </w:r>
          </w:p>
        </w:tc>
      </w:tr>
      <w:tr>
        <w:tc>
          <w:tcPr>
            <w:tcW w:type="dxa" w:w="1440"/>
            <w:tcMar>
              <w:top w:w="50" w:type="dxa"/>
              <w:start w:w="55" w:type="dxa"/>
              <w:bottom w:w="50" w:type="dxa"/>
              <w:end w:w="55" w:type="dxa"/>
            </w:tcMar>
            <w:vAlign w:val="top"/>
          </w:tcPr>
          <w:p>
            <w:pPr>
              <w:spacing w:after="0"/>
            </w:pPr>
            <w:r>
              <w:rPr>
                <w:sz w:val="14"/>
              </w:rPr>
              <w:t>CCIS-007</w:t>
            </w:r>
          </w:p>
        </w:tc>
        <w:tc>
          <w:tcPr>
            <w:tcW w:type="dxa" w:w="9360"/>
            <w:tcMar>
              <w:top w:w="50" w:type="dxa"/>
              <w:start w:w="55" w:type="dxa"/>
              <w:bottom w:w="50" w:type="dxa"/>
              <w:end w:w="55" w:type="dxa"/>
            </w:tcMar>
            <w:vAlign w:val="top"/>
          </w:tcPr>
          <w:p>
            <w:pPr>
              <w:spacing w:after="0"/>
            </w:pPr>
            <w:r>
              <w:rPr>
                <w:sz w:val="14"/>
              </w:rPr>
              <w:t>Renal replacement therapy/CRRT session prescription and machine/effluent/fluid-balance integration.</w:t>
            </w:r>
          </w:p>
        </w:tc>
      </w:tr>
      <w:tr>
        <w:tc>
          <w:tcPr>
            <w:tcW w:type="dxa" w:w="1440"/>
            <w:tcMar>
              <w:top w:w="50" w:type="dxa"/>
              <w:start w:w="55" w:type="dxa"/>
              <w:bottom w:w="50" w:type="dxa"/>
              <w:end w:w="55" w:type="dxa"/>
            </w:tcMar>
            <w:vAlign w:val="top"/>
          </w:tcPr>
          <w:p>
            <w:pPr>
              <w:spacing w:after="0"/>
            </w:pPr>
            <w:r>
              <w:rPr>
                <w:sz w:val="14"/>
              </w:rPr>
              <w:t>CCIS-008</w:t>
            </w:r>
          </w:p>
        </w:tc>
        <w:tc>
          <w:tcPr>
            <w:tcW w:type="dxa" w:w="9360"/>
            <w:tcMar>
              <w:top w:w="50" w:type="dxa"/>
              <w:start w:w="55" w:type="dxa"/>
              <w:bottom w:w="50" w:type="dxa"/>
              <w:end w:w="55" w:type="dxa"/>
            </w:tcMar>
            <w:vAlign w:val="top"/>
          </w:tcPr>
          <w:p>
            <w:pPr>
              <w:spacing w:after="0"/>
            </w:pPr>
            <w:r>
              <w:rPr>
                <w:sz w:val="14"/>
              </w:rPr>
              <w:t>Device-day registry for central line, urinary catheter, ventilator and other surveillance denominators.</w:t>
            </w:r>
          </w:p>
        </w:tc>
      </w:tr>
      <w:tr>
        <w:tc>
          <w:tcPr>
            <w:tcW w:type="dxa" w:w="1440"/>
            <w:tcMar>
              <w:top w:w="50" w:type="dxa"/>
              <w:start w:w="55" w:type="dxa"/>
              <w:bottom w:w="50" w:type="dxa"/>
              <w:end w:w="55" w:type="dxa"/>
            </w:tcMar>
            <w:vAlign w:val="top"/>
          </w:tcPr>
          <w:p>
            <w:pPr>
              <w:spacing w:after="0"/>
            </w:pPr>
            <w:r>
              <w:rPr>
                <w:sz w:val="14"/>
              </w:rPr>
              <w:t>CCIS-009</w:t>
            </w:r>
          </w:p>
        </w:tc>
        <w:tc>
          <w:tcPr>
            <w:tcW w:type="dxa" w:w="9360"/>
            <w:tcMar>
              <w:top w:w="50" w:type="dxa"/>
              <w:start w:w="55" w:type="dxa"/>
              <w:bottom w:w="50" w:type="dxa"/>
              <w:end w:w="55" w:type="dxa"/>
            </w:tcMar>
            <w:vAlign w:val="top"/>
          </w:tcPr>
          <w:p>
            <w:pPr>
              <w:spacing w:after="0"/>
            </w:pPr>
            <w:r>
              <w:rPr>
                <w:sz w:val="14"/>
              </w:rPr>
              <w:t>ICU multidisciplinary rounds checklist, goals for day, barriers, family communication and discharge readiness.</w:t>
            </w:r>
          </w:p>
        </w:tc>
      </w:tr>
      <w:tr>
        <w:tc>
          <w:tcPr>
            <w:tcW w:type="dxa" w:w="1440"/>
            <w:tcMar>
              <w:top w:w="50" w:type="dxa"/>
              <w:start w:w="55" w:type="dxa"/>
              <w:bottom w:w="50" w:type="dxa"/>
              <w:end w:w="55" w:type="dxa"/>
            </w:tcMar>
            <w:vAlign w:val="top"/>
          </w:tcPr>
          <w:p>
            <w:pPr>
              <w:spacing w:after="0"/>
            </w:pPr>
            <w:r>
              <w:rPr>
                <w:sz w:val="14"/>
              </w:rPr>
              <w:t>CCIS-010</w:t>
            </w:r>
          </w:p>
        </w:tc>
        <w:tc>
          <w:tcPr>
            <w:tcW w:type="dxa" w:w="9360"/>
            <w:tcMar>
              <w:top w:w="50" w:type="dxa"/>
              <w:start w:w="55" w:type="dxa"/>
              <w:bottom w:w="50" w:type="dxa"/>
              <w:end w:w="55" w:type="dxa"/>
            </w:tcMar>
            <w:vAlign w:val="top"/>
          </w:tcPr>
          <w:p>
            <w:pPr>
              <w:spacing w:after="0"/>
            </w:pPr>
            <w:r>
              <w:rPr>
                <w:sz w:val="14"/>
              </w:rPr>
              <w:t>ICU central station/command view with clinical alarms prioritized separately from raw device alarms; alarm fatigue controls.</w:t>
            </w:r>
          </w:p>
        </w:tc>
      </w:tr>
    </w:tbl>
    <w:p>
      <w:pPr>
        <w:spacing w:after="20"/>
      </w:pPr>
    </w:p>
    <w:p>
      <w:pPr>
        <w:pStyle w:val="Heading1"/>
      </w:pPr>
      <w:r>
        <w:t>44. Operating Theatre, Anesthesia and Perioperative Platform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ID</w:t>
            </w:r>
          </w:p>
        </w:tc>
        <w:tc>
          <w:tcPr>
            <w:tcW w:type="dxa" w:w="5083"/>
            <w:shd w:fill="D9EAF7"/>
            <w:tcMar>
              <w:top w:w="50" w:type="dxa"/>
              <w:start w:w="55" w:type="dxa"/>
              <w:bottom w:w="50" w:type="dxa"/>
              <w:end w:w="55" w:type="dxa"/>
            </w:tcMar>
          </w:tcPr>
          <w:p>
            <w:pPr>
              <w:spacing w:after="0"/>
            </w:pPr>
            <w:r>
              <w:rPr>
                <w:b/>
                <w:sz w:val="14"/>
              </w:rPr>
              <w:t>Requirement</w:t>
            </w:r>
          </w:p>
        </w:tc>
      </w:tr>
      <w:tr>
        <w:tc>
          <w:tcPr>
            <w:tcW w:type="dxa" w:w="1440"/>
            <w:tcMar>
              <w:top w:w="50" w:type="dxa"/>
              <w:start w:w="55" w:type="dxa"/>
              <w:bottom w:w="50" w:type="dxa"/>
              <w:end w:w="55" w:type="dxa"/>
            </w:tcMar>
            <w:vAlign w:val="top"/>
          </w:tcPr>
          <w:p>
            <w:pPr>
              <w:spacing w:after="0"/>
            </w:pPr>
            <w:r>
              <w:rPr>
                <w:sz w:val="14"/>
              </w:rPr>
              <w:t>PERI-001</w:t>
            </w:r>
          </w:p>
        </w:tc>
        <w:tc>
          <w:tcPr>
            <w:tcW w:type="dxa" w:w="9360"/>
            <w:tcMar>
              <w:top w:w="50" w:type="dxa"/>
              <w:start w:w="55" w:type="dxa"/>
              <w:bottom w:w="50" w:type="dxa"/>
              <w:end w:w="55" w:type="dxa"/>
            </w:tcMar>
            <w:vAlign w:val="top"/>
          </w:tcPr>
          <w:p>
            <w:pPr>
              <w:spacing w:after="0"/>
            </w:pPr>
            <w:r>
              <w:rPr>
                <w:sz w:val="14"/>
              </w:rPr>
              <w:t>OT block planning, elective/emergency scheduling, waitlist, conflicts, turnover and specialty/theatre capability constraints.</w:t>
            </w:r>
          </w:p>
        </w:tc>
      </w:tr>
      <w:tr>
        <w:tc>
          <w:tcPr>
            <w:tcW w:type="dxa" w:w="1440"/>
            <w:tcMar>
              <w:top w:w="50" w:type="dxa"/>
              <w:start w:w="55" w:type="dxa"/>
              <w:bottom w:w="50" w:type="dxa"/>
              <w:end w:w="55" w:type="dxa"/>
            </w:tcMar>
            <w:vAlign w:val="top"/>
          </w:tcPr>
          <w:p>
            <w:pPr>
              <w:spacing w:after="0"/>
            </w:pPr>
            <w:r>
              <w:rPr>
                <w:sz w:val="14"/>
              </w:rPr>
              <w:t>PERI-002</w:t>
            </w:r>
          </w:p>
        </w:tc>
        <w:tc>
          <w:tcPr>
            <w:tcW w:type="dxa" w:w="9360"/>
            <w:tcMar>
              <w:top w:w="50" w:type="dxa"/>
              <w:start w:w="55" w:type="dxa"/>
              <w:bottom w:w="50" w:type="dxa"/>
              <w:end w:w="55" w:type="dxa"/>
            </w:tcMar>
            <w:vAlign w:val="top"/>
          </w:tcPr>
          <w:p>
            <w:pPr>
              <w:spacing w:after="0"/>
            </w:pPr>
            <w:r>
              <w:rPr>
                <w:sz w:val="14"/>
              </w:rPr>
              <w:t>Pre-anesthesia clinic: history, airway, ASA, investigations, medication instructions, fasting and optimization/clearance.</w:t>
            </w:r>
          </w:p>
        </w:tc>
      </w:tr>
      <w:tr>
        <w:tc>
          <w:tcPr>
            <w:tcW w:type="dxa" w:w="1440"/>
            <w:tcMar>
              <w:top w:w="50" w:type="dxa"/>
              <w:start w:w="55" w:type="dxa"/>
              <w:bottom w:w="50" w:type="dxa"/>
              <w:end w:w="55" w:type="dxa"/>
            </w:tcMar>
            <w:vAlign w:val="top"/>
          </w:tcPr>
          <w:p>
            <w:pPr>
              <w:spacing w:after="0"/>
            </w:pPr>
            <w:r>
              <w:rPr>
                <w:sz w:val="14"/>
              </w:rPr>
              <w:t>PERI-003</w:t>
            </w:r>
          </w:p>
        </w:tc>
        <w:tc>
          <w:tcPr>
            <w:tcW w:type="dxa" w:w="9360"/>
            <w:tcMar>
              <w:top w:w="50" w:type="dxa"/>
              <w:start w:w="55" w:type="dxa"/>
              <w:bottom w:w="50" w:type="dxa"/>
              <w:end w:w="55" w:type="dxa"/>
            </w:tcMar>
            <w:vAlign w:val="top"/>
          </w:tcPr>
          <w:p>
            <w:pPr>
              <w:spacing w:after="0"/>
            </w:pPr>
            <w:r>
              <w:rPr>
                <w:sz w:val="14"/>
              </w:rPr>
              <w:t>WHO-style surgical safety checklist implementation configurable by hospital: sign-in, time-out, sign-out and completion audit.</w:t>
            </w:r>
          </w:p>
        </w:tc>
      </w:tr>
      <w:tr>
        <w:tc>
          <w:tcPr>
            <w:tcW w:type="dxa" w:w="1440"/>
            <w:tcMar>
              <w:top w:w="50" w:type="dxa"/>
              <w:start w:w="55" w:type="dxa"/>
              <w:bottom w:w="50" w:type="dxa"/>
              <w:end w:w="55" w:type="dxa"/>
            </w:tcMar>
            <w:vAlign w:val="top"/>
          </w:tcPr>
          <w:p>
            <w:pPr>
              <w:spacing w:after="0"/>
            </w:pPr>
            <w:r>
              <w:rPr>
                <w:sz w:val="14"/>
              </w:rPr>
              <w:t>PERI-004</w:t>
            </w:r>
          </w:p>
        </w:tc>
        <w:tc>
          <w:tcPr>
            <w:tcW w:type="dxa" w:w="9360"/>
            <w:tcMar>
              <w:top w:w="50" w:type="dxa"/>
              <w:start w:w="55" w:type="dxa"/>
              <w:bottom w:w="50" w:type="dxa"/>
              <w:end w:w="55" w:type="dxa"/>
            </w:tcMar>
            <w:vAlign w:val="top"/>
          </w:tcPr>
          <w:p>
            <w:pPr>
              <w:spacing w:after="0"/>
            </w:pPr>
            <w:r>
              <w:rPr>
                <w:sz w:val="14"/>
              </w:rPr>
              <w:t>Intraoperative anesthesia chart with vitals/device import, agents, airway, fluids, blood, medications, events and calculated totals.</w:t>
            </w:r>
          </w:p>
        </w:tc>
      </w:tr>
      <w:tr>
        <w:tc>
          <w:tcPr>
            <w:tcW w:type="dxa" w:w="1440"/>
            <w:tcMar>
              <w:top w:w="50" w:type="dxa"/>
              <w:start w:w="55" w:type="dxa"/>
              <w:bottom w:w="50" w:type="dxa"/>
              <w:end w:w="55" w:type="dxa"/>
            </w:tcMar>
            <w:vAlign w:val="top"/>
          </w:tcPr>
          <w:p>
            <w:pPr>
              <w:spacing w:after="0"/>
            </w:pPr>
            <w:r>
              <w:rPr>
                <w:sz w:val="14"/>
              </w:rPr>
              <w:t>PERI-005</w:t>
            </w:r>
          </w:p>
        </w:tc>
        <w:tc>
          <w:tcPr>
            <w:tcW w:type="dxa" w:w="9360"/>
            <w:tcMar>
              <w:top w:w="50" w:type="dxa"/>
              <w:start w:w="55" w:type="dxa"/>
              <w:bottom w:w="50" w:type="dxa"/>
              <w:end w:w="55" w:type="dxa"/>
            </w:tcMar>
            <w:vAlign w:val="top"/>
          </w:tcPr>
          <w:p>
            <w:pPr>
              <w:spacing w:after="0"/>
            </w:pPr>
            <w:r>
              <w:rPr>
                <w:sz w:val="14"/>
              </w:rPr>
              <w:t>Surgical count for swabs, needles, instruments and count discrepancy escalation.</w:t>
            </w:r>
          </w:p>
        </w:tc>
      </w:tr>
      <w:tr>
        <w:tc>
          <w:tcPr>
            <w:tcW w:type="dxa" w:w="1440"/>
            <w:tcMar>
              <w:top w:w="50" w:type="dxa"/>
              <w:start w:w="55" w:type="dxa"/>
              <w:bottom w:w="50" w:type="dxa"/>
              <w:end w:w="55" w:type="dxa"/>
            </w:tcMar>
            <w:vAlign w:val="top"/>
          </w:tcPr>
          <w:p>
            <w:pPr>
              <w:spacing w:after="0"/>
            </w:pPr>
            <w:r>
              <w:rPr>
                <w:sz w:val="14"/>
              </w:rPr>
              <w:t>PERI-006</w:t>
            </w:r>
          </w:p>
        </w:tc>
        <w:tc>
          <w:tcPr>
            <w:tcW w:type="dxa" w:w="9360"/>
            <w:tcMar>
              <w:top w:w="50" w:type="dxa"/>
              <w:start w:w="55" w:type="dxa"/>
              <w:bottom w:w="50" w:type="dxa"/>
              <w:end w:w="55" w:type="dxa"/>
            </w:tcMar>
            <w:vAlign w:val="top"/>
          </w:tcPr>
          <w:p>
            <w:pPr>
              <w:spacing w:after="0"/>
            </w:pPr>
            <w:r>
              <w:rPr>
                <w:sz w:val="14"/>
              </w:rPr>
              <w:t>Implant/prosthesis traceability: product, UDI/barcode where available, lot/serial/expiry, vendor, patient and explant/recall.</w:t>
            </w:r>
          </w:p>
        </w:tc>
      </w:tr>
      <w:tr>
        <w:tc>
          <w:tcPr>
            <w:tcW w:type="dxa" w:w="1440"/>
            <w:tcMar>
              <w:top w:w="50" w:type="dxa"/>
              <w:start w:w="55" w:type="dxa"/>
              <w:bottom w:w="50" w:type="dxa"/>
              <w:end w:w="55" w:type="dxa"/>
            </w:tcMar>
            <w:vAlign w:val="top"/>
          </w:tcPr>
          <w:p>
            <w:pPr>
              <w:spacing w:after="0"/>
            </w:pPr>
            <w:r>
              <w:rPr>
                <w:sz w:val="14"/>
              </w:rPr>
              <w:t>PERI-007</w:t>
            </w:r>
          </w:p>
        </w:tc>
        <w:tc>
          <w:tcPr>
            <w:tcW w:type="dxa" w:w="9360"/>
            <w:tcMar>
              <w:top w:w="50" w:type="dxa"/>
              <w:start w:w="55" w:type="dxa"/>
              <w:bottom w:w="50" w:type="dxa"/>
              <w:end w:w="55" w:type="dxa"/>
            </w:tcMar>
            <w:vAlign w:val="top"/>
          </w:tcPr>
          <w:p>
            <w:pPr>
              <w:spacing w:after="0"/>
            </w:pPr>
            <w:r>
              <w:rPr>
                <w:sz w:val="14"/>
              </w:rPr>
              <w:t>Intraoperative specimen labeling and direct pathology accession linkage.</w:t>
            </w:r>
          </w:p>
        </w:tc>
      </w:tr>
      <w:tr>
        <w:tc>
          <w:tcPr>
            <w:tcW w:type="dxa" w:w="1440"/>
            <w:tcMar>
              <w:top w:w="50" w:type="dxa"/>
              <w:start w:w="55" w:type="dxa"/>
              <w:bottom w:w="50" w:type="dxa"/>
              <w:end w:w="55" w:type="dxa"/>
            </w:tcMar>
            <w:vAlign w:val="top"/>
          </w:tcPr>
          <w:p>
            <w:pPr>
              <w:spacing w:after="0"/>
            </w:pPr>
            <w:r>
              <w:rPr>
                <w:sz w:val="14"/>
              </w:rPr>
              <w:t>PERI-008</w:t>
            </w:r>
          </w:p>
        </w:tc>
        <w:tc>
          <w:tcPr>
            <w:tcW w:type="dxa" w:w="9360"/>
            <w:tcMar>
              <w:top w:w="50" w:type="dxa"/>
              <w:start w:w="55" w:type="dxa"/>
              <w:bottom w:w="50" w:type="dxa"/>
              <w:end w:w="55" w:type="dxa"/>
            </w:tcMar>
            <w:vAlign w:val="top"/>
          </w:tcPr>
          <w:p>
            <w:pPr>
              <w:spacing w:after="0"/>
            </w:pPr>
            <w:r>
              <w:rPr>
                <w:sz w:val="14"/>
              </w:rPr>
              <w:t>PACU recovery score, pain/nausea, airway, discharge criteria and transfer handoff.</w:t>
            </w:r>
          </w:p>
        </w:tc>
      </w:tr>
      <w:tr>
        <w:tc>
          <w:tcPr>
            <w:tcW w:type="dxa" w:w="1440"/>
            <w:tcMar>
              <w:top w:w="50" w:type="dxa"/>
              <w:start w:w="55" w:type="dxa"/>
              <w:bottom w:w="50" w:type="dxa"/>
              <w:end w:w="55" w:type="dxa"/>
            </w:tcMar>
            <w:vAlign w:val="top"/>
          </w:tcPr>
          <w:p>
            <w:pPr>
              <w:spacing w:after="0"/>
            </w:pPr>
            <w:r>
              <w:rPr>
                <w:sz w:val="14"/>
              </w:rPr>
              <w:t>PERI-009</w:t>
            </w:r>
          </w:p>
        </w:tc>
        <w:tc>
          <w:tcPr>
            <w:tcW w:type="dxa" w:w="9360"/>
            <w:tcMar>
              <w:top w:w="50" w:type="dxa"/>
              <w:start w:w="55" w:type="dxa"/>
              <w:bottom w:w="50" w:type="dxa"/>
              <w:end w:w="55" w:type="dxa"/>
            </w:tcMar>
            <w:vAlign w:val="top"/>
          </w:tcPr>
          <w:p>
            <w:pPr>
              <w:spacing w:after="0"/>
            </w:pPr>
            <w:r>
              <w:rPr>
                <w:sz w:val="14"/>
              </w:rPr>
              <w:t>OT consumable and charge reconciliation comparing planned, picked, used, returned, wasted and billed quantities.</w:t>
            </w:r>
          </w:p>
        </w:tc>
      </w:tr>
      <w:tr>
        <w:tc>
          <w:tcPr>
            <w:tcW w:type="dxa" w:w="1440"/>
            <w:tcMar>
              <w:top w:w="50" w:type="dxa"/>
              <w:start w:w="55" w:type="dxa"/>
              <w:bottom w:w="50" w:type="dxa"/>
              <w:end w:w="55" w:type="dxa"/>
            </w:tcMar>
            <w:vAlign w:val="top"/>
          </w:tcPr>
          <w:p>
            <w:pPr>
              <w:spacing w:after="0"/>
            </w:pPr>
            <w:r>
              <w:rPr>
                <w:sz w:val="14"/>
              </w:rPr>
              <w:t>PERI-010</w:t>
            </w:r>
          </w:p>
        </w:tc>
        <w:tc>
          <w:tcPr>
            <w:tcW w:type="dxa" w:w="9360"/>
            <w:tcMar>
              <w:top w:w="50" w:type="dxa"/>
              <w:start w:w="55" w:type="dxa"/>
              <w:bottom w:w="50" w:type="dxa"/>
              <w:end w:w="55" w:type="dxa"/>
            </w:tcMar>
            <w:vAlign w:val="top"/>
          </w:tcPr>
          <w:p>
            <w:pPr>
              <w:spacing w:after="0"/>
            </w:pPr>
            <w:r>
              <w:rPr>
                <w:sz w:val="14"/>
              </w:rPr>
              <w:t>OT analytics: utilization, on-time start, cancellation, turnover, case duration variance, overtime and infection/quality indicators.</w:t>
            </w:r>
          </w:p>
        </w:tc>
      </w:tr>
    </w:tbl>
    <w:p>
      <w:pPr>
        <w:spacing w:after="20"/>
      </w:pPr>
    </w:p>
    <w:p>
      <w:pPr>
        <w:pStyle w:val="Heading1"/>
      </w:pPr>
      <w:r>
        <w:t>45. Blood Centre and Transfusion Medicine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ID</w:t>
            </w:r>
          </w:p>
        </w:tc>
        <w:tc>
          <w:tcPr>
            <w:tcW w:type="dxa" w:w="5083"/>
            <w:shd w:fill="D9EAF7"/>
            <w:tcMar>
              <w:top w:w="50" w:type="dxa"/>
              <w:start w:w="55" w:type="dxa"/>
              <w:bottom w:w="50" w:type="dxa"/>
              <w:end w:w="55" w:type="dxa"/>
            </w:tcMar>
          </w:tcPr>
          <w:p>
            <w:pPr>
              <w:spacing w:after="0"/>
            </w:pPr>
            <w:r>
              <w:rPr>
                <w:b/>
                <w:sz w:val="14"/>
              </w:rPr>
              <w:t>Requirement</w:t>
            </w:r>
          </w:p>
        </w:tc>
      </w:tr>
      <w:tr>
        <w:tc>
          <w:tcPr>
            <w:tcW w:type="dxa" w:w="1440"/>
            <w:tcMar>
              <w:top w:w="50" w:type="dxa"/>
              <w:start w:w="55" w:type="dxa"/>
              <w:bottom w:w="50" w:type="dxa"/>
              <w:end w:w="55" w:type="dxa"/>
            </w:tcMar>
            <w:vAlign w:val="top"/>
          </w:tcPr>
          <w:p>
            <w:pPr>
              <w:spacing w:after="0"/>
            </w:pPr>
            <w:r>
              <w:rPr>
                <w:sz w:val="14"/>
              </w:rPr>
              <w:t>BLD-001</w:t>
            </w:r>
          </w:p>
        </w:tc>
        <w:tc>
          <w:tcPr>
            <w:tcW w:type="dxa" w:w="9360"/>
            <w:tcMar>
              <w:top w:w="50" w:type="dxa"/>
              <w:start w:w="55" w:type="dxa"/>
              <w:bottom w:w="50" w:type="dxa"/>
              <w:end w:w="55" w:type="dxa"/>
            </w:tcMar>
            <w:vAlign w:val="top"/>
          </w:tcPr>
          <w:p>
            <w:pPr>
              <w:spacing w:after="0"/>
            </w:pPr>
            <w:r>
              <w:rPr>
                <w:sz w:val="14"/>
              </w:rPr>
              <w:t>Donor demographic/history, eligibility questionnaire, examination, deferral reason and re-entry eligibility.</w:t>
            </w:r>
          </w:p>
        </w:tc>
      </w:tr>
      <w:tr>
        <w:tc>
          <w:tcPr>
            <w:tcW w:type="dxa" w:w="1440"/>
            <w:tcMar>
              <w:top w:w="50" w:type="dxa"/>
              <w:start w:w="55" w:type="dxa"/>
              <w:bottom w:w="50" w:type="dxa"/>
              <w:end w:w="55" w:type="dxa"/>
            </w:tcMar>
            <w:vAlign w:val="top"/>
          </w:tcPr>
          <w:p>
            <w:pPr>
              <w:spacing w:after="0"/>
            </w:pPr>
            <w:r>
              <w:rPr>
                <w:sz w:val="14"/>
              </w:rPr>
              <w:t>BLD-002</w:t>
            </w:r>
          </w:p>
        </w:tc>
        <w:tc>
          <w:tcPr>
            <w:tcW w:type="dxa" w:w="9360"/>
            <w:tcMar>
              <w:top w:w="50" w:type="dxa"/>
              <w:start w:w="55" w:type="dxa"/>
              <w:bottom w:w="50" w:type="dxa"/>
              <w:end w:w="55" w:type="dxa"/>
            </w:tcMar>
            <w:vAlign w:val="top"/>
          </w:tcPr>
          <w:p>
            <w:pPr>
              <w:spacing w:after="0"/>
            </w:pPr>
            <w:r>
              <w:rPr>
                <w:sz w:val="14"/>
              </w:rPr>
              <w:t>Collection, bag/kit identification, adverse donor reaction, component preparation and labeling.</w:t>
            </w:r>
          </w:p>
        </w:tc>
      </w:tr>
      <w:tr>
        <w:tc>
          <w:tcPr>
            <w:tcW w:type="dxa" w:w="1440"/>
            <w:tcMar>
              <w:top w:w="50" w:type="dxa"/>
              <w:start w:w="55" w:type="dxa"/>
              <w:bottom w:w="50" w:type="dxa"/>
              <w:end w:w="55" w:type="dxa"/>
            </w:tcMar>
            <w:vAlign w:val="top"/>
          </w:tcPr>
          <w:p>
            <w:pPr>
              <w:spacing w:after="0"/>
            </w:pPr>
            <w:r>
              <w:rPr>
                <w:sz w:val="14"/>
              </w:rPr>
              <w:t>BLD-003</w:t>
            </w:r>
          </w:p>
        </w:tc>
        <w:tc>
          <w:tcPr>
            <w:tcW w:type="dxa" w:w="9360"/>
            <w:tcMar>
              <w:top w:w="50" w:type="dxa"/>
              <w:start w:w="55" w:type="dxa"/>
              <w:bottom w:w="50" w:type="dxa"/>
              <w:end w:w="55" w:type="dxa"/>
            </w:tcMar>
            <w:vAlign w:val="top"/>
          </w:tcPr>
          <w:p>
            <w:pPr>
              <w:spacing w:after="0"/>
            </w:pPr>
            <w:r>
              <w:rPr>
                <w:sz w:val="14"/>
              </w:rPr>
              <w:t>Mandatory/locally required testing interfaces and quarantine/release status; reactive-unit segregation.</w:t>
            </w:r>
          </w:p>
        </w:tc>
      </w:tr>
      <w:tr>
        <w:tc>
          <w:tcPr>
            <w:tcW w:type="dxa" w:w="1440"/>
            <w:tcMar>
              <w:top w:w="50" w:type="dxa"/>
              <w:start w:w="55" w:type="dxa"/>
              <w:bottom w:w="50" w:type="dxa"/>
              <w:end w:w="55" w:type="dxa"/>
            </w:tcMar>
            <w:vAlign w:val="top"/>
          </w:tcPr>
          <w:p>
            <w:pPr>
              <w:spacing w:after="0"/>
            </w:pPr>
            <w:r>
              <w:rPr>
                <w:sz w:val="14"/>
              </w:rPr>
              <w:t>BLD-004</w:t>
            </w:r>
          </w:p>
        </w:tc>
        <w:tc>
          <w:tcPr>
            <w:tcW w:type="dxa" w:w="9360"/>
            <w:tcMar>
              <w:top w:w="50" w:type="dxa"/>
              <w:start w:w="55" w:type="dxa"/>
              <w:bottom w:w="50" w:type="dxa"/>
              <w:end w:w="55" w:type="dxa"/>
            </w:tcMar>
            <w:vAlign w:val="top"/>
          </w:tcPr>
          <w:p>
            <w:pPr>
              <w:spacing w:after="0"/>
            </w:pPr>
            <w:r>
              <w:rPr>
                <w:sz w:val="14"/>
              </w:rPr>
              <w:t>Component inventory with group, phenotype where available, expiry, location, reservation, issue and discard.</w:t>
            </w:r>
          </w:p>
        </w:tc>
      </w:tr>
      <w:tr>
        <w:tc>
          <w:tcPr>
            <w:tcW w:type="dxa" w:w="1440"/>
            <w:tcMar>
              <w:top w:w="50" w:type="dxa"/>
              <w:start w:w="55" w:type="dxa"/>
              <w:bottom w:w="50" w:type="dxa"/>
              <w:end w:w="55" w:type="dxa"/>
            </w:tcMar>
            <w:vAlign w:val="top"/>
          </w:tcPr>
          <w:p>
            <w:pPr>
              <w:spacing w:after="0"/>
            </w:pPr>
            <w:r>
              <w:rPr>
                <w:sz w:val="14"/>
              </w:rPr>
              <w:t>BLD-005</w:t>
            </w:r>
          </w:p>
        </w:tc>
        <w:tc>
          <w:tcPr>
            <w:tcW w:type="dxa" w:w="9360"/>
            <w:tcMar>
              <w:top w:w="50" w:type="dxa"/>
              <w:start w:w="55" w:type="dxa"/>
              <w:bottom w:w="50" w:type="dxa"/>
              <w:end w:w="55" w:type="dxa"/>
            </w:tcMar>
            <w:vAlign w:val="top"/>
          </w:tcPr>
          <w:p>
            <w:pPr>
              <w:spacing w:after="0"/>
            </w:pPr>
            <w:r>
              <w:rPr>
                <w:sz w:val="14"/>
              </w:rPr>
              <w:t>Patient blood request, sample collection identity controls, grouping, antibody screen and cross-match workflow.</w:t>
            </w:r>
          </w:p>
        </w:tc>
      </w:tr>
      <w:tr>
        <w:tc>
          <w:tcPr>
            <w:tcW w:type="dxa" w:w="1440"/>
            <w:tcMar>
              <w:top w:w="50" w:type="dxa"/>
              <w:start w:w="55" w:type="dxa"/>
              <w:bottom w:w="50" w:type="dxa"/>
              <w:end w:w="55" w:type="dxa"/>
            </w:tcMar>
            <w:vAlign w:val="top"/>
          </w:tcPr>
          <w:p>
            <w:pPr>
              <w:spacing w:after="0"/>
            </w:pPr>
            <w:r>
              <w:rPr>
                <w:sz w:val="14"/>
              </w:rPr>
              <w:t>BLD-006</w:t>
            </w:r>
          </w:p>
        </w:tc>
        <w:tc>
          <w:tcPr>
            <w:tcW w:type="dxa" w:w="9360"/>
            <w:tcMar>
              <w:top w:w="50" w:type="dxa"/>
              <w:start w:w="55" w:type="dxa"/>
              <w:bottom w:w="50" w:type="dxa"/>
              <w:end w:w="55" w:type="dxa"/>
            </w:tcMar>
            <w:vAlign w:val="top"/>
          </w:tcPr>
          <w:p>
            <w:pPr>
              <w:spacing w:after="0"/>
            </w:pPr>
            <w:r>
              <w:rPr>
                <w:sz w:val="14"/>
              </w:rPr>
              <w:t>Emergency release and massive transfusion protocol workflows with accountable override.</w:t>
            </w:r>
          </w:p>
        </w:tc>
      </w:tr>
      <w:tr>
        <w:tc>
          <w:tcPr>
            <w:tcW w:type="dxa" w:w="1440"/>
            <w:tcMar>
              <w:top w:w="50" w:type="dxa"/>
              <w:start w:w="55" w:type="dxa"/>
              <w:bottom w:w="50" w:type="dxa"/>
              <w:end w:w="55" w:type="dxa"/>
            </w:tcMar>
            <w:vAlign w:val="top"/>
          </w:tcPr>
          <w:p>
            <w:pPr>
              <w:spacing w:after="0"/>
            </w:pPr>
            <w:r>
              <w:rPr>
                <w:sz w:val="14"/>
              </w:rPr>
              <w:t>BLD-007</w:t>
            </w:r>
          </w:p>
        </w:tc>
        <w:tc>
          <w:tcPr>
            <w:tcW w:type="dxa" w:w="9360"/>
            <w:tcMar>
              <w:top w:w="50" w:type="dxa"/>
              <w:start w:w="55" w:type="dxa"/>
              <w:bottom w:w="50" w:type="dxa"/>
              <w:end w:w="55" w:type="dxa"/>
            </w:tcMar>
            <w:vAlign w:val="top"/>
          </w:tcPr>
          <w:p>
            <w:pPr>
              <w:spacing w:after="0"/>
            </w:pPr>
            <w:r>
              <w:rPr>
                <w:sz w:val="14"/>
              </w:rPr>
              <w:t>Bedside transfusion verification, start/stop, vitals, unit identity and transfusion reaction management.</w:t>
            </w:r>
          </w:p>
        </w:tc>
      </w:tr>
      <w:tr>
        <w:tc>
          <w:tcPr>
            <w:tcW w:type="dxa" w:w="1440"/>
            <w:tcMar>
              <w:top w:w="50" w:type="dxa"/>
              <w:start w:w="55" w:type="dxa"/>
              <w:bottom w:w="50" w:type="dxa"/>
              <w:end w:w="55" w:type="dxa"/>
            </w:tcMar>
            <w:vAlign w:val="top"/>
          </w:tcPr>
          <w:p>
            <w:pPr>
              <w:spacing w:after="0"/>
            </w:pPr>
            <w:r>
              <w:rPr>
                <w:sz w:val="14"/>
              </w:rPr>
              <w:t>BLD-008</w:t>
            </w:r>
          </w:p>
        </w:tc>
        <w:tc>
          <w:tcPr>
            <w:tcW w:type="dxa" w:w="9360"/>
            <w:tcMar>
              <w:top w:w="50" w:type="dxa"/>
              <w:start w:w="55" w:type="dxa"/>
              <w:bottom w:w="50" w:type="dxa"/>
              <w:end w:w="55" w:type="dxa"/>
            </w:tcMar>
            <w:vAlign w:val="top"/>
          </w:tcPr>
          <w:p>
            <w:pPr>
              <w:spacing w:after="0"/>
            </w:pPr>
            <w:r>
              <w:rPr>
                <w:sz w:val="14"/>
              </w:rPr>
              <w:t>Look-back/traceability, recall, hemovigilance and utilization/wastage reporting.</w:t>
            </w:r>
          </w:p>
        </w:tc>
      </w:tr>
    </w:tbl>
    <w:p>
      <w:pPr>
        <w:spacing w:after="20"/>
      </w:pPr>
    </w:p>
    <w:p>
      <w:pPr>
        <w:pStyle w:val="Heading1"/>
      </w:pPr>
      <w:r>
        <w:t>46. Home Healthcare, Remote Monitoring and Virtual Care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ID</w:t>
            </w:r>
          </w:p>
        </w:tc>
        <w:tc>
          <w:tcPr>
            <w:tcW w:type="dxa" w:w="5083"/>
            <w:shd w:fill="D9EAF7"/>
            <w:tcMar>
              <w:top w:w="50" w:type="dxa"/>
              <w:start w:w="55" w:type="dxa"/>
              <w:bottom w:w="50" w:type="dxa"/>
              <w:end w:w="55" w:type="dxa"/>
            </w:tcMar>
          </w:tcPr>
          <w:p>
            <w:pPr>
              <w:spacing w:after="0"/>
            </w:pPr>
            <w:r>
              <w:rPr>
                <w:b/>
                <w:sz w:val="14"/>
              </w:rPr>
              <w:t>Requirement</w:t>
            </w:r>
          </w:p>
        </w:tc>
      </w:tr>
      <w:tr>
        <w:tc>
          <w:tcPr>
            <w:tcW w:type="dxa" w:w="1440"/>
            <w:tcMar>
              <w:top w:w="50" w:type="dxa"/>
              <w:start w:w="55" w:type="dxa"/>
              <w:bottom w:w="50" w:type="dxa"/>
              <w:end w:w="55" w:type="dxa"/>
            </w:tcMar>
            <w:vAlign w:val="top"/>
          </w:tcPr>
          <w:p>
            <w:pPr>
              <w:spacing w:after="0"/>
            </w:pPr>
            <w:r>
              <w:rPr>
                <w:sz w:val="14"/>
              </w:rPr>
              <w:t>HOME-001</w:t>
            </w:r>
          </w:p>
        </w:tc>
        <w:tc>
          <w:tcPr>
            <w:tcW w:type="dxa" w:w="9360"/>
            <w:tcMar>
              <w:top w:w="50" w:type="dxa"/>
              <w:start w:w="55" w:type="dxa"/>
              <w:bottom w:w="50" w:type="dxa"/>
              <w:end w:w="55" w:type="dxa"/>
            </w:tcMar>
            <w:vAlign w:val="top"/>
          </w:tcPr>
          <w:p>
            <w:pPr>
              <w:spacing w:after="0"/>
            </w:pPr>
            <w:r>
              <w:rPr>
                <w:sz w:val="14"/>
              </w:rPr>
              <w:t>Service catalog for home doctor, nurse, physiotherapy, wound care, injection/infusion, post-operative care, elder care, sample collection and equipment rental.</w:t>
            </w:r>
          </w:p>
        </w:tc>
      </w:tr>
      <w:tr>
        <w:tc>
          <w:tcPr>
            <w:tcW w:type="dxa" w:w="1440"/>
            <w:tcMar>
              <w:top w:w="50" w:type="dxa"/>
              <w:start w:w="55" w:type="dxa"/>
              <w:bottom w:w="50" w:type="dxa"/>
              <w:end w:w="55" w:type="dxa"/>
            </w:tcMar>
            <w:vAlign w:val="top"/>
          </w:tcPr>
          <w:p>
            <w:pPr>
              <w:spacing w:after="0"/>
            </w:pPr>
            <w:r>
              <w:rPr>
                <w:sz w:val="14"/>
              </w:rPr>
              <w:t>HOME-002</w:t>
            </w:r>
          </w:p>
        </w:tc>
        <w:tc>
          <w:tcPr>
            <w:tcW w:type="dxa" w:w="9360"/>
            <w:tcMar>
              <w:top w:w="50" w:type="dxa"/>
              <w:start w:w="55" w:type="dxa"/>
              <w:bottom w:w="50" w:type="dxa"/>
              <w:end w:w="55" w:type="dxa"/>
            </w:tcMar>
            <w:vAlign w:val="top"/>
          </w:tcPr>
          <w:p>
            <w:pPr>
              <w:spacing w:after="0"/>
            </w:pPr>
            <w:r>
              <w:rPr>
                <w:sz w:val="14"/>
              </w:rPr>
              <w:t>Eligibility/coverage/serviceability, slot, staff skill matching, route, visit checklist, consent and patient verification.</w:t>
            </w:r>
          </w:p>
        </w:tc>
      </w:tr>
      <w:tr>
        <w:tc>
          <w:tcPr>
            <w:tcW w:type="dxa" w:w="1440"/>
            <w:tcMar>
              <w:top w:w="50" w:type="dxa"/>
              <w:start w:w="55" w:type="dxa"/>
              <w:bottom w:w="50" w:type="dxa"/>
              <w:end w:w="55" w:type="dxa"/>
            </w:tcMar>
            <w:vAlign w:val="top"/>
          </w:tcPr>
          <w:p>
            <w:pPr>
              <w:spacing w:after="0"/>
            </w:pPr>
            <w:r>
              <w:rPr>
                <w:sz w:val="14"/>
              </w:rPr>
              <w:t>HOME-003</w:t>
            </w:r>
          </w:p>
        </w:tc>
        <w:tc>
          <w:tcPr>
            <w:tcW w:type="dxa" w:w="9360"/>
            <w:tcMar>
              <w:top w:w="50" w:type="dxa"/>
              <w:start w:w="55" w:type="dxa"/>
              <w:bottom w:w="50" w:type="dxa"/>
              <w:end w:w="55" w:type="dxa"/>
            </w:tcMar>
            <w:vAlign w:val="top"/>
          </w:tcPr>
          <w:p>
            <w:pPr>
              <w:spacing w:after="0"/>
            </w:pPr>
            <w:r>
              <w:rPr>
                <w:sz w:val="14"/>
              </w:rPr>
              <w:t>Home visit documentation, geo/time proof, consumables, medication administration, observations, photographs where consented and escalation.</w:t>
            </w:r>
          </w:p>
        </w:tc>
      </w:tr>
      <w:tr>
        <w:tc>
          <w:tcPr>
            <w:tcW w:type="dxa" w:w="1440"/>
            <w:tcMar>
              <w:top w:w="50" w:type="dxa"/>
              <w:start w:w="55" w:type="dxa"/>
              <w:bottom w:w="50" w:type="dxa"/>
              <w:end w:w="55" w:type="dxa"/>
            </w:tcMar>
            <w:vAlign w:val="top"/>
          </w:tcPr>
          <w:p>
            <w:pPr>
              <w:spacing w:after="0"/>
            </w:pPr>
            <w:r>
              <w:rPr>
                <w:sz w:val="14"/>
              </w:rPr>
              <w:t>RPM-001</w:t>
            </w:r>
          </w:p>
        </w:tc>
        <w:tc>
          <w:tcPr>
            <w:tcW w:type="dxa" w:w="9360"/>
            <w:tcMar>
              <w:top w:w="50" w:type="dxa"/>
              <w:start w:w="55" w:type="dxa"/>
              <w:bottom w:w="50" w:type="dxa"/>
              <w:end w:w="55" w:type="dxa"/>
            </w:tcMar>
            <w:vAlign w:val="top"/>
          </w:tcPr>
          <w:p>
            <w:pPr>
              <w:spacing w:after="0"/>
            </w:pPr>
            <w:r>
              <w:rPr>
                <w:sz w:val="14"/>
              </w:rPr>
              <w:t>Device registry and pairing for BP, glucometer, SpO2, weight, thermometer, ECG/patch, spirometry, CGM or vendor-supported medical devices.</w:t>
            </w:r>
          </w:p>
        </w:tc>
      </w:tr>
      <w:tr>
        <w:tc>
          <w:tcPr>
            <w:tcW w:type="dxa" w:w="1440"/>
            <w:tcMar>
              <w:top w:w="50" w:type="dxa"/>
              <w:start w:w="55" w:type="dxa"/>
              <w:bottom w:w="50" w:type="dxa"/>
              <w:end w:w="55" w:type="dxa"/>
            </w:tcMar>
            <w:vAlign w:val="top"/>
          </w:tcPr>
          <w:p>
            <w:pPr>
              <w:spacing w:after="0"/>
            </w:pPr>
            <w:r>
              <w:rPr>
                <w:sz w:val="14"/>
              </w:rPr>
              <w:t>RPM-002</w:t>
            </w:r>
          </w:p>
        </w:tc>
        <w:tc>
          <w:tcPr>
            <w:tcW w:type="dxa" w:w="9360"/>
            <w:tcMar>
              <w:top w:w="50" w:type="dxa"/>
              <w:start w:w="55" w:type="dxa"/>
              <w:bottom w:w="50" w:type="dxa"/>
              <w:end w:w="55" w:type="dxa"/>
            </w:tcMar>
            <w:vAlign w:val="top"/>
          </w:tcPr>
          <w:p>
            <w:pPr>
              <w:spacing w:after="0"/>
            </w:pPr>
            <w:r>
              <w:rPr>
                <w:sz w:val="14"/>
              </w:rPr>
              <w:t>Normalized measurements with device/source, unit, quality, timestamp and patient binding.</w:t>
            </w:r>
          </w:p>
        </w:tc>
      </w:tr>
      <w:tr>
        <w:tc>
          <w:tcPr>
            <w:tcW w:type="dxa" w:w="1440"/>
            <w:tcMar>
              <w:top w:w="50" w:type="dxa"/>
              <w:start w:w="55" w:type="dxa"/>
              <w:bottom w:w="50" w:type="dxa"/>
              <w:end w:w="55" w:type="dxa"/>
            </w:tcMar>
            <w:vAlign w:val="top"/>
          </w:tcPr>
          <w:p>
            <w:pPr>
              <w:spacing w:after="0"/>
            </w:pPr>
            <w:r>
              <w:rPr>
                <w:sz w:val="14"/>
              </w:rPr>
              <w:t>RPM-003</w:t>
            </w:r>
          </w:p>
        </w:tc>
        <w:tc>
          <w:tcPr>
            <w:tcW w:type="dxa" w:w="9360"/>
            <w:tcMar>
              <w:top w:w="50" w:type="dxa"/>
              <w:start w:w="55" w:type="dxa"/>
              <w:bottom w:w="50" w:type="dxa"/>
              <w:end w:w="55" w:type="dxa"/>
            </w:tcMar>
            <w:vAlign w:val="top"/>
          </w:tcPr>
          <w:p>
            <w:pPr>
              <w:spacing w:after="0"/>
            </w:pPr>
            <w:r>
              <w:rPr>
                <w:sz w:val="14"/>
              </w:rPr>
              <w:t>Threshold/rule/model-based alerting with clinician review queues, escalation and acknowledgment; emergency limitations clearly stated.</w:t>
            </w:r>
          </w:p>
        </w:tc>
      </w:tr>
      <w:tr>
        <w:tc>
          <w:tcPr>
            <w:tcW w:type="dxa" w:w="1440"/>
            <w:tcMar>
              <w:top w:w="50" w:type="dxa"/>
              <w:start w:w="55" w:type="dxa"/>
              <w:bottom w:w="50" w:type="dxa"/>
              <w:end w:w="55" w:type="dxa"/>
            </w:tcMar>
            <w:vAlign w:val="top"/>
          </w:tcPr>
          <w:p>
            <w:pPr>
              <w:spacing w:after="0"/>
            </w:pPr>
            <w:r>
              <w:rPr>
                <w:sz w:val="14"/>
              </w:rPr>
              <w:t>RPM-004</w:t>
            </w:r>
          </w:p>
        </w:tc>
        <w:tc>
          <w:tcPr>
            <w:tcW w:type="dxa" w:w="9360"/>
            <w:tcMar>
              <w:top w:w="50" w:type="dxa"/>
              <w:start w:w="55" w:type="dxa"/>
              <w:bottom w:w="50" w:type="dxa"/>
              <w:end w:w="55" w:type="dxa"/>
            </w:tcMar>
            <w:vAlign w:val="top"/>
          </w:tcPr>
          <w:p>
            <w:pPr>
              <w:spacing w:after="0"/>
            </w:pPr>
            <w:r>
              <w:rPr>
                <w:sz w:val="14"/>
              </w:rPr>
              <w:t>Disease programmes for hypertension, diabetes, heart failure, COPD, CKD, oncology symptom monitoring and post-discharge recovery.</w:t>
            </w:r>
          </w:p>
        </w:tc>
      </w:tr>
      <w:tr>
        <w:tc>
          <w:tcPr>
            <w:tcW w:type="dxa" w:w="1440"/>
            <w:tcMar>
              <w:top w:w="50" w:type="dxa"/>
              <w:start w:w="55" w:type="dxa"/>
              <w:bottom w:w="50" w:type="dxa"/>
              <w:end w:w="55" w:type="dxa"/>
            </w:tcMar>
            <w:vAlign w:val="top"/>
          </w:tcPr>
          <w:p>
            <w:pPr>
              <w:spacing w:after="0"/>
            </w:pPr>
            <w:r>
              <w:rPr>
                <w:sz w:val="14"/>
              </w:rPr>
              <w:t>TEL-001</w:t>
            </w:r>
          </w:p>
        </w:tc>
        <w:tc>
          <w:tcPr>
            <w:tcW w:type="dxa" w:w="9360"/>
            <w:tcMar>
              <w:top w:w="50" w:type="dxa"/>
              <w:start w:w="55" w:type="dxa"/>
              <w:bottom w:w="50" w:type="dxa"/>
              <w:end w:w="55" w:type="dxa"/>
            </w:tcMar>
            <w:vAlign w:val="top"/>
          </w:tcPr>
          <w:p>
            <w:pPr>
              <w:spacing w:after="0"/>
            </w:pPr>
            <w:r>
              <w:rPr>
                <w:sz w:val="14"/>
              </w:rPr>
              <w:t>Teleconsultation: consent, identity, virtual waiting room, secure session integration, clinical note, orders, prescription, payment and follow-up.</w:t>
            </w:r>
          </w:p>
        </w:tc>
      </w:tr>
    </w:tbl>
    <w:p>
      <w:pPr>
        <w:spacing w:after="20"/>
      </w:pPr>
    </w:p>
    <w:p>
      <w:pPr>
        <w:pStyle w:val="Heading1"/>
      </w:pPr>
      <w:r>
        <w:t>47. Patient Personal Health Record and Lifetime Health Timeline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ID</w:t>
            </w:r>
          </w:p>
        </w:tc>
        <w:tc>
          <w:tcPr>
            <w:tcW w:type="dxa" w:w="5083"/>
            <w:shd w:fill="D9EAF7"/>
            <w:tcMar>
              <w:top w:w="50" w:type="dxa"/>
              <w:start w:w="55" w:type="dxa"/>
              <w:bottom w:w="50" w:type="dxa"/>
              <w:end w:w="55" w:type="dxa"/>
            </w:tcMar>
          </w:tcPr>
          <w:p>
            <w:pPr>
              <w:spacing w:after="0"/>
            </w:pPr>
            <w:r>
              <w:rPr>
                <w:b/>
                <w:sz w:val="14"/>
              </w:rPr>
              <w:t>Requirement</w:t>
            </w:r>
          </w:p>
        </w:tc>
      </w:tr>
      <w:tr>
        <w:tc>
          <w:tcPr>
            <w:tcW w:type="dxa" w:w="1440"/>
            <w:tcMar>
              <w:top w:w="50" w:type="dxa"/>
              <w:start w:w="55" w:type="dxa"/>
              <w:bottom w:w="50" w:type="dxa"/>
              <w:end w:w="55" w:type="dxa"/>
            </w:tcMar>
            <w:vAlign w:val="top"/>
          </w:tcPr>
          <w:p>
            <w:pPr>
              <w:spacing w:after="0"/>
            </w:pPr>
            <w:r>
              <w:rPr>
                <w:sz w:val="14"/>
              </w:rPr>
              <w:t>PHR-001</w:t>
            </w:r>
          </w:p>
        </w:tc>
        <w:tc>
          <w:tcPr>
            <w:tcW w:type="dxa" w:w="9360"/>
            <w:tcMar>
              <w:top w:w="50" w:type="dxa"/>
              <w:start w:w="55" w:type="dxa"/>
              <w:bottom w:w="50" w:type="dxa"/>
              <w:end w:w="55" w:type="dxa"/>
            </w:tcMar>
            <w:vAlign w:val="top"/>
          </w:tcPr>
          <w:p>
            <w:pPr>
              <w:spacing w:after="0"/>
            </w:pPr>
            <w:r>
              <w:rPr>
                <w:sz w:val="14"/>
              </w:rPr>
              <w:t>Longitudinal timeline aggregating encounters, diagnoses, procedures, medicines, vaccinations, allergies, results, imaging, claims and documents.</w:t>
            </w:r>
          </w:p>
        </w:tc>
      </w:tr>
      <w:tr>
        <w:tc>
          <w:tcPr>
            <w:tcW w:type="dxa" w:w="1440"/>
            <w:tcMar>
              <w:top w:w="50" w:type="dxa"/>
              <w:start w:w="55" w:type="dxa"/>
              <w:bottom w:w="50" w:type="dxa"/>
              <w:end w:w="55" w:type="dxa"/>
            </w:tcMar>
            <w:vAlign w:val="top"/>
          </w:tcPr>
          <w:p>
            <w:pPr>
              <w:spacing w:after="0"/>
            </w:pPr>
            <w:r>
              <w:rPr>
                <w:sz w:val="14"/>
              </w:rPr>
              <w:t>PHR-002</w:t>
            </w:r>
          </w:p>
        </w:tc>
        <w:tc>
          <w:tcPr>
            <w:tcW w:type="dxa" w:w="9360"/>
            <w:tcMar>
              <w:top w:w="50" w:type="dxa"/>
              <w:start w:w="55" w:type="dxa"/>
              <w:bottom w:w="50" w:type="dxa"/>
              <w:end w:w="55" w:type="dxa"/>
            </w:tcMar>
            <w:vAlign w:val="top"/>
          </w:tcPr>
          <w:p>
            <w:pPr>
              <w:spacing w:after="0"/>
            </w:pPr>
            <w:r>
              <w:rPr>
                <w:sz w:val="14"/>
              </w:rPr>
              <w:t>Patient-uploaded records with document classification, OCR/indexing and distinction between patient-supplied versus provider-verified data.</w:t>
            </w:r>
          </w:p>
        </w:tc>
      </w:tr>
      <w:tr>
        <w:tc>
          <w:tcPr>
            <w:tcW w:type="dxa" w:w="1440"/>
            <w:tcMar>
              <w:top w:w="50" w:type="dxa"/>
              <w:start w:w="55" w:type="dxa"/>
              <w:bottom w:w="50" w:type="dxa"/>
              <w:end w:w="55" w:type="dxa"/>
            </w:tcMar>
            <w:vAlign w:val="top"/>
          </w:tcPr>
          <w:p>
            <w:pPr>
              <w:spacing w:after="0"/>
            </w:pPr>
            <w:r>
              <w:rPr>
                <w:sz w:val="14"/>
              </w:rPr>
              <w:t>PHR-003</w:t>
            </w:r>
          </w:p>
        </w:tc>
        <w:tc>
          <w:tcPr>
            <w:tcW w:type="dxa" w:w="9360"/>
            <w:tcMar>
              <w:top w:w="50" w:type="dxa"/>
              <w:start w:w="55" w:type="dxa"/>
              <w:bottom w:w="50" w:type="dxa"/>
              <w:end w:w="55" w:type="dxa"/>
            </w:tcMar>
            <w:vAlign w:val="top"/>
          </w:tcPr>
          <w:p>
            <w:pPr>
              <w:spacing w:after="0"/>
            </w:pPr>
            <w:r>
              <w:rPr>
                <w:sz w:val="14"/>
              </w:rPr>
              <w:t>External record ingestion through consented ABDM/FHIR exchange and other permitted interfaces.</w:t>
            </w:r>
          </w:p>
        </w:tc>
      </w:tr>
      <w:tr>
        <w:tc>
          <w:tcPr>
            <w:tcW w:type="dxa" w:w="1440"/>
            <w:tcMar>
              <w:top w:w="50" w:type="dxa"/>
              <w:start w:w="55" w:type="dxa"/>
              <w:bottom w:w="50" w:type="dxa"/>
              <w:end w:w="55" w:type="dxa"/>
            </w:tcMar>
            <w:vAlign w:val="top"/>
          </w:tcPr>
          <w:p>
            <w:pPr>
              <w:spacing w:after="0"/>
            </w:pPr>
            <w:r>
              <w:rPr>
                <w:sz w:val="14"/>
              </w:rPr>
              <w:t>PHR-004</w:t>
            </w:r>
          </w:p>
        </w:tc>
        <w:tc>
          <w:tcPr>
            <w:tcW w:type="dxa" w:w="9360"/>
            <w:tcMar>
              <w:top w:w="50" w:type="dxa"/>
              <w:start w:w="55" w:type="dxa"/>
              <w:bottom w:w="50" w:type="dxa"/>
              <w:end w:w="55" w:type="dxa"/>
            </w:tcMar>
            <w:vAlign w:val="top"/>
          </w:tcPr>
          <w:p>
            <w:pPr>
              <w:spacing w:after="0"/>
            </w:pPr>
            <w:r>
              <w:rPr>
                <w:sz w:val="14"/>
              </w:rPr>
              <w:t>Family/dependent health profiles with guardian/relationship authorization and age-transition policies.</w:t>
            </w:r>
          </w:p>
        </w:tc>
      </w:tr>
      <w:tr>
        <w:tc>
          <w:tcPr>
            <w:tcW w:type="dxa" w:w="1440"/>
            <w:tcMar>
              <w:top w:w="50" w:type="dxa"/>
              <w:start w:w="55" w:type="dxa"/>
              <w:bottom w:w="50" w:type="dxa"/>
              <w:end w:w="55" w:type="dxa"/>
            </w:tcMar>
            <w:vAlign w:val="top"/>
          </w:tcPr>
          <w:p>
            <w:pPr>
              <w:spacing w:after="0"/>
            </w:pPr>
            <w:r>
              <w:rPr>
                <w:sz w:val="14"/>
              </w:rPr>
              <w:t>PHR-005</w:t>
            </w:r>
          </w:p>
        </w:tc>
        <w:tc>
          <w:tcPr>
            <w:tcW w:type="dxa" w:w="9360"/>
            <w:tcMar>
              <w:top w:w="50" w:type="dxa"/>
              <w:start w:w="55" w:type="dxa"/>
              <w:bottom w:w="50" w:type="dxa"/>
              <w:end w:w="55" w:type="dxa"/>
            </w:tcMar>
            <w:vAlign w:val="top"/>
          </w:tcPr>
          <w:p>
            <w:pPr>
              <w:spacing w:after="0"/>
            </w:pPr>
            <w:r>
              <w:rPr>
                <w:sz w:val="14"/>
              </w:rPr>
              <w:t>Trend views for selected structured measurements with reference/target context and source provenance.</w:t>
            </w:r>
          </w:p>
        </w:tc>
      </w:tr>
      <w:tr>
        <w:tc>
          <w:tcPr>
            <w:tcW w:type="dxa" w:w="1440"/>
            <w:tcMar>
              <w:top w:w="50" w:type="dxa"/>
              <w:start w:w="55" w:type="dxa"/>
              <w:bottom w:w="50" w:type="dxa"/>
              <w:end w:w="55" w:type="dxa"/>
            </w:tcMar>
            <w:vAlign w:val="top"/>
          </w:tcPr>
          <w:p>
            <w:pPr>
              <w:spacing w:after="0"/>
            </w:pPr>
            <w:r>
              <w:rPr>
                <w:sz w:val="14"/>
              </w:rPr>
              <w:t>PHR-006</w:t>
            </w:r>
          </w:p>
        </w:tc>
        <w:tc>
          <w:tcPr>
            <w:tcW w:type="dxa" w:w="9360"/>
            <w:tcMar>
              <w:top w:w="50" w:type="dxa"/>
              <w:start w:w="55" w:type="dxa"/>
              <w:bottom w:w="50" w:type="dxa"/>
              <w:end w:w="55" w:type="dxa"/>
            </w:tcMar>
            <w:vAlign w:val="top"/>
          </w:tcPr>
          <w:p>
            <w:pPr>
              <w:spacing w:after="0"/>
            </w:pPr>
            <w:r>
              <w:rPr>
                <w:sz w:val="14"/>
              </w:rPr>
              <w:t>Share package: purpose, recipient, selected records, expiry, revocation and access audit.</w:t>
            </w:r>
          </w:p>
        </w:tc>
      </w:tr>
      <w:tr>
        <w:tc>
          <w:tcPr>
            <w:tcW w:type="dxa" w:w="1440"/>
            <w:tcMar>
              <w:top w:w="50" w:type="dxa"/>
              <w:start w:w="55" w:type="dxa"/>
              <w:bottom w:w="50" w:type="dxa"/>
              <w:end w:w="55" w:type="dxa"/>
            </w:tcMar>
            <w:vAlign w:val="top"/>
          </w:tcPr>
          <w:p>
            <w:pPr>
              <w:spacing w:after="0"/>
            </w:pPr>
            <w:r>
              <w:rPr>
                <w:sz w:val="14"/>
              </w:rPr>
              <w:t>PHR-007</w:t>
            </w:r>
          </w:p>
        </w:tc>
        <w:tc>
          <w:tcPr>
            <w:tcW w:type="dxa" w:w="9360"/>
            <w:tcMar>
              <w:top w:w="50" w:type="dxa"/>
              <w:start w:w="55" w:type="dxa"/>
              <w:bottom w:w="50" w:type="dxa"/>
              <w:end w:w="55" w:type="dxa"/>
            </w:tcMar>
            <w:vAlign w:val="top"/>
          </w:tcPr>
          <w:p>
            <w:pPr>
              <w:spacing w:after="0"/>
            </w:pPr>
            <w:r>
              <w:rPr>
                <w:sz w:val="14"/>
              </w:rPr>
              <w:t>Emergency summary configurable by patient/provider policy: allergies, medicines, conditions, devices, contacts and critical instructions.</w:t>
            </w:r>
          </w:p>
        </w:tc>
      </w:tr>
    </w:tbl>
    <w:p>
      <w:pPr>
        <w:spacing w:after="20"/>
      </w:pPr>
    </w:p>
    <w:p>
      <w:pPr>
        <w:pStyle w:val="Heading1"/>
      </w:pPr>
      <w:r>
        <w:t>48. Advanced Pharmaceutical Commerce and Distribution Management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ID</w:t>
            </w:r>
          </w:p>
        </w:tc>
        <w:tc>
          <w:tcPr>
            <w:tcW w:type="dxa" w:w="5083"/>
            <w:shd w:fill="D9EAF7"/>
            <w:tcMar>
              <w:top w:w="50" w:type="dxa"/>
              <w:start w:w="55" w:type="dxa"/>
              <w:bottom w:w="50" w:type="dxa"/>
              <w:end w:w="55" w:type="dxa"/>
            </w:tcMar>
          </w:tcPr>
          <w:p>
            <w:pPr>
              <w:spacing w:after="0"/>
            </w:pPr>
            <w:r>
              <w:rPr>
                <w:b/>
                <w:sz w:val="14"/>
              </w:rPr>
              <w:t>Requirement</w:t>
            </w:r>
          </w:p>
        </w:tc>
      </w:tr>
      <w:tr>
        <w:tc>
          <w:tcPr>
            <w:tcW w:type="dxa" w:w="1440"/>
            <w:tcMar>
              <w:top w:w="50" w:type="dxa"/>
              <w:start w:w="55" w:type="dxa"/>
              <w:bottom w:w="50" w:type="dxa"/>
              <w:end w:w="55" w:type="dxa"/>
            </w:tcMar>
            <w:vAlign w:val="top"/>
          </w:tcPr>
          <w:p>
            <w:pPr>
              <w:spacing w:after="0"/>
            </w:pPr>
            <w:r>
              <w:rPr>
                <w:sz w:val="14"/>
              </w:rPr>
              <w:t>PHX-001</w:t>
            </w:r>
          </w:p>
        </w:tc>
        <w:tc>
          <w:tcPr>
            <w:tcW w:type="dxa" w:w="9360"/>
            <w:tcMar>
              <w:top w:w="50" w:type="dxa"/>
              <w:start w:w="55" w:type="dxa"/>
              <w:bottom w:w="50" w:type="dxa"/>
              <w:end w:w="55" w:type="dxa"/>
            </w:tcMar>
            <w:vAlign w:val="top"/>
          </w:tcPr>
          <w:p>
            <w:pPr>
              <w:spacing w:after="0"/>
            </w:pPr>
            <w:r>
              <w:rPr>
                <w:sz w:val="14"/>
              </w:rPr>
              <w:t>Multi-echelon visibility: manufacturer -&gt; depot/C&amp;F -&gt; super-stockist -&gt; distributor/stockist -&gt; pharmacy/hospital, with ownership and custody explicitly separated.</w:t>
            </w:r>
          </w:p>
        </w:tc>
      </w:tr>
      <w:tr>
        <w:tc>
          <w:tcPr>
            <w:tcW w:type="dxa" w:w="1440"/>
            <w:tcMar>
              <w:top w:w="50" w:type="dxa"/>
              <w:start w:w="55" w:type="dxa"/>
              <w:bottom w:w="50" w:type="dxa"/>
              <w:end w:w="55" w:type="dxa"/>
            </w:tcMar>
            <w:vAlign w:val="top"/>
          </w:tcPr>
          <w:p>
            <w:pPr>
              <w:spacing w:after="0"/>
            </w:pPr>
            <w:r>
              <w:rPr>
                <w:sz w:val="14"/>
              </w:rPr>
              <w:t>PHX-002</w:t>
            </w:r>
          </w:p>
        </w:tc>
        <w:tc>
          <w:tcPr>
            <w:tcW w:type="dxa" w:w="9360"/>
            <w:tcMar>
              <w:top w:w="50" w:type="dxa"/>
              <w:start w:w="55" w:type="dxa"/>
              <w:bottom w:w="50" w:type="dxa"/>
              <w:end w:w="55" w:type="dxa"/>
            </w:tcMar>
            <w:vAlign w:val="top"/>
          </w:tcPr>
          <w:p>
            <w:pPr>
              <w:spacing w:after="0"/>
            </w:pPr>
            <w:r>
              <w:rPr>
                <w:sz w:val="14"/>
              </w:rPr>
              <w:t>Territory, beat, salesperson and retailer universe management with order capture, productive calls, assortment and target tracking.</w:t>
            </w:r>
          </w:p>
        </w:tc>
      </w:tr>
      <w:tr>
        <w:tc>
          <w:tcPr>
            <w:tcW w:type="dxa" w:w="1440"/>
            <w:tcMar>
              <w:top w:w="50" w:type="dxa"/>
              <w:start w:w="55" w:type="dxa"/>
              <w:bottom w:w="50" w:type="dxa"/>
              <w:end w:w="55" w:type="dxa"/>
            </w:tcMar>
            <w:vAlign w:val="top"/>
          </w:tcPr>
          <w:p>
            <w:pPr>
              <w:spacing w:after="0"/>
            </w:pPr>
            <w:r>
              <w:rPr>
                <w:sz w:val="14"/>
              </w:rPr>
              <w:t>PHX-003</w:t>
            </w:r>
          </w:p>
        </w:tc>
        <w:tc>
          <w:tcPr>
            <w:tcW w:type="dxa" w:w="9360"/>
            <w:tcMar>
              <w:top w:w="50" w:type="dxa"/>
              <w:start w:w="55" w:type="dxa"/>
              <w:bottom w:w="50" w:type="dxa"/>
              <w:end w:w="55" w:type="dxa"/>
            </w:tcMar>
            <w:vAlign w:val="top"/>
          </w:tcPr>
          <w:p>
            <w:pPr>
              <w:spacing w:after="0"/>
            </w:pPr>
            <w:r>
              <w:rPr>
                <w:sz w:val="14"/>
              </w:rPr>
              <w:t>Primary, secondary and optional tertiary sales ingestion with channel inventory and replenishment analytics.</w:t>
            </w:r>
          </w:p>
        </w:tc>
      </w:tr>
      <w:tr>
        <w:tc>
          <w:tcPr>
            <w:tcW w:type="dxa" w:w="1440"/>
            <w:tcMar>
              <w:top w:w="50" w:type="dxa"/>
              <w:start w:w="55" w:type="dxa"/>
              <w:bottom w:w="50" w:type="dxa"/>
              <w:end w:w="55" w:type="dxa"/>
            </w:tcMar>
            <w:vAlign w:val="top"/>
          </w:tcPr>
          <w:p>
            <w:pPr>
              <w:spacing w:after="0"/>
            </w:pPr>
            <w:r>
              <w:rPr>
                <w:sz w:val="14"/>
              </w:rPr>
              <w:t>PHX-004</w:t>
            </w:r>
          </w:p>
        </w:tc>
        <w:tc>
          <w:tcPr>
            <w:tcW w:type="dxa" w:w="9360"/>
            <w:tcMar>
              <w:top w:w="50" w:type="dxa"/>
              <w:start w:w="55" w:type="dxa"/>
              <w:bottom w:w="50" w:type="dxa"/>
              <w:end w:w="55" w:type="dxa"/>
            </w:tcMar>
            <w:vAlign w:val="top"/>
          </w:tcPr>
          <w:p>
            <w:pPr>
              <w:spacing w:after="0"/>
            </w:pPr>
            <w:r>
              <w:rPr>
                <w:sz w:val="14"/>
              </w:rPr>
              <w:t>Commercial scheme engine with free goods, slabs, bundles, discounts, claimable schemes, rate differences and approval governance.</w:t>
            </w:r>
          </w:p>
        </w:tc>
      </w:tr>
      <w:tr>
        <w:tc>
          <w:tcPr>
            <w:tcW w:type="dxa" w:w="1440"/>
            <w:tcMar>
              <w:top w:w="50" w:type="dxa"/>
              <w:start w:w="55" w:type="dxa"/>
              <w:bottom w:w="50" w:type="dxa"/>
              <w:end w:w="55" w:type="dxa"/>
            </w:tcMar>
            <w:vAlign w:val="top"/>
          </w:tcPr>
          <w:p>
            <w:pPr>
              <w:spacing w:after="0"/>
            </w:pPr>
            <w:r>
              <w:rPr>
                <w:sz w:val="14"/>
              </w:rPr>
              <w:t>PHX-005</w:t>
            </w:r>
          </w:p>
        </w:tc>
        <w:tc>
          <w:tcPr>
            <w:tcW w:type="dxa" w:w="9360"/>
            <w:tcMar>
              <w:top w:w="50" w:type="dxa"/>
              <w:start w:w="55" w:type="dxa"/>
              <w:bottom w:w="50" w:type="dxa"/>
              <w:end w:w="55" w:type="dxa"/>
            </w:tcMar>
            <w:vAlign w:val="top"/>
          </w:tcPr>
          <w:p>
            <w:pPr>
              <w:spacing w:after="0"/>
            </w:pPr>
            <w:r>
              <w:rPr>
                <w:sz w:val="14"/>
              </w:rPr>
              <w:t>Near-expiry marketplace/redistribution suggestions among eligible network partners with lot traceability and commercial approval.</w:t>
            </w:r>
          </w:p>
        </w:tc>
      </w:tr>
      <w:tr>
        <w:tc>
          <w:tcPr>
            <w:tcW w:type="dxa" w:w="1440"/>
            <w:tcMar>
              <w:top w:w="50" w:type="dxa"/>
              <w:start w:w="55" w:type="dxa"/>
              <w:bottom w:w="50" w:type="dxa"/>
              <w:end w:w="55" w:type="dxa"/>
            </w:tcMar>
            <w:vAlign w:val="top"/>
          </w:tcPr>
          <w:p>
            <w:pPr>
              <w:spacing w:after="0"/>
            </w:pPr>
            <w:r>
              <w:rPr>
                <w:sz w:val="14"/>
              </w:rPr>
              <w:t>PHX-006</w:t>
            </w:r>
          </w:p>
        </w:tc>
        <w:tc>
          <w:tcPr>
            <w:tcW w:type="dxa" w:w="9360"/>
            <w:tcMar>
              <w:top w:w="50" w:type="dxa"/>
              <w:start w:w="55" w:type="dxa"/>
              <w:bottom w:w="50" w:type="dxa"/>
              <w:end w:w="55" w:type="dxa"/>
            </w:tcMar>
            <w:vAlign w:val="top"/>
          </w:tcPr>
          <w:p>
            <w:pPr>
              <w:spacing w:after="0"/>
            </w:pPr>
            <w:r>
              <w:rPr>
                <w:sz w:val="14"/>
              </w:rPr>
              <w:t>Recall command center: impacted lots, downstream exposure, acknowledgement, quarantine, returns and closure metrics.</w:t>
            </w:r>
          </w:p>
        </w:tc>
      </w:tr>
      <w:tr>
        <w:tc>
          <w:tcPr>
            <w:tcW w:type="dxa" w:w="1440"/>
            <w:tcMar>
              <w:top w:w="50" w:type="dxa"/>
              <w:start w:w="55" w:type="dxa"/>
              <w:bottom w:w="50" w:type="dxa"/>
              <w:end w:w="55" w:type="dxa"/>
            </w:tcMar>
            <w:vAlign w:val="top"/>
          </w:tcPr>
          <w:p>
            <w:pPr>
              <w:spacing w:after="0"/>
            </w:pPr>
            <w:r>
              <w:rPr>
                <w:sz w:val="14"/>
              </w:rPr>
              <w:t>PHX-007</w:t>
            </w:r>
          </w:p>
        </w:tc>
        <w:tc>
          <w:tcPr>
            <w:tcW w:type="dxa" w:w="9360"/>
            <w:tcMar>
              <w:top w:w="50" w:type="dxa"/>
              <w:start w:w="55" w:type="dxa"/>
              <w:bottom w:w="50" w:type="dxa"/>
              <w:end w:w="55" w:type="dxa"/>
            </w:tcMar>
            <w:vAlign w:val="top"/>
          </w:tcPr>
          <w:p>
            <w:pPr>
              <w:spacing w:after="0"/>
            </w:pPr>
            <w:r>
              <w:rPr>
                <w:sz w:val="14"/>
              </w:rPr>
              <w:t>Cold-chain lane monitoring: logger/IoT ingestion, shipment temperature profile, excursion disposition and evidence.</w:t>
            </w:r>
          </w:p>
        </w:tc>
      </w:tr>
      <w:tr>
        <w:tc>
          <w:tcPr>
            <w:tcW w:type="dxa" w:w="1440"/>
            <w:tcMar>
              <w:top w:w="50" w:type="dxa"/>
              <w:start w:w="55" w:type="dxa"/>
              <w:bottom w:w="50" w:type="dxa"/>
              <w:end w:w="55" w:type="dxa"/>
            </w:tcMar>
            <w:vAlign w:val="top"/>
          </w:tcPr>
          <w:p>
            <w:pPr>
              <w:spacing w:after="0"/>
            </w:pPr>
            <w:r>
              <w:rPr>
                <w:sz w:val="14"/>
              </w:rPr>
              <w:t>PHX-008</w:t>
            </w:r>
          </w:p>
        </w:tc>
        <w:tc>
          <w:tcPr>
            <w:tcW w:type="dxa" w:w="9360"/>
            <w:tcMar>
              <w:top w:w="50" w:type="dxa"/>
              <w:start w:w="55" w:type="dxa"/>
              <w:bottom w:w="50" w:type="dxa"/>
              <w:end w:w="55" w:type="dxa"/>
            </w:tcMar>
            <w:vAlign w:val="top"/>
          </w:tcPr>
          <w:p>
            <w:pPr>
              <w:spacing w:after="0"/>
            </w:pPr>
            <w:r>
              <w:rPr>
                <w:sz w:val="14"/>
              </w:rPr>
              <w:t>Collaborative forecast/replenishment with supplier constraints, lead time, service targets and safety-stock policy.</w:t>
            </w:r>
          </w:p>
        </w:tc>
      </w:tr>
      <w:tr>
        <w:tc>
          <w:tcPr>
            <w:tcW w:type="dxa" w:w="1440"/>
            <w:tcMar>
              <w:top w:w="50" w:type="dxa"/>
              <w:start w:w="55" w:type="dxa"/>
              <w:bottom w:w="50" w:type="dxa"/>
              <w:end w:w="55" w:type="dxa"/>
            </w:tcMar>
            <w:vAlign w:val="top"/>
          </w:tcPr>
          <w:p>
            <w:pPr>
              <w:spacing w:after="0"/>
            </w:pPr>
            <w:r>
              <w:rPr>
                <w:sz w:val="14"/>
              </w:rPr>
              <w:t>PHX-009</w:t>
            </w:r>
          </w:p>
        </w:tc>
        <w:tc>
          <w:tcPr>
            <w:tcW w:type="dxa" w:w="9360"/>
            <w:tcMar>
              <w:top w:w="50" w:type="dxa"/>
              <w:start w:w="55" w:type="dxa"/>
              <w:bottom w:w="50" w:type="dxa"/>
              <w:end w:w="55" w:type="dxa"/>
            </w:tcMar>
            <w:vAlign w:val="top"/>
          </w:tcPr>
          <w:p>
            <w:pPr>
              <w:spacing w:after="0"/>
            </w:pPr>
            <w:r>
              <w:rPr>
                <w:sz w:val="14"/>
              </w:rPr>
              <w:t>Credit/collection intelligence with ageing, promises-to-pay, credit utilization, deductions and cash allocation.</w:t>
            </w:r>
          </w:p>
        </w:tc>
      </w:tr>
      <w:tr>
        <w:tc>
          <w:tcPr>
            <w:tcW w:type="dxa" w:w="1440"/>
            <w:tcMar>
              <w:top w:w="50" w:type="dxa"/>
              <w:start w:w="55" w:type="dxa"/>
              <w:bottom w:w="50" w:type="dxa"/>
              <w:end w:w="55" w:type="dxa"/>
            </w:tcMar>
            <w:vAlign w:val="top"/>
          </w:tcPr>
          <w:p>
            <w:pPr>
              <w:spacing w:after="0"/>
            </w:pPr>
            <w:r>
              <w:rPr>
                <w:sz w:val="14"/>
              </w:rPr>
              <w:t>PHX-010</w:t>
            </w:r>
          </w:p>
        </w:tc>
        <w:tc>
          <w:tcPr>
            <w:tcW w:type="dxa" w:w="9360"/>
            <w:tcMar>
              <w:top w:w="50" w:type="dxa"/>
              <w:start w:w="55" w:type="dxa"/>
              <w:bottom w:w="50" w:type="dxa"/>
              <w:end w:w="55" w:type="dxa"/>
            </w:tcMar>
            <w:vAlign w:val="top"/>
          </w:tcPr>
          <w:p>
            <w:pPr>
              <w:spacing w:after="0"/>
            </w:pPr>
            <w:r>
              <w:rPr>
                <w:sz w:val="14"/>
              </w:rPr>
              <w:t>Counterfeit/suspicious-product workflow using authorized identifiers/serialization systems where applicable, with quarantine and investigation.</w:t>
            </w:r>
          </w:p>
        </w:tc>
      </w:tr>
    </w:tbl>
    <w:p>
      <w:pPr>
        <w:spacing w:after="20"/>
      </w:pPr>
    </w:p>
    <w:p>
      <w:pPr>
        <w:pStyle w:val="Heading2"/>
      </w:pPr>
      <w:r>
        <w:t>48.1 Flagship Automated Pharma Order Processing Pipeline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Stage</w:t>
            </w:r>
          </w:p>
        </w:tc>
        <w:tc>
          <w:tcPr>
            <w:tcW w:type="dxa" w:w="5083"/>
            <w:shd w:fill="D9EAF7"/>
            <w:tcMar>
              <w:top w:w="50" w:type="dxa"/>
              <w:start w:w="55" w:type="dxa"/>
              <w:bottom w:w="50" w:type="dxa"/>
              <w:end w:w="55" w:type="dxa"/>
            </w:tcMar>
          </w:tcPr>
          <w:p>
            <w:pPr>
              <w:spacing w:after="0"/>
            </w:pPr>
            <w:r>
              <w:rPr>
                <w:b/>
                <w:sz w:val="14"/>
              </w:rPr>
              <w:t>Design</w:t>
            </w:r>
          </w:p>
        </w:tc>
      </w:tr>
      <w:tr>
        <w:tc>
          <w:tcPr>
            <w:tcW w:type="dxa" w:w="2016"/>
            <w:tcMar>
              <w:top w:w="50" w:type="dxa"/>
              <w:start w:w="55" w:type="dxa"/>
              <w:bottom w:w="50" w:type="dxa"/>
              <w:end w:w="55" w:type="dxa"/>
            </w:tcMar>
            <w:vAlign w:val="top"/>
          </w:tcPr>
          <w:p>
            <w:pPr>
              <w:spacing w:after="0"/>
            </w:pPr>
            <w:r>
              <w:rPr>
                <w:sz w:val="14"/>
              </w:rPr>
              <w:t>Capture</w:t>
            </w:r>
          </w:p>
        </w:tc>
        <w:tc>
          <w:tcPr>
            <w:tcW w:type="dxa" w:w="8784"/>
            <w:tcMar>
              <w:top w:w="50" w:type="dxa"/>
              <w:start w:w="55" w:type="dxa"/>
              <w:bottom w:w="50" w:type="dxa"/>
              <w:end w:w="55" w:type="dxa"/>
            </w:tcMar>
            <w:vAlign w:val="top"/>
          </w:tcPr>
          <w:p>
            <w:pPr>
              <w:spacing w:after="0"/>
            </w:pPr>
            <w:r>
              <w:rPr>
                <w:sz w:val="14"/>
              </w:rPr>
              <w:t>Email/API/portal/upload/mobile/photo/spreadsheet/EDI adapters; retain original artifact and sender/source.</w:t>
            </w:r>
          </w:p>
        </w:tc>
      </w:tr>
      <w:tr>
        <w:tc>
          <w:tcPr>
            <w:tcW w:type="dxa" w:w="2016"/>
            <w:tcMar>
              <w:top w:w="50" w:type="dxa"/>
              <w:start w:w="55" w:type="dxa"/>
              <w:bottom w:w="50" w:type="dxa"/>
              <w:end w:w="55" w:type="dxa"/>
            </w:tcMar>
            <w:vAlign w:val="top"/>
          </w:tcPr>
          <w:p>
            <w:pPr>
              <w:spacing w:after="0"/>
            </w:pPr>
            <w:r>
              <w:rPr>
                <w:sz w:val="14"/>
              </w:rPr>
              <w:t>Classify</w:t>
            </w:r>
          </w:p>
        </w:tc>
        <w:tc>
          <w:tcPr>
            <w:tcW w:type="dxa" w:w="8784"/>
            <w:tcMar>
              <w:top w:w="50" w:type="dxa"/>
              <w:start w:w="55" w:type="dxa"/>
              <w:bottom w:w="50" w:type="dxa"/>
              <w:end w:w="55" w:type="dxa"/>
            </w:tcMar>
            <w:vAlign w:val="top"/>
          </w:tcPr>
          <w:p>
            <w:pPr>
              <w:spacing w:after="0"/>
            </w:pPr>
            <w:r>
              <w:rPr>
                <w:sz w:val="14"/>
              </w:rPr>
              <w:t>Identify customer/order type/document class and route uncertain documents to review.</w:t>
            </w:r>
          </w:p>
        </w:tc>
      </w:tr>
      <w:tr>
        <w:tc>
          <w:tcPr>
            <w:tcW w:type="dxa" w:w="2016"/>
            <w:tcMar>
              <w:top w:w="50" w:type="dxa"/>
              <w:start w:w="55" w:type="dxa"/>
              <w:bottom w:w="50" w:type="dxa"/>
              <w:end w:w="55" w:type="dxa"/>
            </w:tcMar>
            <w:vAlign w:val="top"/>
          </w:tcPr>
          <w:p>
            <w:pPr>
              <w:spacing w:after="0"/>
            </w:pPr>
            <w:r>
              <w:rPr>
                <w:sz w:val="14"/>
              </w:rPr>
              <w:t>Extract</w:t>
            </w:r>
          </w:p>
        </w:tc>
        <w:tc>
          <w:tcPr>
            <w:tcW w:type="dxa" w:w="8784"/>
            <w:tcMar>
              <w:top w:w="50" w:type="dxa"/>
              <w:start w:w="55" w:type="dxa"/>
              <w:bottom w:w="50" w:type="dxa"/>
              <w:end w:w="55" w:type="dxa"/>
            </w:tcMar>
            <w:vAlign w:val="top"/>
          </w:tcPr>
          <w:p>
            <w:pPr>
              <w:spacing w:after="0"/>
            </w:pPr>
            <w:r>
              <w:rPr>
                <w:sz w:val="14"/>
              </w:rPr>
              <w:t>OCR/layout/table extraction of PO number, dates, ship-to, line items, quantity/UOM, requested dates and remarks.</w:t>
            </w:r>
          </w:p>
        </w:tc>
      </w:tr>
      <w:tr>
        <w:tc>
          <w:tcPr>
            <w:tcW w:type="dxa" w:w="2016"/>
            <w:tcMar>
              <w:top w:w="50" w:type="dxa"/>
              <w:start w:w="55" w:type="dxa"/>
              <w:bottom w:w="50" w:type="dxa"/>
              <w:end w:w="55" w:type="dxa"/>
            </w:tcMar>
            <w:vAlign w:val="top"/>
          </w:tcPr>
          <w:p>
            <w:pPr>
              <w:spacing w:after="0"/>
            </w:pPr>
            <w:r>
              <w:rPr>
                <w:sz w:val="14"/>
              </w:rPr>
              <w:t>Resolve customer</w:t>
            </w:r>
          </w:p>
        </w:tc>
        <w:tc>
          <w:tcPr>
            <w:tcW w:type="dxa" w:w="8784"/>
            <w:tcMar>
              <w:top w:w="50" w:type="dxa"/>
              <w:start w:w="55" w:type="dxa"/>
              <w:bottom w:w="50" w:type="dxa"/>
              <w:end w:w="55" w:type="dxa"/>
            </w:tcMar>
            <w:vAlign w:val="top"/>
          </w:tcPr>
          <w:p>
            <w:pPr>
              <w:spacing w:after="0"/>
            </w:pPr>
            <w:r>
              <w:rPr>
                <w:sz w:val="14"/>
              </w:rPr>
              <w:t>Map trading name/address/code/GST/license context to canonical party and ship-to.</w:t>
            </w:r>
          </w:p>
        </w:tc>
      </w:tr>
      <w:tr>
        <w:tc>
          <w:tcPr>
            <w:tcW w:type="dxa" w:w="2016"/>
            <w:tcMar>
              <w:top w:w="50" w:type="dxa"/>
              <w:start w:w="55" w:type="dxa"/>
              <w:bottom w:w="50" w:type="dxa"/>
              <w:end w:w="55" w:type="dxa"/>
            </w:tcMar>
            <w:vAlign w:val="top"/>
          </w:tcPr>
          <w:p>
            <w:pPr>
              <w:spacing w:after="0"/>
            </w:pPr>
            <w:r>
              <w:rPr>
                <w:sz w:val="14"/>
              </w:rPr>
              <w:t>Resolve SKU</w:t>
            </w:r>
          </w:p>
        </w:tc>
        <w:tc>
          <w:tcPr>
            <w:tcW w:type="dxa" w:w="8784"/>
            <w:tcMar>
              <w:top w:w="50" w:type="dxa"/>
              <w:start w:w="55" w:type="dxa"/>
              <w:bottom w:w="50" w:type="dxa"/>
              <w:end w:w="55" w:type="dxa"/>
            </w:tcMar>
            <w:vAlign w:val="top"/>
          </w:tcPr>
          <w:p>
            <w:pPr>
              <w:spacing w:after="0"/>
            </w:pPr>
            <w:r>
              <w:rPr>
                <w:sz w:val="14"/>
              </w:rPr>
              <w:t>Candidate search using product code, brand/generic, strength, form, pack, historical ordering and customer catalog.</w:t>
            </w:r>
          </w:p>
        </w:tc>
      </w:tr>
      <w:tr>
        <w:tc>
          <w:tcPr>
            <w:tcW w:type="dxa" w:w="2016"/>
            <w:tcMar>
              <w:top w:w="50" w:type="dxa"/>
              <w:start w:w="55" w:type="dxa"/>
              <w:bottom w:w="50" w:type="dxa"/>
              <w:end w:w="55" w:type="dxa"/>
            </w:tcMar>
            <w:vAlign w:val="top"/>
          </w:tcPr>
          <w:p>
            <w:pPr>
              <w:spacing w:after="0"/>
            </w:pPr>
            <w:r>
              <w:rPr>
                <w:sz w:val="14"/>
              </w:rPr>
              <w:t>Normalize</w:t>
            </w:r>
          </w:p>
        </w:tc>
        <w:tc>
          <w:tcPr>
            <w:tcW w:type="dxa" w:w="8784"/>
            <w:tcMar>
              <w:top w:w="50" w:type="dxa"/>
              <w:start w:w="55" w:type="dxa"/>
              <w:bottom w:w="50" w:type="dxa"/>
              <w:end w:w="55" w:type="dxa"/>
            </w:tcMar>
            <w:vAlign w:val="top"/>
          </w:tcPr>
          <w:p>
            <w:pPr>
              <w:spacing w:after="0"/>
            </w:pPr>
            <w:r>
              <w:rPr>
                <w:sz w:val="14"/>
              </w:rPr>
              <w:t>UOM/pack conversion, case/piece quantities, ambiguous decimal/pack review.</w:t>
            </w:r>
          </w:p>
        </w:tc>
      </w:tr>
      <w:tr>
        <w:tc>
          <w:tcPr>
            <w:tcW w:type="dxa" w:w="2016"/>
            <w:tcMar>
              <w:top w:w="50" w:type="dxa"/>
              <w:start w:w="55" w:type="dxa"/>
              <w:bottom w:w="50" w:type="dxa"/>
              <w:end w:w="55" w:type="dxa"/>
            </w:tcMar>
            <w:vAlign w:val="top"/>
          </w:tcPr>
          <w:p>
            <w:pPr>
              <w:spacing w:after="0"/>
            </w:pPr>
            <w:r>
              <w:rPr>
                <w:sz w:val="14"/>
              </w:rPr>
              <w:t>Validate</w:t>
            </w:r>
          </w:p>
        </w:tc>
        <w:tc>
          <w:tcPr>
            <w:tcW w:type="dxa" w:w="8784"/>
            <w:tcMar>
              <w:top w:w="50" w:type="dxa"/>
              <w:start w:w="55" w:type="dxa"/>
              <w:bottom w:w="50" w:type="dxa"/>
              <w:end w:w="55" w:type="dxa"/>
            </w:tcMar>
            <w:vAlign w:val="top"/>
          </w:tcPr>
          <w:p>
            <w:pPr>
              <w:spacing w:after="0"/>
            </w:pPr>
            <w:r>
              <w:rPr>
                <w:sz w:val="14"/>
              </w:rPr>
              <w:t>Customer/license/status, contract, price, scheme, credit, restricted rules, duplicate, MOQ and serviceability.</w:t>
            </w:r>
          </w:p>
        </w:tc>
      </w:tr>
      <w:tr>
        <w:tc>
          <w:tcPr>
            <w:tcW w:type="dxa" w:w="2016"/>
            <w:tcMar>
              <w:top w:w="50" w:type="dxa"/>
              <w:start w:w="55" w:type="dxa"/>
              <w:bottom w:w="50" w:type="dxa"/>
              <w:end w:w="55" w:type="dxa"/>
            </w:tcMar>
            <w:vAlign w:val="top"/>
          </w:tcPr>
          <w:p>
            <w:pPr>
              <w:spacing w:after="0"/>
            </w:pPr>
            <w:r>
              <w:rPr>
                <w:sz w:val="14"/>
              </w:rPr>
              <w:t>Promise</w:t>
            </w:r>
          </w:p>
        </w:tc>
        <w:tc>
          <w:tcPr>
            <w:tcW w:type="dxa" w:w="8784"/>
            <w:tcMar>
              <w:top w:w="50" w:type="dxa"/>
              <w:start w:w="55" w:type="dxa"/>
              <w:bottom w:w="50" w:type="dxa"/>
              <w:end w:w="55" w:type="dxa"/>
            </w:tcMar>
            <w:vAlign w:val="top"/>
          </w:tcPr>
          <w:p>
            <w:pPr>
              <w:spacing w:after="0"/>
            </w:pPr>
            <w:r>
              <w:rPr>
                <w:sz w:val="14"/>
              </w:rPr>
              <w:t>ATP/ATS, batch/expiry policy, allocation priority, requested delivery and substitutions/backorders.</w:t>
            </w:r>
          </w:p>
        </w:tc>
      </w:tr>
      <w:tr>
        <w:tc>
          <w:tcPr>
            <w:tcW w:type="dxa" w:w="2016"/>
            <w:tcMar>
              <w:top w:w="50" w:type="dxa"/>
              <w:start w:w="55" w:type="dxa"/>
              <w:bottom w:w="50" w:type="dxa"/>
              <w:end w:w="55" w:type="dxa"/>
            </w:tcMar>
            <w:vAlign w:val="top"/>
          </w:tcPr>
          <w:p>
            <w:pPr>
              <w:spacing w:after="0"/>
            </w:pPr>
            <w:r>
              <w:rPr>
                <w:sz w:val="14"/>
              </w:rPr>
              <w:t>Exception</w:t>
            </w:r>
          </w:p>
        </w:tc>
        <w:tc>
          <w:tcPr>
            <w:tcW w:type="dxa" w:w="8784"/>
            <w:tcMar>
              <w:top w:w="50" w:type="dxa"/>
              <w:start w:w="55" w:type="dxa"/>
              <w:bottom w:w="50" w:type="dxa"/>
              <w:end w:w="55" w:type="dxa"/>
            </w:tcMar>
            <w:vAlign w:val="top"/>
          </w:tcPr>
          <w:p>
            <w:pPr>
              <w:spacing w:after="0"/>
            </w:pPr>
            <w:r>
              <w:rPr>
                <w:sz w:val="14"/>
              </w:rPr>
              <w:t>Confidence/rule failures surfaced with reason, evidence, candidate options and one-click correction; correction becomes learning data.</w:t>
            </w:r>
          </w:p>
        </w:tc>
      </w:tr>
      <w:tr>
        <w:tc>
          <w:tcPr>
            <w:tcW w:type="dxa" w:w="2016"/>
            <w:tcMar>
              <w:top w:w="50" w:type="dxa"/>
              <w:start w:w="55" w:type="dxa"/>
              <w:bottom w:w="50" w:type="dxa"/>
              <w:end w:w="55" w:type="dxa"/>
            </w:tcMar>
            <w:vAlign w:val="top"/>
          </w:tcPr>
          <w:p>
            <w:pPr>
              <w:spacing w:after="0"/>
            </w:pPr>
            <w:r>
              <w:rPr>
                <w:sz w:val="14"/>
              </w:rPr>
              <w:t>Commit</w:t>
            </w:r>
          </w:p>
        </w:tc>
        <w:tc>
          <w:tcPr>
            <w:tcW w:type="dxa" w:w="8784"/>
            <w:tcMar>
              <w:top w:w="50" w:type="dxa"/>
              <w:start w:w="55" w:type="dxa"/>
              <w:bottom w:w="50" w:type="dxa"/>
              <w:end w:w="55" w:type="dxa"/>
            </w:tcMar>
            <w:vAlign w:val="top"/>
          </w:tcPr>
          <w:p>
            <w:pPr>
              <w:spacing w:after="0"/>
            </w:pPr>
            <w:r>
              <w:rPr>
                <w:sz w:val="14"/>
              </w:rPr>
              <w:t>Approved sales order posted deterministically by Go transaction services; original document, extraction and human changes linked.</w:t>
            </w:r>
          </w:p>
        </w:tc>
      </w:tr>
      <w:tr>
        <w:tc>
          <w:tcPr>
            <w:tcW w:type="dxa" w:w="2016"/>
            <w:tcMar>
              <w:top w:w="50" w:type="dxa"/>
              <w:start w:w="55" w:type="dxa"/>
              <w:bottom w:w="50" w:type="dxa"/>
              <w:end w:w="55" w:type="dxa"/>
            </w:tcMar>
            <w:vAlign w:val="top"/>
          </w:tcPr>
          <w:p>
            <w:pPr>
              <w:spacing w:after="0"/>
            </w:pPr>
            <w:r>
              <w:rPr>
                <w:sz w:val="14"/>
              </w:rPr>
              <w:t>Fulfil</w:t>
            </w:r>
          </w:p>
        </w:tc>
        <w:tc>
          <w:tcPr>
            <w:tcW w:type="dxa" w:w="8784"/>
            <w:tcMar>
              <w:top w:w="50" w:type="dxa"/>
              <w:start w:w="55" w:type="dxa"/>
              <w:bottom w:w="50" w:type="dxa"/>
              <w:end w:w="55" w:type="dxa"/>
            </w:tcMar>
            <w:vAlign w:val="top"/>
          </w:tcPr>
          <w:p>
            <w:pPr>
              <w:spacing w:after="0"/>
            </w:pPr>
            <w:r>
              <w:rPr>
                <w:sz w:val="14"/>
              </w:rPr>
              <w:t>Wave/pick/scan/pack/invoice/dispatch/POD and partial shipment/backorder handling.</w:t>
            </w:r>
          </w:p>
        </w:tc>
      </w:tr>
      <w:tr>
        <w:tc>
          <w:tcPr>
            <w:tcW w:type="dxa" w:w="2016"/>
            <w:tcMar>
              <w:top w:w="50" w:type="dxa"/>
              <w:start w:w="55" w:type="dxa"/>
              <w:bottom w:w="50" w:type="dxa"/>
              <w:end w:w="55" w:type="dxa"/>
            </w:tcMar>
            <w:vAlign w:val="top"/>
          </w:tcPr>
          <w:p>
            <w:pPr>
              <w:spacing w:after="0"/>
            </w:pPr>
            <w:r>
              <w:rPr>
                <w:sz w:val="14"/>
              </w:rPr>
              <w:t>Settle</w:t>
            </w:r>
          </w:p>
        </w:tc>
        <w:tc>
          <w:tcPr>
            <w:tcW w:type="dxa" w:w="8784"/>
            <w:tcMar>
              <w:top w:w="50" w:type="dxa"/>
              <w:start w:w="55" w:type="dxa"/>
              <w:bottom w:w="50" w:type="dxa"/>
              <w:end w:w="55" w:type="dxa"/>
            </w:tcMar>
            <w:vAlign w:val="top"/>
          </w:tcPr>
          <w:p>
            <w:pPr>
              <w:spacing w:after="0"/>
            </w:pPr>
            <w:r>
              <w:rPr>
                <w:sz w:val="14"/>
              </w:rPr>
              <w:t>Receivable, payment allocation, short/excess/deduction, return/credit note and order profitability.</w:t>
            </w:r>
          </w:p>
        </w:tc>
      </w:tr>
    </w:tbl>
    <w:p>
      <w:pPr>
        <w:spacing w:after="20"/>
      </w:pPr>
    </w:p>
    <w:p>
      <w:pPr>
        <w:pStyle w:val="Heading1"/>
      </w:pPr>
      <w:r>
        <w:t>49. Diagnostic Network Marketplace and Advanced Diagnostics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ID</w:t>
            </w:r>
          </w:p>
        </w:tc>
        <w:tc>
          <w:tcPr>
            <w:tcW w:type="dxa" w:w="5083"/>
            <w:shd w:fill="D9EAF7"/>
            <w:tcMar>
              <w:top w:w="50" w:type="dxa"/>
              <w:start w:w="55" w:type="dxa"/>
              <w:bottom w:w="50" w:type="dxa"/>
              <w:end w:w="55" w:type="dxa"/>
            </w:tcMar>
          </w:tcPr>
          <w:p>
            <w:pPr>
              <w:spacing w:after="0"/>
            </w:pPr>
            <w:r>
              <w:rPr>
                <w:b/>
                <w:sz w:val="14"/>
              </w:rPr>
              <w:t>Requirement</w:t>
            </w:r>
          </w:p>
        </w:tc>
      </w:tr>
      <w:tr>
        <w:tc>
          <w:tcPr>
            <w:tcW w:type="dxa" w:w="1440"/>
            <w:tcMar>
              <w:top w:w="50" w:type="dxa"/>
              <w:start w:w="55" w:type="dxa"/>
              <w:bottom w:w="50" w:type="dxa"/>
              <w:end w:w="55" w:type="dxa"/>
            </w:tcMar>
            <w:vAlign w:val="top"/>
          </w:tcPr>
          <w:p>
            <w:pPr>
              <w:spacing w:after="0"/>
            </w:pPr>
            <w:r>
              <w:rPr>
                <w:sz w:val="14"/>
              </w:rPr>
              <w:t>DNX-001</w:t>
            </w:r>
          </w:p>
        </w:tc>
        <w:tc>
          <w:tcPr>
            <w:tcW w:type="dxa" w:w="9360"/>
            <w:tcMar>
              <w:top w:w="50" w:type="dxa"/>
              <w:start w:w="55" w:type="dxa"/>
              <w:bottom w:w="50" w:type="dxa"/>
              <w:end w:w="55" w:type="dxa"/>
            </w:tcMar>
            <w:vAlign w:val="top"/>
          </w:tcPr>
          <w:p>
            <w:pPr>
              <w:spacing w:after="0"/>
            </w:pPr>
            <w:r>
              <w:rPr>
                <w:sz w:val="14"/>
              </w:rPr>
              <w:t>Network directory of labs, radiology centers, collection centers, referral labs and mobile/home services with capability and accreditation metadata.</w:t>
            </w:r>
          </w:p>
        </w:tc>
      </w:tr>
      <w:tr>
        <w:tc>
          <w:tcPr>
            <w:tcW w:type="dxa" w:w="1440"/>
            <w:tcMar>
              <w:top w:w="50" w:type="dxa"/>
              <w:start w:w="55" w:type="dxa"/>
              <w:bottom w:w="50" w:type="dxa"/>
              <w:end w:w="55" w:type="dxa"/>
            </w:tcMar>
            <w:vAlign w:val="top"/>
          </w:tcPr>
          <w:p>
            <w:pPr>
              <w:spacing w:after="0"/>
            </w:pPr>
            <w:r>
              <w:rPr>
                <w:sz w:val="14"/>
              </w:rPr>
              <w:t>DNX-002</w:t>
            </w:r>
          </w:p>
        </w:tc>
        <w:tc>
          <w:tcPr>
            <w:tcW w:type="dxa" w:w="9360"/>
            <w:tcMar>
              <w:top w:w="50" w:type="dxa"/>
              <w:start w:w="55" w:type="dxa"/>
              <w:bottom w:w="50" w:type="dxa"/>
              <w:end w:w="55" w:type="dxa"/>
            </w:tcMar>
            <w:vAlign w:val="top"/>
          </w:tcPr>
          <w:p>
            <w:pPr>
              <w:spacing w:after="0"/>
            </w:pPr>
            <w:r>
              <w:rPr>
                <w:sz w:val="14"/>
              </w:rPr>
              <w:t>Routing policy considers test availability, patient location, price/contract, payer eligibility, turnaround target, sample stability and provider preference.</w:t>
            </w:r>
          </w:p>
        </w:tc>
      </w:tr>
      <w:tr>
        <w:tc>
          <w:tcPr>
            <w:tcW w:type="dxa" w:w="1440"/>
            <w:tcMar>
              <w:top w:w="50" w:type="dxa"/>
              <w:start w:w="55" w:type="dxa"/>
              <w:bottom w:w="50" w:type="dxa"/>
              <w:end w:w="55" w:type="dxa"/>
            </w:tcMar>
            <w:vAlign w:val="top"/>
          </w:tcPr>
          <w:p>
            <w:pPr>
              <w:spacing w:after="0"/>
            </w:pPr>
            <w:r>
              <w:rPr>
                <w:sz w:val="14"/>
              </w:rPr>
              <w:t>DNX-003</w:t>
            </w:r>
          </w:p>
        </w:tc>
        <w:tc>
          <w:tcPr>
            <w:tcW w:type="dxa" w:w="9360"/>
            <w:tcMar>
              <w:top w:w="50" w:type="dxa"/>
              <w:start w:w="55" w:type="dxa"/>
              <w:bottom w:w="50" w:type="dxa"/>
              <w:end w:w="55" w:type="dxa"/>
            </w:tcMar>
            <w:vAlign w:val="top"/>
          </w:tcPr>
          <w:p>
            <w:pPr>
              <w:spacing w:after="0"/>
            </w:pPr>
            <w:r>
              <w:rPr>
                <w:sz w:val="14"/>
              </w:rPr>
              <w:t>Split orders across providers only with explicit patient/provider visibility and specimen logistics controls.</w:t>
            </w:r>
          </w:p>
        </w:tc>
      </w:tr>
      <w:tr>
        <w:tc>
          <w:tcPr>
            <w:tcW w:type="dxa" w:w="1440"/>
            <w:tcMar>
              <w:top w:w="50" w:type="dxa"/>
              <w:start w:w="55" w:type="dxa"/>
              <w:bottom w:w="50" w:type="dxa"/>
              <w:end w:w="55" w:type="dxa"/>
            </w:tcMar>
            <w:vAlign w:val="top"/>
          </w:tcPr>
          <w:p>
            <w:pPr>
              <w:spacing w:after="0"/>
            </w:pPr>
            <w:r>
              <w:rPr>
                <w:sz w:val="14"/>
              </w:rPr>
              <w:t>DNX-004</w:t>
            </w:r>
          </w:p>
        </w:tc>
        <w:tc>
          <w:tcPr>
            <w:tcW w:type="dxa" w:w="9360"/>
            <w:tcMar>
              <w:top w:w="50" w:type="dxa"/>
              <w:start w:w="55" w:type="dxa"/>
              <w:bottom w:w="50" w:type="dxa"/>
              <w:end w:w="55" w:type="dxa"/>
            </w:tcMar>
            <w:vAlign w:val="top"/>
          </w:tcPr>
          <w:p>
            <w:pPr>
              <w:spacing w:after="0"/>
            </w:pPr>
            <w:r>
              <w:rPr>
                <w:sz w:val="14"/>
              </w:rPr>
              <w:t>Inter-lab referral settlement, markup/commission, specimen tracking and result provenance.</w:t>
            </w:r>
          </w:p>
        </w:tc>
      </w:tr>
      <w:tr>
        <w:tc>
          <w:tcPr>
            <w:tcW w:type="dxa" w:w="1440"/>
            <w:tcMar>
              <w:top w:w="50" w:type="dxa"/>
              <w:start w:w="55" w:type="dxa"/>
              <w:bottom w:w="50" w:type="dxa"/>
              <w:end w:w="55" w:type="dxa"/>
            </w:tcMar>
            <w:vAlign w:val="top"/>
          </w:tcPr>
          <w:p>
            <w:pPr>
              <w:spacing w:after="0"/>
            </w:pPr>
            <w:r>
              <w:rPr>
                <w:sz w:val="14"/>
              </w:rPr>
              <w:t>DNX-005</w:t>
            </w:r>
          </w:p>
        </w:tc>
        <w:tc>
          <w:tcPr>
            <w:tcW w:type="dxa" w:w="9360"/>
            <w:tcMar>
              <w:top w:w="50" w:type="dxa"/>
              <w:start w:w="55" w:type="dxa"/>
              <w:bottom w:w="50" w:type="dxa"/>
              <w:end w:w="55" w:type="dxa"/>
            </w:tcMar>
            <w:vAlign w:val="top"/>
          </w:tcPr>
          <w:p>
            <w:pPr>
              <w:spacing w:after="0"/>
            </w:pPr>
            <w:r>
              <w:rPr>
                <w:sz w:val="14"/>
              </w:rPr>
              <w:t>Digital pathology: whole-slide image reference/viewer integration, case routing, second opinion and remote sign-out where policy permits.</w:t>
            </w:r>
          </w:p>
        </w:tc>
      </w:tr>
      <w:tr>
        <w:tc>
          <w:tcPr>
            <w:tcW w:type="dxa" w:w="1440"/>
            <w:tcMar>
              <w:top w:w="50" w:type="dxa"/>
              <w:start w:w="55" w:type="dxa"/>
              <w:bottom w:w="50" w:type="dxa"/>
              <w:end w:w="55" w:type="dxa"/>
            </w:tcMar>
            <w:vAlign w:val="top"/>
          </w:tcPr>
          <w:p>
            <w:pPr>
              <w:spacing w:after="0"/>
            </w:pPr>
            <w:r>
              <w:rPr>
                <w:sz w:val="14"/>
              </w:rPr>
              <w:t>DNX-006</w:t>
            </w:r>
          </w:p>
        </w:tc>
        <w:tc>
          <w:tcPr>
            <w:tcW w:type="dxa" w:w="9360"/>
            <w:tcMar>
              <w:top w:w="50" w:type="dxa"/>
              <w:start w:w="55" w:type="dxa"/>
              <w:bottom w:w="50" w:type="dxa"/>
              <w:end w:w="55" w:type="dxa"/>
            </w:tcMar>
            <w:vAlign w:val="top"/>
          </w:tcPr>
          <w:p>
            <w:pPr>
              <w:spacing w:after="0"/>
            </w:pPr>
            <w:r>
              <w:rPr>
                <w:sz w:val="14"/>
              </w:rPr>
              <w:t>Teleradiology work allocation by modality/body part/subspecialty/SLA; priors access and critical finding escalation.</w:t>
            </w:r>
          </w:p>
        </w:tc>
      </w:tr>
      <w:tr>
        <w:tc>
          <w:tcPr>
            <w:tcW w:type="dxa" w:w="1440"/>
            <w:tcMar>
              <w:top w:w="50" w:type="dxa"/>
              <w:start w:w="55" w:type="dxa"/>
              <w:bottom w:w="50" w:type="dxa"/>
              <w:end w:w="55" w:type="dxa"/>
            </w:tcMar>
            <w:vAlign w:val="top"/>
          </w:tcPr>
          <w:p>
            <w:pPr>
              <w:spacing w:after="0"/>
            </w:pPr>
            <w:r>
              <w:rPr>
                <w:sz w:val="14"/>
              </w:rPr>
              <w:t>DNX-007</w:t>
            </w:r>
          </w:p>
        </w:tc>
        <w:tc>
          <w:tcPr>
            <w:tcW w:type="dxa" w:w="9360"/>
            <w:tcMar>
              <w:top w:w="50" w:type="dxa"/>
              <w:start w:w="55" w:type="dxa"/>
              <w:bottom w:w="50" w:type="dxa"/>
              <w:end w:w="55" w:type="dxa"/>
            </w:tcMar>
            <w:vAlign w:val="top"/>
          </w:tcPr>
          <w:p>
            <w:pPr>
              <w:spacing w:after="0"/>
            </w:pPr>
            <w:r>
              <w:rPr>
                <w:sz w:val="14"/>
              </w:rPr>
              <w:t>Genomics/molecular workflow: informed consent metadata, sample logistics, pipeline/report references, variant interpretation version and counseling workflow.</w:t>
            </w:r>
          </w:p>
        </w:tc>
      </w:tr>
      <w:tr>
        <w:tc>
          <w:tcPr>
            <w:tcW w:type="dxa" w:w="1440"/>
            <w:tcMar>
              <w:top w:w="50" w:type="dxa"/>
              <w:start w:w="55" w:type="dxa"/>
              <w:bottom w:w="50" w:type="dxa"/>
              <w:end w:w="55" w:type="dxa"/>
            </w:tcMar>
            <w:vAlign w:val="top"/>
          </w:tcPr>
          <w:p>
            <w:pPr>
              <w:spacing w:after="0"/>
            </w:pPr>
            <w:r>
              <w:rPr>
                <w:sz w:val="14"/>
              </w:rPr>
              <w:t>DNX-008</w:t>
            </w:r>
          </w:p>
        </w:tc>
        <w:tc>
          <w:tcPr>
            <w:tcW w:type="dxa" w:w="9360"/>
            <w:tcMar>
              <w:top w:w="50" w:type="dxa"/>
              <w:start w:w="55" w:type="dxa"/>
              <w:bottom w:w="50" w:type="dxa"/>
              <w:end w:w="55" w:type="dxa"/>
            </w:tcMar>
            <w:vAlign w:val="top"/>
          </w:tcPr>
          <w:p>
            <w:pPr>
              <w:spacing w:after="0"/>
            </w:pPr>
            <w:r>
              <w:rPr>
                <w:sz w:val="14"/>
              </w:rPr>
              <w:t>Structured reporting templates and discrete finding extraction for longitudinal analytics while preserving signed narrative.</w:t>
            </w:r>
          </w:p>
        </w:tc>
      </w:tr>
    </w:tbl>
    <w:p>
      <w:pPr>
        <w:spacing w:after="20"/>
      </w:pPr>
    </w:p>
    <w:p>
      <w:pPr>
        <w:pStyle w:val="Heading1"/>
      </w:pPr>
      <w:r>
        <w:t>50. Insurance Rules, Revenue Integrity and Claims Intelligence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ID</w:t>
            </w:r>
          </w:p>
        </w:tc>
        <w:tc>
          <w:tcPr>
            <w:tcW w:type="dxa" w:w="5083"/>
            <w:shd w:fill="D9EAF7"/>
            <w:tcMar>
              <w:top w:w="50" w:type="dxa"/>
              <w:start w:w="55" w:type="dxa"/>
              <w:bottom w:w="50" w:type="dxa"/>
              <w:end w:w="55" w:type="dxa"/>
            </w:tcMar>
          </w:tcPr>
          <w:p>
            <w:pPr>
              <w:spacing w:after="0"/>
            </w:pPr>
            <w:r>
              <w:rPr>
                <w:b/>
                <w:sz w:val="14"/>
              </w:rPr>
              <w:t>Requirement</w:t>
            </w:r>
          </w:p>
        </w:tc>
      </w:tr>
      <w:tr>
        <w:tc>
          <w:tcPr>
            <w:tcW w:type="dxa" w:w="1440"/>
            <w:tcMar>
              <w:top w:w="50" w:type="dxa"/>
              <w:start w:w="55" w:type="dxa"/>
              <w:bottom w:w="50" w:type="dxa"/>
              <w:end w:w="55" w:type="dxa"/>
            </w:tcMar>
            <w:vAlign w:val="top"/>
          </w:tcPr>
          <w:p>
            <w:pPr>
              <w:spacing w:after="0"/>
            </w:pPr>
            <w:r>
              <w:rPr>
                <w:sz w:val="14"/>
              </w:rPr>
              <w:t>RCM-001</w:t>
            </w:r>
          </w:p>
        </w:tc>
        <w:tc>
          <w:tcPr>
            <w:tcW w:type="dxa" w:w="9360"/>
            <w:tcMar>
              <w:top w:w="50" w:type="dxa"/>
              <w:start w:w="55" w:type="dxa"/>
              <w:bottom w:w="50" w:type="dxa"/>
              <w:end w:w="55" w:type="dxa"/>
            </w:tcMar>
            <w:vAlign w:val="top"/>
          </w:tcPr>
          <w:p>
            <w:pPr>
              <w:spacing w:after="0"/>
            </w:pPr>
            <w:r>
              <w:rPr>
                <w:sz w:val="14"/>
              </w:rPr>
              <w:t>Benefit/rule model for package, room entitlement, copay, deductible, sublimit, exclusion, waiting period and authorization requirement.</w:t>
            </w:r>
          </w:p>
        </w:tc>
      </w:tr>
      <w:tr>
        <w:tc>
          <w:tcPr>
            <w:tcW w:type="dxa" w:w="1440"/>
            <w:tcMar>
              <w:top w:w="50" w:type="dxa"/>
              <w:start w:w="55" w:type="dxa"/>
              <w:bottom w:w="50" w:type="dxa"/>
              <w:end w:w="55" w:type="dxa"/>
            </w:tcMar>
            <w:vAlign w:val="top"/>
          </w:tcPr>
          <w:p>
            <w:pPr>
              <w:spacing w:after="0"/>
            </w:pPr>
            <w:r>
              <w:rPr>
                <w:sz w:val="14"/>
              </w:rPr>
              <w:t>RCM-002</w:t>
            </w:r>
          </w:p>
        </w:tc>
        <w:tc>
          <w:tcPr>
            <w:tcW w:type="dxa" w:w="9360"/>
            <w:tcMar>
              <w:top w:w="50" w:type="dxa"/>
              <w:start w:w="55" w:type="dxa"/>
              <w:bottom w:w="50" w:type="dxa"/>
              <w:end w:w="55" w:type="dxa"/>
            </w:tcMar>
            <w:vAlign w:val="top"/>
          </w:tcPr>
          <w:p>
            <w:pPr>
              <w:spacing w:after="0"/>
            </w:pPr>
            <w:r>
              <w:rPr>
                <w:sz w:val="14"/>
              </w:rPr>
              <w:t>Pre-service estimate separates gross charge, contracted allowance, insurer expected amount and patient expected liability.</w:t>
            </w:r>
          </w:p>
        </w:tc>
      </w:tr>
      <w:tr>
        <w:tc>
          <w:tcPr>
            <w:tcW w:type="dxa" w:w="1440"/>
            <w:tcMar>
              <w:top w:w="50" w:type="dxa"/>
              <w:start w:w="55" w:type="dxa"/>
              <w:bottom w:w="50" w:type="dxa"/>
              <w:end w:w="55" w:type="dxa"/>
            </w:tcMar>
            <w:vAlign w:val="top"/>
          </w:tcPr>
          <w:p>
            <w:pPr>
              <w:spacing w:after="0"/>
            </w:pPr>
            <w:r>
              <w:rPr>
                <w:sz w:val="14"/>
              </w:rPr>
              <w:t>RCM-003</w:t>
            </w:r>
          </w:p>
        </w:tc>
        <w:tc>
          <w:tcPr>
            <w:tcW w:type="dxa" w:w="9360"/>
            <w:tcMar>
              <w:top w:w="50" w:type="dxa"/>
              <w:start w:w="55" w:type="dxa"/>
              <w:bottom w:w="50" w:type="dxa"/>
              <w:end w:w="55" w:type="dxa"/>
            </w:tcMar>
            <w:vAlign w:val="top"/>
          </w:tcPr>
          <w:p>
            <w:pPr>
              <w:spacing w:after="0"/>
            </w:pPr>
            <w:r>
              <w:rPr>
                <w:sz w:val="14"/>
              </w:rPr>
              <w:t>Medical necessity/coding/document checklist engine configurable by payer/plan/procedure; advisory until rules are contractually validated.</w:t>
            </w:r>
          </w:p>
        </w:tc>
      </w:tr>
      <w:tr>
        <w:tc>
          <w:tcPr>
            <w:tcW w:type="dxa" w:w="1440"/>
            <w:tcMar>
              <w:top w:w="50" w:type="dxa"/>
              <w:start w:w="55" w:type="dxa"/>
              <w:bottom w:w="50" w:type="dxa"/>
              <w:end w:w="55" w:type="dxa"/>
            </w:tcMar>
            <w:vAlign w:val="top"/>
          </w:tcPr>
          <w:p>
            <w:pPr>
              <w:spacing w:after="0"/>
            </w:pPr>
            <w:r>
              <w:rPr>
                <w:sz w:val="14"/>
              </w:rPr>
              <w:t>RCM-004</w:t>
            </w:r>
          </w:p>
        </w:tc>
        <w:tc>
          <w:tcPr>
            <w:tcW w:type="dxa" w:w="9360"/>
            <w:tcMar>
              <w:top w:w="50" w:type="dxa"/>
              <w:start w:w="55" w:type="dxa"/>
              <w:bottom w:w="50" w:type="dxa"/>
              <w:end w:w="55" w:type="dxa"/>
            </w:tcMar>
            <w:vAlign w:val="top"/>
          </w:tcPr>
          <w:p>
            <w:pPr>
              <w:spacing w:after="0"/>
            </w:pPr>
            <w:r>
              <w:rPr>
                <w:sz w:val="14"/>
              </w:rPr>
              <w:t>Package utilization tracking: included/excluded items, implant caps, room/ICU days, excess use and carve-outs.</w:t>
            </w:r>
          </w:p>
        </w:tc>
      </w:tr>
      <w:tr>
        <w:tc>
          <w:tcPr>
            <w:tcW w:type="dxa" w:w="1440"/>
            <w:tcMar>
              <w:top w:w="50" w:type="dxa"/>
              <w:start w:w="55" w:type="dxa"/>
              <w:bottom w:w="50" w:type="dxa"/>
              <w:end w:w="55" w:type="dxa"/>
            </w:tcMar>
            <w:vAlign w:val="top"/>
          </w:tcPr>
          <w:p>
            <w:pPr>
              <w:spacing w:after="0"/>
            </w:pPr>
            <w:r>
              <w:rPr>
                <w:sz w:val="14"/>
              </w:rPr>
              <w:t>RCM-005</w:t>
            </w:r>
          </w:p>
        </w:tc>
        <w:tc>
          <w:tcPr>
            <w:tcW w:type="dxa" w:w="9360"/>
            <w:tcMar>
              <w:top w:w="50" w:type="dxa"/>
              <w:start w:w="55" w:type="dxa"/>
              <w:bottom w:w="50" w:type="dxa"/>
              <w:end w:w="55" w:type="dxa"/>
            </w:tcMar>
            <w:vAlign w:val="top"/>
          </w:tcPr>
          <w:p>
            <w:pPr>
              <w:spacing w:after="0"/>
            </w:pPr>
            <w:r>
              <w:rPr>
                <w:sz w:val="14"/>
              </w:rPr>
              <w:t>Claim scrubber computes missing fields/documents, authorization mismatch, coding conflicts, duplicate services and likely denial risks.</w:t>
            </w:r>
          </w:p>
        </w:tc>
      </w:tr>
      <w:tr>
        <w:tc>
          <w:tcPr>
            <w:tcW w:type="dxa" w:w="1440"/>
            <w:tcMar>
              <w:top w:w="50" w:type="dxa"/>
              <w:start w:w="55" w:type="dxa"/>
              <w:bottom w:w="50" w:type="dxa"/>
              <w:end w:w="55" w:type="dxa"/>
            </w:tcMar>
            <w:vAlign w:val="top"/>
          </w:tcPr>
          <w:p>
            <w:pPr>
              <w:spacing w:after="0"/>
            </w:pPr>
            <w:r>
              <w:rPr>
                <w:sz w:val="14"/>
              </w:rPr>
              <w:t>RCM-006</w:t>
            </w:r>
          </w:p>
        </w:tc>
        <w:tc>
          <w:tcPr>
            <w:tcW w:type="dxa" w:w="9360"/>
            <w:tcMar>
              <w:top w:w="50" w:type="dxa"/>
              <w:start w:w="55" w:type="dxa"/>
              <w:bottom w:w="50" w:type="dxa"/>
              <w:end w:w="55" w:type="dxa"/>
            </w:tcMar>
            <w:vAlign w:val="top"/>
          </w:tcPr>
          <w:p>
            <w:pPr>
              <w:spacing w:after="0"/>
            </w:pPr>
            <w:r>
              <w:rPr>
                <w:sz w:val="14"/>
              </w:rPr>
              <w:t>Denial knowledge base: reason normalization, root cause, responsible process, recoverability, appeal template and prevention action.</w:t>
            </w:r>
          </w:p>
        </w:tc>
      </w:tr>
      <w:tr>
        <w:tc>
          <w:tcPr>
            <w:tcW w:type="dxa" w:w="1440"/>
            <w:tcMar>
              <w:top w:w="50" w:type="dxa"/>
              <w:start w:w="55" w:type="dxa"/>
              <w:bottom w:w="50" w:type="dxa"/>
              <w:end w:w="55" w:type="dxa"/>
            </w:tcMar>
            <w:vAlign w:val="top"/>
          </w:tcPr>
          <w:p>
            <w:pPr>
              <w:spacing w:after="0"/>
            </w:pPr>
            <w:r>
              <w:rPr>
                <w:sz w:val="14"/>
              </w:rPr>
              <w:t>RCM-007</w:t>
            </w:r>
          </w:p>
        </w:tc>
        <w:tc>
          <w:tcPr>
            <w:tcW w:type="dxa" w:w="9360"/>
            <w:tcMar>
              <w:top w:w="50" w:type="dxa"/>
              <w:start w:w="55" w:type="dxa"/>
              <w:bottom w:w="50" w:type="dxa"/>
              <w:end w:w="55" w:type="dxa"/>
            </w:tcMar>
            <w:vAlign w:val="top"/>
          </w:tcPr>
          <w:p>
            <w:pPr>
              <w:spacing w:after="0"/>
            </w:pPr>
            <w:r>
              <w:rPr>
                <w:sz w:val="14"/>
              </w:rPr>
              <w:t>Revenue integrity workbench for unbilled services, late charges, charge anomalies, missing implants/consumables and documentation gaps.</w:t>
            </w:r>
          </w:p>
        </w:tc>
      </w:tr>
      <w:tr>
        <w:tc>
          <w:tcPr>
            <w:tcW w:type="dxa" w:w="1440"/>
            <w:tcMar>
              <w:top w:w="50" w:type="dxa"/>
              <w:start w:w="55" w:type="dxa"/>
              <w:bottom w:w="50" w:type="dxa"/>
              <w:end w:w="55" w:type="dxa"/>
            </w:tcMar>
            <w:vAlign w:val="top"/>
          </w:tcPr>
          <w:p>
            <w:pPr>
              <w:spacing w:after="0"/>
            </w:pPr>
            <w:r>
              <w:rPr>
                <w:sz w:val="14"/>
              </w:rPr>
              <w:t>RCM-008</w:t>
            </w:r>
          </w:p>
        </w:tc>
        <w:tc>
          <w:tcPr>
            <w:tcW w:type="dxa" w:w="9360"/>
            <w:tcMar>
              <w:top w:w="50" w:type="dxa"/>
              <w:start w:w="55" w:type="dxa"/>
              <w:bottom w:w="50" w:type="dxa"/>
              <w:end w:w="55" w:type="dxa"/>
            </w:tcMar>
            <w:vAlign w:val="top"/>
          </w:tcPr>
          <w:p>
            <w:pPr>
              <w:spacing w:after="0"/>
            </w:pPr>
            <w:r>
              <w:rPr>
                <w:sz w:val="14"/>
              </w:rPr>
              <w:t>Payer contract modeling, effective dates, simulation and post-payment contract variance audit.</w:t>
            </w:r>
          </w:p>
        </w:tc>
      </w:tr>
      <w:tr>
        <w:tc>
          <w:tcPr>
            <w:tcW w:type="dxa" w:w="1440"/>
            <w:tcMar>
              <w:top w:w="50" w:type="dxa"/>
              <w:start w:w="55" w:type="dxa"/>
              <w:bottom w:w="50" w:type="dxa"/>
              <w:end w:w="55" w:type="dxa"/>
            </w:tcMar>
            <w:vAlign w:val="top"/>
          </w:tcPr>
          <w:p>
            <w:pPr>
              <w:spacing w:after="0"/>
            </w:pPr>
            <w:r>
              <w:rPr>
                <w:sz w:val="14"/>
              </w:rPr>
              <w:t>RCM-009</w:t>
            </w:r>
          </w:p>
        </w:tc>
        <w:tc>
          <w:tcPr>
            <w:tcW w:type="dxa" w:w="9360"/>
            <w:tcMar>
              <w:top w:w="50" w:type="dxa"/>
              <w:start w:w="55" w:type="dxa"/>
              <w:bottom w:w="50" w:type="dxa"/>
              <w:end w:w="55" w:type="dxa"/>
            </w:tcMar>
            <w:vAlign w:val="top"/>
          </w:tcPr>
          <w:p>
            <w:pPr>
              <w:spacing w:after="0"/>
            </w:pPr>
            <w:r>
              <w:rPr>
                <w:sz w:val="14"/>
              </w:rPr>
              <w:t>Fraud/waste/abuse anomaly detection is risk scoring only; investigation and adverse decisions require authorized human review.</w:t>
            </w:r>
          </w:p>
        </w:tc>
      </w:tr>
    </w:tbl>
    <w:p>
      <w:pPr>
        <w:spacing w:after="20"/>
      </w:pPr>
    </w:p>
    <w:p>
      <w:pPr>
        <w:pStyle w:val="Heading1"/>
      </w:pPr>
      <w:r>
        <w:t>51. Enterprise Rules, Workflow and Low-Code Configuration Platform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ID</w:t>
            </w:r>
          </w:p>
        </w:tc>
        <w:tc>
          <w:tcPr>
            <w:tcW w:type="dxa" w:w="5083"/>
            <w:shd w:fill="D9EAF7"/>
            <w:tcMar>
              <w:top w:w="50" w:type="dxa"/>
              <w:start w:w="55" w:type="dxa"/>
              <w:bottom w:w="50" w:type="dxa"/>
              <w:end w:w="55" w:type="dxa"/>
            </w:tcMar>
          </w:tcPr>
          <w:p>
            <w:pPr>
              <w:spacing w:after="0"/>
            </w:pPr>
            <w:r>
              <w:rPr>
                <w:b/>
                <w:sz w:val="14"/>
              </w:rPr>
              <w:t>Requirement</w:t>
            </w:r>
          </w:p>
        </w:tc>
      </w:tr>
      <w:tr>
        <w:tc>
          <w:tcPr>
            <w:tcW w:type="dxa" w:w="1440"/>
            <w:tcMar>
              <w:top w:w="50" w:type="dxa"/>
              <w:start w:w="55" w:type="dxa"/>
              <w:bottom w:w="50" w:type="dxa"/>
              <w:end w:w="55" w:type="dxa"/>
            </w:tcMar>
            <w:vAlign w:val="top"/>
          </w:tcPr>
          <w:p>
            <w:pPr>
              <w:spacing w:after="0"/>
            </w:pPr>
            <w:r>
              <w:rPr>
                <w:sz w:val="14"/>
              </w:rPr>
              <w:t>RULE-001</w:t>
            </w:r>
          </w:p>
        </w:tc>
        <w:tc>
          <w:tcPr>
            <w:tcW w:type="dxa" w:w="9360"/>
            <w:tcMar>
              <w:top w:w="50" w:type="dxa"/>
              <w:start w:w="55" w:type="dxa"/>
              <w:bottom w:w="50" w:type="dxa"/>
              <w:end w:w="55" w:type="dxa"/>
            </w:tcMar>
            <w:vAlign w:val="top"/>
          </w:tcPr>
          <w:p>
            <w:pPr>
              <w:spacing w:after="0"/>
            </w:pPr>
            <w:r>
              <w:rPr>
                <w:sz w:val="14"/>
              </w:rPr>
              <w:t>Versioned rule engine for tariffs, approvals, clinical reminders, payer edits, pharmacy schemes, lab reflex rules and operational routing.</w:t>
            </w:r>
          </w:p>
        </w:tc>
      </w:tr>
      <w:tr>
        <w:tc>
          <w:tcPr>
            <w:tcW w:type="dxa" w:w="1440"/>
            <w:tcMar>
              <w:top w:w="50" w:type="dxa"/>
              <w:start w:w="55" w:type="dxa"/>
              <w:bottom w:w="50" w:type="dxa"/>
              <w:end w:w="55" w:type="dxa"/>
            </w:tcMar>
            <w:vAlign w:val="top"/>
          </w:tcPr>
          <w:p>
            <w:pPr>
              <w:spacing w:after="0"/>
            </w:pPr>
            <w:r>
              <w:rPr>
                <w:sz w:val="14"/>
              </w:rPr>
              <w:t>RULE-002</w:t>
            </w:r>
          </w:p>
        </w:tc>
        <w:tc>
          <w:tcPr>
            <w:tcW w:type="dxa" w:w="9360"/>
            <w:tcMar>
              <w:top w:w="50" w:type="dxa"/>
              <w:start w:w="55" w:type="dxa"/>
              <w:bottom w:w="50" w:type="dxa"/>
              <w:end w:w="55" w:type="dxa"/>
            </w:tcMar>
            <w:vAlign w:val="top"/>
          </w:tcPr>
          <w:p>
            <w:pPr>
              <w:spacing w:after="0"/>
            </w:pPr>
            <w:r>
              <w:rPr>
                <w:sz w:val="14"/>
              </w:rPr>
              <w:t>Rules support effective dates, scope, priority, conditions, actions, test cases, simulation, maker-checker and rollback.</w:t>
            </w:r>
          </w:p>
        </w:tc>
      </w:tr>
      <w:tr>
        <w:tc>
          <w:tcPr>
            <w:tcW w:type="dxa" w:w="1440"/>
            <w:tcMar>
              <w:top w:w="50" w:type="dxa"/>
              <w:start w:w="55" w:type="dxa"/>
              <w:bottom w:w="50" w:type="dxa"/>
              <w:end w:w="55" w:type="dxa"/>
            </w:tcMar>
            <w:vAlign w:val="top"/>
          </w:tcPr>
          <w:p>
            <w:pPr>
              <w:spacing w:after="0"/>
            </w:pPr>
            <w:r>
              <w:rPr>
                <w:sz w:val="14"/>
              </w:rPr>
              <w:t>BPM-001</w:t>
            </w:r>
          </w:p>
        </w:tc>
        <w:tc>
          <w:tcPr>
            <w:tcW w:type="dxa" w:w="9360"/>
            <w:tcMar>
              <w:top w:w="50" w:type="dxa"/>
              <w:start w:w="55" w:type="dxa"/>
              <w:bottom w:w="50" w:type="dxa"/>
              <w:end w:w="55" w:type="dxa"/>
            </w:tcMar>
            <w:vAlign w:val="top"/>
          </w:tcPr>
          <w:p>
            <w:pPr>
              <w:spacing w:after="0"/>
            </w:pPr>
            <w:r>
              <w:rPr>
                <w:sz w:val="14"/>
              </w:rPr>
              <w:t>Visual workflow definition for states, tasks, timers, escalation, branching, approvals, sub-workflows, compensation and external signals.</w:t>
            </w:r>
          </w:p>
        </w:tc>
      </w:tr>
      <w:tr>
        <w:tc>
          <w:tcPr>
            <w:tcW w:type="dxa" w:w="1440"/>
            <w:tcMar>
              <w:top w:w="50" w:type="dxa"/>
              <w:start w:w="55" w:type="dxa"/>
              <w:bottom w:w="50" w:type="dxa"/>
              <w:end w:w="55" w:type="dxa"/>
            </w:tcMar>
            <w:vAlign w:val="top"/>
          </w:tcPr>
          <w:p>
            <w:pPr>
              <w:spacing w:after="0"/>
            </w:pPr>
            <w:r>
              <w:rPr>
                <w:sz w:val="14"/>
              </w:rPr>
              <w:t>BPM-002</w:t>
            </w:r>
          </w:p>
        </w:tc>
        <w:tc>
          <w:tcPr>
            <w:tcW w:type="dxa" w:w="9360"/>
            <w:tcMar>
              <w:top w:w="50" w:type="dxa"/>
              <w:start w:w="55" w:type="dxa"/>
              <w:bottom w:w="50" w:type="dxa"/>
              <w:end w:w="55" w:type="dxa"/>
            </w:tcMar>
            <w:vAlign w:val="top"/>
          </w:tcPr>
          <w:p>
            <w:pPr>
              <w:spacing w:after="0"/>
            </w:pPr>
            <w:r>
              <w:rPr>
                <w:sz w:val="14"/>
              </w:rPr>
              <w:t>Every running workflow binds to a definition version; changing a definition does not silently mutate historical instances.</w:t>
            </w:r>
          </w:p>
        </w:tc>
      </w:tr>
      <w:tr>
        <w:tc>
          <w:tcPr>
            <w:tcW w:type="dxa" w:w="1440"/>
            <w:tcMar>
              <w:top w:w="50" w:type="dxa"/>
              <w:start w:w="55" w:type="dxa"/>
              <w:bottom w:w="50" w:type="dxa"/>
              <w:end w:w="55" w:type="dxa"/>
            </w:tcMar>
            <w:vAlign w:val="top"/>
          </w:tcPr>
          <w:p>
            <w:pPr>
              <w:spacing w:after="0"/>
            </w:pPr>
            <w:r>
              <w:rPr>
                <w:sz w:val="14"/>
              </w:rPr>
              <w:t>FORM-001</w:t>
            </w:r>
          </w:p>
        </w:tc>
        <w:tc>
          <w:tcPr>
            <w:tcW w:type="dxa" w:w="9360"/>
            <w:tcMar>
              <w:top w:w="50" w:type="dxa"/>
              <w:start w:w="55" w:type="dxa"/>
              <w:bottom w:w="50" w:type="dxa"/>
              <w:end w:w="55" w:type="dxa"/>
            </w:tcMar>
            <w:vAlign w:val="top"/>
          </w:tcPr>
          <w:p>
            <w:pPr>
              <w:spacing w:after="0"/>
            </w:pPr>
            <w:r>
              <w:rPr>
                <w:sz w:val="14"/>
              </w:rPr>
              <w:t>Low-code schema form builder with field types, terminology binding, validation, formulas, conditional visibility, repeaters, attachments and signatures.</w:t>
            </w:r>
          </w:p>
        </w:tc>
      </w:tr>
      <w:tr>
        <w:tc>
          <w:tcPr>
            <w:tcW w:type="dxa" w:w="1440"/>
            <w:tcMar>
              <w:top w:w="50" w:type="dxa"/>
              <w:start w:w="55" w:type="dxa"/>
              <w:bottom w:w="50" w:type="dxa"/>
              <w:end w:w="55" w:type="dxa"/>
            </w:tcMar>
            <w:vAlign w:val="top"/>
          </w:tcPr>
          <w:p>
            <w:pPr>
              <w:spacing w:after="0"/>
            </w:pPr>
            <w:r>
              <w:rPr>
                <w:sz w:val="14"/>
              </w:rPr>
              <w:t>FORM-002</w:t>
            </w:r>
          </w:p>
        </w:tc>
        <w:tc>
          <w:tcPr>
            <w:tcW w:type="dxa" w:w="9360"/>
            <w:tcMar>
              <w:top w:w="50" w:type="dxa"/>
              <w:start w:w="55" w:type="dxa"/>
              <w:bottom w:w="50" w:type="dxa"/>
              <w:end w:w="55" w:type="dxa"/>
            </w:tcMar>
            <w:vAlign w:val="top"/>
          </w:tcPr>
          <w:p>
            <w:pPr>
              <w:spacing w:after="0"/>
            </w:pPr>
            <w:r>
              <w:rPr>
                <w:sz w:val="14"/>
              </w:rPr>
              <w:t>Forms may generate structured observations, tasks or documents only through governed mappings; arbitrary scripts are prohibited in clinical production forms.</w:t>
            </w:r>
          </w:p>
        </w:tc>
      </w:tr>
      <w:tr>
        <w:tc>
          <w:tcPr>
            <w:tcW w:type="dxa" w:w="1440"/>
            <w:tcMar>
              <w:top w:w="50" w:type="dxa"/>
              <w:start w:w="55" w:type="dxa"/>
              <w:bottom w:w="50" w:type="dxa"/>
              <w:end w:w="55" w:type="dxa"/>
            </w:tcMar>
            <w:vAlign w:val="top"/>
          </w:tcPr>
          <w:p>
            <w:pPr>
              <w:spacing w:after="0"/>
            </w:pPr>
            <w:r>
              <w:rPr>
                <w:sz w:val="14"/>
              </w:rPr>
              <w:t>CFG-001</w:t>
            </w:r>
          </w:p>
        </w:tc>
        <w:tc>
          <w:tcPr>
            <w:tcW w:type="dxa" w:w="9360"/>
            <w:tcMar>
              <w:top w:w="50" w:type="dxa"/>
              <w:start w:w="55" w:type="dxa"/>
              <w:bottom w:w="50" w:type="dxa"/>
              <w:end w:w="55" w:type="dxa"/>
            </w:tcMar>
            <w:vAlign w:val="top"/>
          </w:tcPr>
          <w:p>
            <w:pPr>
              <w:spacing w:after="0"/>
            </w:pPr>
            <w:r>
              <w:rPr>
                <w:sz w:val="14"/>
              </w:rPr>
              <w:t>Configuration promotion DEV -&gt; TEST -&gt; UAT -&gt; PROD with diff, approval, package/export/import and rollback.</w:t>
            </w:r>
          </w:p>
        </w:tc>
      </w:tr>
    </w:tbl>
    <w:p>
      <w:pPr>
        <w:spacing w:after="20"/>
      </w:pPr>
    </w:p>
    <w:p>
      <w:pPr>
        <w:pStyle w:val="Heading1"/>
      </w:pPr>
      <w:r>
        <w:t>52. Enterprise Master Patient Index and Terminology Services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ID</w:t>
            </w:r>
          </w:p>
        </w:tc>
        <w:tc>
          <w:tcPr>
            <w:tcW w:type="dxa" w:w="5083"/>
            <w:shd w:fill="D9EAF7"/>
            <w:tcMar>
              <w:top w:w="50" w:type="dxa"/>
              <w:start w:w="55" w:type="dxa"/>
              <w:bottom w:w="50" w:type="dxa"/>
              <w:end w:w="55" w:type="dxa"/>
            </w:tcMar>
          </w:tcPr>
          <w:p>
            <w:pPr>
              <w:spacing w:after="0"/>
            </w:pPr>
            <w:r>
              <w:rPr>
                <w:b/>
                <w:sz w:val="14"/>
              </w:rPr>
              <w:t>Requirement</w:t>
            </w:r>
          </w:p>
        </w:tc>
      </w:tr>
      <w:tr>
        <w:tc>
          <w:tcPr>
            <w:tcW w:type="dxa" w:w="1440"/>
            <w:tcMar>
              <w:top w:w="50" w:type="dxa"/>
              <w:start w:w="55" w:type="dxa"/>
              <w:bottom w:w="50" w:type="dxa"/>
              <w:end w:w="55" w:type="dxa"/>
            </w:tcMar>
            <w:vAlign w:val="top"/>
          </w:tcPr>
          <w:p>
            <w:pPr>
              <w:spacing w:after="0"/>
            </w:pPr>
            <w:r>
              <w:rPr>
                <w:sz w:val="14"/>
              </w:rPr>
              <w:t>EMPI-001</w:t>
            </w:r>
          </w:p>
        </w:tc>
        <w:tc>
          <w:tcPr>
            <w:tcW w:type="dxa" w:w="9360"/>
            <w:tcMar>
              <w:top w:w="50" w:type="dxa"/>
              <w:start w:w="55" w:type="dxa"/>
              <w:bottom w:w="50" w:type="dxa"/>
              <w:end w:w="55" w:type="dxa"/>
            </w:tcMar>
            <w:vAlign w:val="top"/>
          </w:tcPr>
          <w:p>
            <w:pPr>
              <w:spacing w:after="0"/>
            </w:pPr>
            <w:r>
              <w:rPr>
                <w:sz w:val="14"/>
              </w:rPr>
              <w:t>Deterministic and probabilistic patient matching using configured identifiers/demographic features; confidence thresholds and human review.</w:t>
            </w:r>
          </w:p>
        </w:tc>
      </w:tr>
      <w:tr>
        <w:tc>
          <w:tcPr>
            <w:tcW w:type="dxa" w:w="1440"/>
            <w:tcMar>
              <w:top w:w="50" w:type="dxa"/>
              <w:start w:w="55" w:type="dxa"/>
              <w:bottom w:w="50" w:type="dxa"/>
              <w:end w:w="55" w:type="dxa"/>
            </w:tcMar>
            <w:vAlign w:val="top"/>
          </w:tcPr>
          <w:p>
            <w:pPr>
              <w:spacing w:after="0"/>
            </w:pPr>
            <w:r>
              <w:rPr>
                <w:sz w:val="14"/>
              </w:rPr>
              <w:t>EMPI-002</w:t>
            </w:r>
          </w:p>
        </w:tc>
        <w:tc>
          <w:tcPr>
            <w:tcW w:type="dxa" w:w="9360"/>
            <w:tcMar>
              <w:top w:w="50" w:type="dxa"/>
              <w:start w:w="55" w:type="dxa"/>
              <w:bottom w:w="50" w:type="dxa"/>
              <w:end w:w="55" w:type="dxa"/>
            </w:tcMar>
            <w:vAlign w:val="top"/>
          </w:tcPr>
          <w:p>
            <w:pPr>
              <w:spacing w:after="0"/>
            </w:pPr>
            <w:r>
              <w:rPr>
                <w:sz w:val="14"/>
              </w:rPr>
              <w:t>Potential duplicate queue, merge/unmerge, surviving identifiers, downstream notification and immutable merge audit.</w:t>
            </w:r>
          </w:p>
        </w:tc>
      </w:tr>
      <w:tr>
        <w:tc>
          <w:tcPr>
            <w:tcW w:type="dxa" w:w="1440"/>
            <w:tcMar>
              <w:top w:w="50" w:type="dxa"/>
              <w:start w:w="55" w:type="dxa"/>
              <w:bottom w:w="50" w:type="dxa"/>
              <w:end w:w="55" w:type="dxa"/>
            </w:tcMar>
            <w:vAlign w:val="top"/>
          </w:tcPr>
          <w:p>
            <w:pPr>
              <w:spacing w:after="0"/>
            </w:pPr>
            <w:r>
              <w:rPr>
                <w:sz w:val="14"/>
              </w:rPr>
              <w:t>EMPI-003</w:t>
            </w:r>
          </w:p>
        </w:tc>
        <w:tc>
          <w:tcPr>
            <w:tcW w:type="dxa" w:w="9360"/>
            <w:tcMar>
              <w:top w:w="50" w:type="dxa"/>
              <w:start w:w="55" w:type="dxa"/>
              <w:bottom w:w="50" w:type="dxa"/>
              <w:end w:w="55" w:type="dxa"/>
            </w:tcMar>
            <w:vAlign w:val="top"/>
          </w:tcPr>
          <w:p>
            <w:pPr>
              <w:spacing w:after="0"/>
            </w:pPr>
            <w:r>
              <w:rPr>
                <w:sz w:val="14"/>
              </w:rPr>
              <w:t>Cross-facility enterprise identity while preserving source-system MRNs and historical aliases.</w:t>
            </w:r>
          </w:p>
        </w:tc>
      </w:tr>
      <w:tr>
        <w:tc>
          <w:tcPr>
            <w:tcW w:type="dxa" w:w="1440"/>
            <w:tcMar>
              <w:top w:w="50" w:type="dxa"/>
              <w:start w:w="55" w:type="dxa"/>
              <w:bottom w:w="50" w:type="dxa"/>
              <w:end w:w="55" w:type="dxa"/>
            </w:tcMar>
            <w:vAlign w:val="top"/>
          </w:tcPr>
          <w:p>
            <w:pPr>
              <w:spacing w:after="0"/>
            </w:pPr>
            <w:r>
              <w:rPr>
                <w:sz w:val="14"/>
              </w:rPr>
              <w:t>TERM-001</w:t>
            </w:r>
          </w:p>
        </w:tc>
        <w:tc>
          <w:tcPr>
            <w:tcW w:type="dxa" w:w="9360"/>
            <w:tcMar>
              <w:top w:w="50" w:type="dxa"/>
              <w:start w:w="55" w:type="dxa"/>
              <w:bottom w:w="50" w:type="dxa"/>
              <w:end w:w="55" w:type="dxa"/>
            </w:tcMar>
            <w:vAlign w:val="top"/>
          </w:tcPr>
          <w:p>
            <w:pPr>
              <w:spacing w:after="0"/>
            </w:pPr>
            <w:r>
              <w:rPr>
                <w:sz w:val="14"/>
              </w:rPr>
              <w:t>Terminology server for code systems, value sets, concepts, synonyms, mappings, versions and validation.</w:t>
            </w:r>
          </w:p>
        </w:tc>
      </w:tr>
      <w:tr>
        <w:tc>
          <w:tcPr>
            <w:tcW w:type="dxa" w:w="1440"/>
            <w:tcMar>
              <w:top w:w="50" w:type="dxa"/>
              <w:start w:w="55" w:type="dxa"/>
              <w:bottom w:w="50" w:type="dxa"/>
              <w:end w:w="55" w:type="dxa"/>
            </w:tcMar>
            <w:vAlign w:val="top"/>
          </w:tcPr>
          <w:p>
            <w:pPr>
              <w:spacing w:after="0"/>
            </w:pPr>
            <w:r>
              <w:rPr>
                <w:sz w:val="14"/>
              </w:rPr>
              <w:t>TERM-002</w:t>
            </w:r>
          </w:p>
        </w:tc>
        <w:tc>
          <w:tcPr>
            <w:tcW w:type="dxa" w:w="9360"/>
            <w:tcMar>
              <w:top w:w="50" w:type="dxa"/>
              <w:start w:w="55" w:type="dxa"/>
              <w:bottom w:w="50" w:type="dxa"/>
              <w:end w:w="55" w:type="dxa"/>
            </w:tcMar>
            <w:vAlign w:val="top"/>
          </w:tcPr>
          <w:p>
            <w:pPr>
              <w:spacing w:after="0"/>
            </w:pPr>
            <w:r>
              <w:rPr>
                <w:sz w:val="14"/>
              </w:rPr>
              <w:t>Support governed use of SNOMED CT, LOINC, ICD and local/formulary/lab catalogs subject to licensing and national requirements.</w:t>
            </w:r>
          </w:p>
        </w:tc>
      </w:tr>
      <w:tr>
        <w:tc>
          <w:tcPr>
            <w:tcW w:type="dxa" w:w="1440"/>
            <w:tcMar>
              <w:top w:w="50" w:type="dxa"/>
              <w:start w:w="55" w:type="dxa"/>
              <w:bottom w:w="50" w:type="dxa"/>
              <w:end w:w="55" w:type="dxa"/>
            </w:tcMar>
            <w:vAlign w:val="top"/>
          </w:tcPr>
          <w:p>
            <w:pPr>
              <w:spacing w:after="0"/>
            </w:pPr>
            <w:r>
              <w:rPr>
                <w:sz w:val="14"/>
              </w:rPr>
              <w:t>TERM-003</w:t>
            </w:r>
          </w:p>
        </w:tc>
        <w:tc>
          <w:tcPr>
            <w:tcW w:type="dxa" w:w="9360"/>
            <w:tcMar>
              <w:top w:w="50" w:type="dxa"/>
              <w:start w:w="55" w:type="dxa"/>
              <w:bottom w:w="50" w:type="dxa"/>
              <w:end w:w="55" w:type="dxa"/>
            </w:tcMar>
            <w:vAlign w:val="top"/>
          </w:tcPr>
          <w:p>
            <w:pPr>
              <w:spacing w:after="0"/>
            </w:pPr>
            <w:r>
              <w:rPr>
                <w:sz w:val="14"/>
              </w:rPr>
              <w:t>Concept mapping workflow with reviewer, confidence, effective dates, source/target version and usage impact analysis.</w:t>
            </w:r>
          </w:p>
        </w:tc>
      </w:tr>
      <w:tr>
        <w:tc>
          <w:tcPr>
            <w:tcW w:type="dxa" w:w="1440"/>
            <w:tcMar>
              <w:top w:w="50" w:type="dxa"/>
              <w:start w:w="55" w:type="dxa"/>
              <w:bottom w:w="50" w:type="dxa"/>
              <w:end w:w="55" w:type="dxa"/>
            </w:tcMar>
            <w:vAlign w:val="top"/>
          </w:tcPr>
          <w:p>
            <w:pPr>
              <w:spacing w:after="0"/>
            </w:pPr>
            <w:r>
              <w:rPr>
                <w:sz w:val="14"/>
              </w:rPr>
              <w:t>MDM-001</w:t>
            </w:r>
          </w:p>
        </w:tc>
        <w:tc>
          <w:tcPr>
            <w:tcW w:type="dxa" w:w="9360"/>
            <w:tcMar>
              <w:top w:w="50" w:type="dxa"/>
              <w:start w:w="55" w:type="dxa"/>
              <w:bottom w:w="50" w:type="dxa"/>
              <w:end w:w="55" w:type="dxa"/>
            </w:tcMar>
            <w:vAlign w:val="top"/>
          </w:tcPr>
          <w:p>
            <w:pPr>
              <w:spacing w:after="0"/>
            </w:pPr>
            <w:r>
              <w:rPr>
                <w:sz w:val="14"/>
              </w:rPr>
              <w:t>Master-data governance for provider, facility, service, drug, test, payer, supplier and device masters with stewardship queues.</w:t>
            </w:r>
          </w:p>
        </w:tc>
      </w:tr>
    </w:tbl>
    <w:p>
      <w:pPr>
        <w:spacing w:after="20"/>
      </w:pPr>
    </w:p>
    <w:p>
      <w:pPr>
        <w:pStyle w:val="Heading1"/>
      </w:pPr>
      <w:r>
        <w:t>53. API Ecosystem and Developer Platform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ID</w:t>
            </w:r>
          </w:p>
        </w:tc>
        <w:tc>
          <w:tcPr>
            <w:tcW w:type="dxa" w:w="5083"/>
            <w:shd w:fill="D9EAF7"/>
            <w:tcMar>
              <w:top w:w="50" w:type="dxa"/>
              <w:start w:w="55" w:type="dxa"/>
              <w:bottom w:w="50" w:type="dxa"/>
              <w:end w:w="55" w:type="dxa"/>
            </w:tcMar>
          </w:tcPr>
          <w:p>
            <w:pPr>
              <w:spacing w:after="0"/>
            </w:pPr>
            <w:r>
              <w:rPr>
                <w:b/>
                <w:sz w:val="14"/>
              </w:rPr>
              <w:t>Requirement</w:t>
            </w:r>
          </w:p>
        </w:tc>
      </w:tr>
      <w:tr>
        <w:tc>
          <w:tcPr>
            <w:tcW w:type="dxa" w:w="1440"/>
            <w:tcMar>
              <w:top w:w="50" w:type="dxa"/>
              <w:start w:w="55" w:type="dxa"/>
              <w:bottom w:w="50" w:type="dxa"/>
              <w:end w:w="55" w:type="dxa"/>
            </w:tcMar>
            <w:vAlign w:val="top"/>
          </w:tcPr>
          <w:p>
            <w:pPr>
              <w:spacing w:after="0"/>
            </w:pPr>
            <w:r>
              <w:rPr>
                <w:sz w:val="14"/>
              </w:rPr>
              <w:t>API-001</w:t>
            </w:r>
          </w:p>
        </w:tc>
        <w:tc>
          <w:tcPr>
            <w:tcW w:type="dxa" w:w="9360"/>
            <w:tcMar>
              <w:top w:w="50" w:type="dxa"/>
              <w:start w:w="55" w:type="dxa"/>
              <w:bottom w:w="50" w:type="dxa"/>
              <w:end w:w="55" w:type="dxa"/>
            </w:tcMar>
            <w:vAlign w:val="top"/>
          </w:tcPr>
          <w:p>
            <w:pPr>
              <w:spacing w:after="0"/>
            </w:pPr>
            <w:r>
              <w:rPr>
                <w:sz w:val="14"/>
              </w:rPr>
              <w:t>External API gateway with OAuth2/OIDC/service credentials, scopes, tenant binding, quotas, throttling, WAF and audit.</w:t>
            </w:r>
          </w:p>
        </w:tc>
      </w:tr>
      <w:tr>
        <w:tc>
          <w:tcPr>
            <w:tcW w:type="dxa" w:w="1440"/>
            <w:tcMar>
              <w:top w:w="50" w:type="dxa"/>
              <w:start w:w="55" w:type="dxa"/>
              <w:bottom w:w="50" w:type="dxa"/>
              <w:end w:w="55" w:type="dxa"/>
            </w:tcMar>
            <w:vAlign w:val="top"/>
          </w:tcPr>
          <w:p>
            <w:pPr>
              <w:spacing w:after="0"/>
            </w:pPr>
            <w:r>
              <w:rPr>
                <w:sz w:val="14"/>
              </w:rPr>
              <w:t>API-002</w:t>
            </w:r>
          </w:p>
        </w:tc>
        <w:tc>
          <w:tcPr>
            <w:tcW w:type="dxa" w:w="9360"/>
            <w:tcMar>
              <w:top w:w="50" w:type="dxa"/>
              <w:start w:w="55" w:type="dxa"/>
              <w:bottom w:w="50" w:type="dxa"/>
              <w:end w:w="55" w:type="dxa"/>
            </w:tcMar>
            <w:vAlign w:val="top"/>
          </w:tcPr>
          <w:p>
            <w:pPr>
              <w:spacing w:after="0"/>
            </w:pPr>
            <w:r>
              <w:rPr>
                <w:sz w:val="14"/>
              </w:rPr>
              <w:t>FHIR endpoint for clinical interoperability and ConnectRPC/REST/webhook patterns for commercial/operational integrations.</w:t>
            </w:r>
          </w:p>
        </w:tc>
      </w:tr>
      <w:tr>
        <w:tc>
          <w:tcPr>
            <w:tcW w:type="dxa" w:w="1440"/>
            <w:tcMar>
              <w:top w:w="50" w:type="dxa"/>
              <w:start w:w="55" w:type="dxa"/>
              <w:bottom w:w="50" w:type="dxa"/>
              <w:end w:w="55" w:type="dxa"/>
            </w:tcMar>
            <w:vAlign w:val="top"/>
          </w:tcPr>
          <w:p>
            <w:pPr>
              <w:spacing w:after="0"/>
            </w:pPr>
            <w:r>
              <w:rPr>
                <w:sz w:val="14"/>
              </w:rPr>
              <w:t>API-003</w:t>
            </w:r>
          </w:p>
        </w:tc>
        <w:tc>
          <w:tcPr>
            <w:tcW w:type="dxa" w:w="9360"/>
            <w:tcMar>
              <w:top w:w="50" w:type="dxa"/>
              <w:start w:w="55" w:type="dxa"/>
              <w:bottom w:w="50" w:type="dxa"/>
              <w:end w:w="55" w:type="dxa"/>
            </w:tcMar>
            <w:vAlign w:val="top"/>
          </w:tcPr>
          <w:p>
            <w:pPr>
              <w:spacing w:after="0"/>
            </w:pPr>
            <w:r>
              <w:rPr>
                <w:sz w:val="14"/>
              </w:rPr>
              <w:t>Developer portal with documentation, sample clients, sandbox, test patients/orders, webhook inspector and version/deprecation policy.</w:t>
            </w:r>
          </w:p>
        </w:tc>
      </w:tr>
      <w:tr>
        <w:tc>
          <w:tcPr>
            <w:tcW w:type="dxa" w:w="1440"/>
            <w:tcMar>
              <w:top w:w="50" w:type="dxa"/>
              <w:start w:w="55" w:type="dxa"/>
              <w:bottom w:w="50" w:type="dxa"/>
              <w:end w:w="55" w:type="dxa"/>
            </w:tcMar>
            <w:vAlign w:val="top"/>
          </w:tcPr>
          <w:p>
            <w:pPr>
              <w:spacing w:after="0"/>
            </w:pPr>
            <w:r>
              <w:rPr>
                <w:sz w:val="14"/>
              </w:rPr>
              <w:t>API-004</w:t>
            </w:r>
          </w:p>
        </w:tc>
        <w:tc>
          <w:tcPr>
            <w:tcW w:type="dxa" w:w="9360"/>
            <w:tcMar>
              <w:top w:w="50" w:type="dxa"/>
              <w:start w:w="55" w:type="dxa"/>
              <w:bottom w:w="50" w:type="dxa"/>
              <w:end w:w="55" w:type="dxa"/>
            </w:tcMar>
            <w:vAlign w:val="top"/>
          </w:tcPr>
          <w:p>
            <w:pPr>
              <w:spacing w:after="0"/>
            </w:pPr>
            <w:r>
              <w:rPr>
                <w:sz w:val="14"/>
              </w:rPr>
              <w:t>Partner application registration, security review, allowed data purposes, scopes, rate limits and revocation.</w:t>
            </w:r>
          </w:p>
        </w:tc>
      </w:tr>
      <w:tr>
        <w:tc>
          <w:tcPr>
            <w:tcW w:type="dxa" w:w="1440"/>
            <w:tcMar>
              <w:top w:w="50" w:type="dxa"/>
              <w:start w:w="55" w:type="dxa"/>
              <w:bottom w:w="50" w:type="dxa"/>
              <w:end w:w="55" w:type="dxa"/>
            </w:tcMar>
            <w:vAlign w:val="top"/>
          </w:tcPr>
          <w:p>
            <w:pPr>
              <w:spacing w:after="0"/>
            </w:pPr>
            <w:r>
              <w:rPr>
                <w:sz w:val="14"/>
              </w:rPr>
              <w:t>API-005</w:t>
            </w:r>
          </w:p>
        </w:tc>
        <w:tc>
          <w:tcPr>
            <w:tcW w:type="dxa" w:w="9360"/>
            <w:tcMar>
              <w:top w:w="50" w:type="dxa"/>
              <w:start w:w="55" w:type="dxa"/>
              <w:bottom w:w="50" w:type="dxa"/>
              <w:end w:w="55" w:type="dxa"/>
            </w:tcMar>
            <w:vAlign w:val="top"/>
          </w:tcPr>
          <w:p>
            <w:pPr>
              <w:spacing w:after="0"/>
            </w:pPr>
            <w:r>
              <w:rPr>
                <w:sz w:val="14"/>
              </w:rPr>
              <w:t>Webhook delivery with signing, retries, replay window, idempotency guidance and dead-letter visibility.</w:t>
            </w:r>
          </w:p>
        </w:tc>
      </w:tr>
      <w:tr>
        <w:tc>
          <w:tcPr>
            <w:tcW w:type="dxa" w:w="1440"/>
            <w:tcMar>
              <w:top w:w="50" w:type="dxa"/>
              <w:start w:w="55" w:type="dxa"/>
              <w:bottom w:w="50" w:type="dxa"/>
              <w:end w:w="55" w:type="dxa"/>
            </w:tcMar>
            <w:vAlign w:val="top"/>
          </w:tcPr>
          <w:p>
            <w:pPr>
              <w:spacing w:after="0"/>
            </w:pPr>
            <w:r>
              <w:rPr>
                <w:sz w:val="14"/>
              </w:rPr>
              <w:t>API-006</w:t>
            </w:r>
          </w:p>
        </w:tc>
        <w:tc>
          <w:tcPr>
            <w:tcW w:type="dxa" w:w="9360"/>
            <w:tcMar>
              <w:top w:w="50" w:type="dxa"/>
              <w:start w:w="55" w:type="dxa"/>
              <w:bottom w:w="50" w:type="dxa"/>
              <w:end w:w="55" w:type="dxa"/>
            </w:tcMar>
            <w:vAlign w:val="top"/>
          </w:tcPr>
          <w:p>
            <w:pPr>
              <w:spacing w:after="0"/>
            </w:pPr>
            <w:r>
              <w:rPr>
                <w:sz w:val="14"/>
              </w:rPr>
              <w:t>Bulk asynchronous APIs for claims, catalogs, inventory, reports and migrations instead of huge synchronous payloads.</w:t>
            </w:r>
          </w:p>
        </w:tc>
      </w:tr>
    </w:tbl>
    <w:p>
      <w:pPr>
        <w:spacing w:after="20"/>
      </w:pPr>
    </w:p>
    <w:p>
      <w:pPr>
        <w:pStyle w:val="Heading1"/>
      </w:pPr>
      <w:r>
        <w:t>54. Detailed Data Platform and Canonical Healthcare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Domain</w:t>
            </w:r>
          </w:p>
        </w:tc>
        <w:tc>
          <w:tcPr>
            <w:tcW w:type="dxa" w:w="5083"/>
            <w:shd w:fill="D9EAF7"/>
            <w:tcMar>
              <w:top w:w="50" w:type="dxa"/>
              <w:start w:w="55" w:type="dxa"/>
              <w:bottom w:w="50" w:type="dxa"/>
              <w:end w:w="55" w:type="dxa"/>
            </w:tcMar>
          </w:tcPr>
          <w:p>
            <w:pPr>
              <w:spacing w:after="0"/>
            </w:pPr>
            <w:r>
              <w:rPr>
                <w:b/>
                <w:sz w:val="14"/>
              </w:rPr>
              <w:t>Canonical entities</w:t>
            </w:r>
          </w:p>
        </w:tc>
      </w:tr>
      <w:tr>
        <w:tc>
          <w:tcPr>
            <w:tcW w:type="dxa" w:w="2160"/>
            <w:tcMar>
              <w:top w:w="50" w:type="dxa"/>
              <w:start w:w="55" w:type="dxa"/>
              <w:bottom w:w="50" w:type="dxa"/>
              <w:end w:w="55" w:type="dxa"/>
            </w:tcMar>
            <w:vAlign w:val="top"/>
          </w:tcPr>
          <w:p>
            <w:pPr>
              <w:spacing w:after="0"/>
            </w:pPr>
            <w:r>
              <w:rPr>
                <w:sz w:val="14"/>
              </w:rPr>
              <w:t>Identity</w:t>
            </w:r>
          </w:p>
        </w:tc>
        <w:tc>
          <w:tcPr>
            <w:tcW w:type="dxa" w:w="8640"/>
            <w:tcMar>
              <w:top w:w="50" w:type="dxa"/>
              <w:start w:w="55" w:type="dxa"/>
              <w:bottom w:w="50" w:type="dxa"/>
              <w:end w:w="55" w:type="dxa"/>
            </w:tcMar>
            <w:vAlign w:val="top"/>
          </w:tcPr>
          <w:p>
            <w:pPr>
              <w:spacing w:after="0"/>
            </w:pPr>
            <w:r>
              <w:rPr>
                <w:sz w:val="14"/>
              </w:rPr>
              <w:t>Person, Patient, RelatedPerson/Caregiver, Practitioner, Employee, Organization, Facility, Location, Device.</w:t>
            </w:r>
          </w:p>
        </w:tc>
      </w:tr>
      <w:tr>
        <w:tc>
          <w:tcPr>
            <w:tcW w:type="dxa" w:w="2160"/>
            <w:tcMar>
              <w:top w:w="50" w:type="dxa"/>
              <w:start w:w="55" w:type="dxa"/>
              <w:bottom w:w="50" w:type="dxa"/>
              <w:end w:w="55" w:type="dxa"/>
            </w:tcMar>
            <w:vAlign w:val="top"/>
          </w:tcPr>
          <w:p>
            <w:pPr>
              <w:spacing w:after="0"/>
            </w:pPr>
            <w:r>
              <w:rPr>
                <w:sz w:val="14"/>
              </w:rPr>
              <w:t>Clinical</w:t>
            </w:r>
          </w:p>
        </w:tc>
        <w:tc>
          <w:tcPr>
            <w:tcW w:type="dxa" w:w="8640"/>
            <w:tcMar>
              <w:top w:w="50" w:type="dxa"/>
              <w:start w:w="55" w:type="dxa"/>
              <w:bottom w:w="50" w:type="dxa"/>
              <w:end w:w="55" w:type="dxa"/>
            </w:tcMar>
            <w:vAlign w:val="top"/>
          </w:tcPr>
          <w:p>
            <w:pPr>
              <w:spacing w:after="0"/>
            </w:pPr>
            <w:r>
              <w:rPr>
                <w:sz w:val="14"/>
              </w:rPr>
              <w:t>Encounter, EpisodeOfCare, Condition, Allergy, Observation, Procedure, CarePlan, Goal, ClinicalDocument, Consent.</w:t>
            </w:r>
          </w:p>
        </w:tc>
      </w:tr>
      <w:tr>
        <w:tc>
          <w:tcPr>
            <w:tcW w:type="dxa" w:w="2160"/>
            <w:tcMar>
              <w:top w:w="50" w:type="dxa"/>
              <w:start w:w="55" w:type="dxa"/>
              <w:bottom w:w="50" w:type="dxa"/>
              <w:end w:w="55" w:type="dxa"/>
            </w:tcMar>
            <w:vAlign w:val="top"/>
          </w:tcPr>
          <w:p>
            <w:pPr>
              <w:spacing w:after="0"/>
            </w:pPr>
            <w:r>
              <w:rPr>
                <w:sz w:val="14"/>
              </w:rPr>
              <w:t>Orders/results</w:t>
            </w:r>
          </w:p>
        </w:tc>
        <w:tc>
          <w:tcPr>
            <w:tcW w:type="dxa" w:w="8640"/>
            <w:tcMar>
              <w:top w:w="50" w:type="dxa"/>
              <w:start w:w="55" w:type="dxa"/>
              <w:bottom w:w="50" w:type="dxa"/>
              <w:end w:w="55" w:type="dxa"/>
            </w:tcMar>
            <w:vAlign w:val="top"/>
          </w:tcPr>
          <w:p>
            <w:pPr>
              <w:spacing w:after="0"/>
            </w:pPr>
            <w:r>
              <w:rPr>
                <w:sz w:val="14"/>
              </w:rPr>
              <w:t>ServiceRequest/Order, Specimen, DiagnosticReport, ImagingStudy reference, MedicationRequest, MedicationAdministration.</w:t>
            </w:r>
          </w:p>
        </w:tc>
      </w:tr>
      <w:tr>
        <w:tc>
          <w:tcPr>
            <w:tcW w:type="dxa" w:w="2160"/>
            <w:tcMar>
              <w:top w:w="50" w:type="dxa"/>
              <w:start w:w="55" w:type="dxa"/>
              <w:bottom w:w="50" w:type="dxa"/>
              <w:end w:w="55" w:type="dxa"/>
            </w:tcMar>
            <w:vAlign w:val="top"/>
          </w:tcPr>
          <w:p>
            <w:pPr>
              <w:spacing w:after="0"/>
            </w:pPr>
            <w:r>
              <w:rPr>
                <w:sz w:val="14"/>
              </w:rPr>
              <w:t>Commercial</w:t>
            </w:r>
          </w:p>
        </w:tc>
        <w:tc>
          <w:tcPr>
            <w:tcW w:type="dxa" w:w="8640"/>
            <w:tcMar>
              <w:top w:w="50" w:type="dxa"/>
              <w:start w:w="55" w:type="dxa"/>
              <w:bottom w:w="50" w:type="dxa"/>
              <w:end w:w="55" w:type="dxa"/>
            </w:tcMar>
            <w:vAlign w:val="top"/>
          </w:tcPr>
          <w:p>
            <w:pPr>
              <w:spacing w:after="0"/>
            </w:pPr>
            <w:r>
              <w:rPr>
                <w:sz w:val="14"/>
              </w:rPr>
              <w:t>CatalogItem, Price, Contract, Estimate, Charge, Invoice, Payment, Refund, Account, Claim, Preauthorization.</w:t>
            </w:r>
          </w:p>
        </w:tc>
      </w:tr>
      <w:tr>
        <w:tc>
          <w:tcPr>
            <w:tcW w:type="dxa" w:w="2160"/>
            <w:tcMar>
              <w:top w:w="50" w:type="dxa"/>
              <w:start w:w="55" w:type="dxa"/>
              <w:bottom w:w="50" w:type="dxa"/>
              <w:end w:w="55" w:type="dxa"/>
            </w:tcMar>
            <w:vAlign w:val="top"/>
          </w:tcPr>
          <w:p>
            <w:pPr>
              <w:spacing w:after="0"/>
            </w:pPr>
            <w:r>
              <w:rPr>
                <w:sz w:val="14"/>
              </w:rPr>
              <w:t>Supply chain</w:t>
            </w:r>
          </w:p>
        </w:tc>
        <w:tc>
          <w:tcPr>
            <w:tcW w:type="dxa" w:w="8640"/>
            <w:tcMar>
              <w:top w:w="50" w:type="dxa"/>
              <w:start w:w="55" w:type="dxa"/>
              <w:bottom w:w="50" w:type="dxa"/>
              <w:end w:w="55" w:type="dxa"/>
            </w:tcMar>
            <w:vAlign w:val="top"/>
          </w:tcPr>
          <w:p>
            <w:pPr>
              <w:spacing w:after="0"/>
            </w:pPr>
            <w:r>
              <w:rPr>
                <w:sz w:val="14"/>
              </w:rPr>
              <w:t>Product/SKU, Batch/Lot, StockLocation, InventoryMovement, Reservation, PurchaseOrder, SalesOrder, Shipment, Return.</w:t>
            </w:r>
          </w:p>
        </w:tc>
      </w:tr>
      <w:tr>
        <w:tc>
          <w:tcPr>
            <w:tcW w:type="dxa" w:w="2160"/>
            <w:tcMar>
              <w:top w:w="50" w:type="dxa"/>
              <w:start w:w="55" w:type="dxa"/>
              <w:bottom w:w="50" w:type="dxa"/>
              <w:end w:w="55" w:type="dxa"/>
            </w:tcMar>
            <w:vAlign w:val="top"/>
          </w:tcPr>
          <w:p>
            <w:pPr>
              <w:spacing w:after="0"/>
            </w:pPr>
            <w:r>
              <w:rPr>
                <w:sz w:val="14"/>
              </w:rPr>
              <w:t>Operations</w:t>
            </w:r>
          </w:p>
        </w:tc>
        <w:tc>
          <w:tcPr>
            <w:tcW w:type="dxa" w:w="8640"/>
            <w:tcMar>
              <w:top w:w="50" w:type="dxa"/>
              <w:start w:w="55" w:type="dxa"/>
              <w:bottom w:w="50" w:type="dxa"/>
              <w:end w:w="55" w:type="dxa"/>
            </w:tcMar>
            <w:vAlign w:val="top"/>
          </w:tcPr>
          <w:p>
            <w:pPr>
              <w:spacing w:after="0"/>
            </w:pPr>
            <w:r>
              <w:rPr>
                <w:sz w:val="14"/>
              </w:rPr>
              <w:t>Task, WorkflowInstance, Approval, Asset, MaintenanceOrder, Alarm, TelemetrySeries, WorkforceShift.</w:t>
            </w:r>
          </w:p>
        </w:tc>
      </w:tr>
    </w:tbl>
    <w:p>
      <w:pPr>
        <w:spacing w:after="20"/>
      </w:pPr>
    </w:p>
    <w:p>
      <w:pPr>
        <w:pStyle w:val="Heading2"/>
      </w:pPr>
      <w:r>
        <w:t>54.1 Persistence and Analytics Architecture</w:t>
      </w:r>
    </w:p>
    <w:p>
      <w:pPr>
        <w:pStyle w:val="ListBullet"/>
        <w:spacing w:after="20"/>
      </w:pPr>
      <w:r>
        <w:t>Each bounded context owns its OLTP schema/tables and migration package; direct cross-domain SQL is prohibited for application behavior.</w:t>
      </w:r>
    </w:p>
    <w:p>
      <w:pPr>
        <w:pStyle w:val="ListBullet"/>
        <w:spacing w:after="20"/>
      </w:pPr>
      <w:r>
        <w:t>High-volume audit, observation, event and telemetry tables use partitioning/retention strategies validated by workload.</w:t>
      </w:r>
    </w:p>
    <w:p>
      <w:pPr>
        <w:pStyle w:val="ListBullet"/>
        <w:spacing w:after="20"/>
      </w:pPr>
      <w:r>
        <w:t>CDC/outbox streams operational changes into analytical storage. Dashboards never execute uncontrolled cross-domain joins on production OLTP.</w:t>
      </w:r>
    </w:p>
    <w:p>
      <w:pPr>
        <w:pStyle w:val="ListBullet"/>
        <w:spacing w:after="20"/>
      </w:pPr>
      <w:r>
        <w:t>Lakehouse/warehouse zones: raw immutable ingest -&gt; conformed healthcare/commercial model -&gt; semantic marts -&gt; governed BI/ML features.</w:t>
      </w:r>
    </w:p>
    <w:p>
      <w:pPr>
        <w:pStyle w:val="ListBullet"/>
        <w:spacing w:after="20"/>
      </w:pPr>
      <w:r>
        <w:t>Data lineage records source system, ingestion job/event, transformation version and downstream dataset.</w:t>
      </w:r>
    </w:p>
    <w:p>
      <w:pPr>
        <w:pStyle w:val="ListBullet"/>
        <w:spacing w:after="20"/>
      </w:pPr>
      <w:r>
        <w:t>De-identification/pseudonymization service creates research/analytics datasets under approved policies without assuming anonymization is automatic.</w:t>
      </w:r>
    </w:p>
    <w:p>
      <w:pPr>
        <w:pStyle w:val="Heading1"/>
      </w:pPr>
      <w:r>
        <w:t>55. Healthcare AI Platform and Role-Specific Copilots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Component</w:t>
            </w:r>
          </w:p>
        </w:tc>
        <w:tc>
          <w:tcPr>
            <w:tcW w:type="dxa" w:w="5083"/>
            <w:shd w:fill="D9EAF7"/>
            <w:tcMar>
              <w:top w:w="50" w:type="dxa"/>
              <w:start w:w="55" w:type="dxa"/>
              <w:bottom w:w="50" w:type="dxa"/>
              <w:end w:w="55" w:type="dxa"/>
            </w:tcMar>
          </w:tcPr>
          <w:p>
            <w:pPr>
              <w:spacing w:after="0"/>
            </w:pPr>
            <w:r>
              <w:rPr>
                <w:b/>
                <w:sz w:val="14"/>
              </w:rPr>
              <w:t>Scope and authority boundary</w:t>
            </w:r>
          </w:p>
        </w:tc>
      </w:tr>
      <w:tr>
        <w:tc>
          <w:tcPr>
            <w:tcW w:type="dxa" w:w="2232"/>
            <w:tcMar>
              <w:top w:w="50" w:type="dxa"/>
              <w:start w:w="55" w:type="dxa"/>
              <w:bottom w:w="50" w:type="dxa"/>
              <w:end w:w="55" w:type="dxa"/>
            </w:tcMar>
            <w:vAlign w:val="top"/>
          </w:tcPr>
          <w:p>
            <w:pPr>
              <w:spacing w:after="0"/>
            </w:pPr>
            <w:r>
              <w:rPr>
                <w:sz w:val="14"/>
              </w:rPr>
              <w:t>AI Platform</w:t>
            </w:r>
          </w:p>
        </w:tc>
        <w:tc>
          <w:tcPr>
            <w:tcW w:type="dxa" w:w="8568"/>
            <w:tcMar>
              <w:top w:w="50" w:type="dxa"/>
              <w:start w:w="55" w:type="dxa"/>
              <w:bottom w:w="50" w:type="dxa"/>
              <w:end w:w="55" w:type="dxa"/>
            </w:tcMar>
            <w:vAlign w:val="top"/>
          </w:tcPr>
          <w:p>
            <w:pPr>
              <w:spacing w:after="0"/>
            </w:pPr>
            <w:r>
              <w:rPr>
                <w:sz w:val="14"/>
              </w:rPr>
              <w:t>Model registry; deployment registry; inference gateway; evaluation sets; vector/knowledge retrieval; prompt/version store; guardrails; human review; feedback; drift/quality monitoring.</w:t>
            </w:r>
          </w:p>
        </w:tc>
      </w:tr>
      <w:tr>
        <w:tc>
          <w:tcPr>
            <w:tcW w:type="dxa" w:w="2232"/>
            <w:tcMar>
              <w:top w:w="50" w:type="dxa"/>
              <w:start w:w="55" w:type="dxa"/>
              <w:bottom w:w="50" w:type="dxa"/>
              <w:end w:w="55" w:type="dxa"/>
            </w:tcMar>
            <w:vAlign w:val="top"/>
          </w:tcPr>
          <w:p>
            <w:pPr>
              <w:spacing w:after="0"/>
            </w:pPr>
            <w:r>
              <w:rPr>
                <w:sz w:val="14"/>
              </w:rPr>
              <w:t>Doctor Copilot</w:t>
            </w:r>
          </w:p>
        </w:tc>
        <w:tc>
          <w:tcPr>
            <w:tcW w:type="dxa" w:w="8568"/>
            <w:tcMar>
              <w:top w:w="50" w:type="dxa"/>
              <w:start w:w="55" w:type="dxa"/>
              <w:bottom w:w="50" w:type="dxa"/>
              <w:end w:w="55" w:type="dxa"/>
            </w:tcMar>
            <w:vAlign w:val="top"/>
          </w:tcPr>
          <w:p>
            <w:pPr>
              <w:spacing w:after="0"/>
            </w:pPr>
            <w:r>
              <w:rPr>
                <w:sz w:val="14"/>
              </w:rPr>
              <w:t>Chart summarization, longitudinal change detection, draft note, coding/order-set suggestions, result inbox prioritization. Cannot sign notes, prescribe or make final diagnosis autonomously.</w:t>
            </w:r>
          </w:p>
        </w:tc>
      </w:tr>
      <w:tr>
        <w:tc>
          <w:tcPr>
            <w:tcW w:type="dxa" w:w="2232"/>
            <w:tcMar>
              <w:top w:w="50" w:type="dxa"/>
              <w:start w:w="55" w:type="dxa"/>
              <w:bottom w:w="50" w:type="dxa"/>
              <w:end w:w="55" w:type="dxa"/>
            </w:tcMar>
            <w:vAlign w:val="top"/>
          </w:tcPr>
          <w:p>
            <w:pPr>
              <w:spacing w:after="0"/>
            </w:pPr>
            <w:r>
              <w:rPr>
                <w:sz w:val="14"/>
              </w:rPr>
              <w:t>Nurse Copilot</w:t>
            </w:r>
          </w:p>
        </w:tc>
        <w:tc>
          <w:tcPr>
            <w:tcW w:type="dxa" w:w="8568"/>
            <w:tcMar>
              <w:top w:w="50" w:type="dxa"/>
              <w:start w:w="55" w:type="dxa"/>
              <w:bottom w:w="50" w:type="dxa"/>
              <w:end w:w="55" w:type="dxa"/>
            </w:tcMar>
            <w:vAlign w:val="top"/>
          </w:tcPr>
          <w:p>
            <w:pPr>
              <w:spacing w:after="0"/>
            </w:pPr>
            <w:r>
              <w:rPr>
                <w:sz w:val="14"/>
              </w:rPr>
              <w:t>Shift summary, overdue-task prioritization, education draft and flowsheet anomaly prompts. Cannot document care not performed or administer medication.</w:t>
            </w:r>
          </w:p>
        </w:tc>
      </w:tr>
      <w:tr>
        <w:tc>
          <w:tcPr>
            <w:tcW w:type="dxa" w:w="2232"/>
            <w:tcMar>
              <w:top w:w="50" w:type="dxa"/>
              <w:start w:w="55" w:type="dxa"/>
              <w:bottom w:w="50" w:type="dxa"/>
              <w:end w:w="55" w:type="dxa"/>
            </w:tcMar>
            <w:vAlign w:val="top"/>
          </w:tcPr>
          <w:p>
            <w:pPr>
              <w:spacing w:after="0"/>
            </w:pPr>
            <w:r>
              <w:rPr>
                <w:sz w:val="14"/>
              </w:rPr>
              <w:t>Pharmacist Copilot</w:t>
            </w:r>
          </w:p>
        </w:tc>
        <w:tc>
          <w:tcPr>
            <w:tcW w:type="dxa" w:w="8568"/>
            <w:tcMar>
              <w:top w:w="50" w:type="dxa"/>
              <w:start w:w="55" w:type="dxa"/>
              <w:bottom w:w="50" w:type="dxa"/>
              <w:end w:w="55" w:type="dxa"/>
            </w:tcMar>
            <w:vAlign w:val="top"/>
          </w:tcPr>
          <w:p>
            <w:pPr>
              <w:spacing w:after="0"/>
            </w:pPr>
            <w:r>
              <w:rPr>
                <w:sz w:val="14"/>
              </w:rPr>
              <w:t>Prescription triage, alternative candidates, interaction/context summary, inventory/expiry suggestions. Pharmacist validates dispense decisions.</w:t>
            </w:r>
          </w:p>
        </w:tc>
      </w:tr>
      <w:tr>
        <w:tc>
          <w:tcPr>
            <w:tcW w:type="dxa" w:w="2232"/>
            <w:tcMar>
              <w:top w:w="50" w:type="dxa"/>
              <w:start w:w="55" w:type="dxa"/>
              <w:bottom w:w="50" w:type="dxa"/>
              <w:end w:w="55" w:type="dxa"/>
            </w:tcMar>
            <w:vAlign w:val="top"/>
          </w:tcPr>
          <w:p>
            <w:pPr>
              <w:spacing w:after="0"/>
            </w:pPr>
            <w:r>
              <w:rPr>
                <w:sz w:val="14"/>
              </w:rPr>
              <w:t>Diagnostic Copilot</w:t>
            </w:r>
          </w:p>
        </w:tc>
        <w:tc>
          <w:tcPr>
            <w:tcW w:type="dxa" w:w="8568"/>
            <w:tcMar>
              <w:top w:w="50" w:type="dxa"/>
              <w:start w:w="55" w:type="dxa"/>
              <w:bottom w:w="50" w:type="dxa"/>
              <w:end w:w="55" w:type="dxa"/>
            </w:tcMar>
            <w:vAlign w:val="top"/>
          </w:tcPr>
          <w:p>
            <w:pPr>
              <w:spacing w:after="0"/>
            </w:pPr>
            <w:r>
              <w:rPr>
                <w:sz w:val="14"/>
              </w:rPr>
              <w:t>Worklist prioritization, prior-result summarization, structured draft support and QC anomalies. No autonomous final diagnostic sign-off.</w:t>
            </w:r>
          </w:p>
        </w:tc>
      </w:tr>
      <w:tr>
        <w:tc>
          <w:tcPr>
            <w:tcW w:type="dxa" w:w="2232"/>
            <w:tcMar>
              <w:top w:w="50" w:type="dxa"/>
              <w:start w:w="55" w:type="dxa"/>
              <w:bottom w:w="50" w:type="dxa"/>
              <w:end w:w="55" w:type="dxa"/>
            </w:tcMar>
            <w:vAlign w:val="top"/>
          </w:tcPr>
          <w:p>
            <w:pPr>
              <w:spacing w:after="0"/>
            </w:pPr>
            <w:r>
              <w:rPr>
                <w:sz w:val="14"/>
              </w:rPr>
              <w:t>Claims Copilot</w:t>
            </w:r>
          </w:p>
        </w:tc>
        <w:tc>
          <w:tcPr>
            <w:tcW w:type="dxa" w:w="8568"/>
            <w:tcMar>
              <w:top w:w="50" w:type="dxa"/>
              <w:start w:w="55" w:type="dxa"/>
              <w:bottom w:w="50" w:type="dxa"/>
              <w:end w:w="55" w:type="dxa"/>
            </w:tcMar>
            <w:vAlign w:val="top"/>
          </w:tcPr>
          <w:p>
            <w:pPr>
              <w:spacing w:after="0"/>
            </w:pPr>
            <w:r>
              <w:rPr>
                <w:sz w:val="14"/>
              </w:rPr>
              <w:t>Document package summary, missing evidence, denial risk, payer-query draft and appeal support. No unreviewed submission/financial write-off.</w:t>
            </w:r>
          </w:p>
        </w:tc>
      </w:tr>
      <w:tr>
        <w:tc>
          <w:tcPr>
            <w:tcW w:type="dxa" w:w="2232"/>
            <w:tcMar>
              <w:top w:w="50" w:type="dxa"/>
              <w:start w:w="55" w:type="dxa"/>
              <w:bottom w:w="50" w:type="dxa"/>
              <w:end w:w="55" w:type="dxa"/>
            </w:tcMar>
            <w:vAlign w:val="top"/>
          </w:tcPr>
          <w:p>
            <w:pPr>
              <w:spacing w:after="0"/>
            </w:pPr>
            <w:r>
              <w:rPr>
                <w:sz w:val="14"/>
              </w:rPr>
              <w:t>Operations Copilot</w:t>
            </w:r>
          </w:p>
        </w:tc>
        <w:tc>
          <w:tcPr>
            <w:tcW w:type="dxa" w:w="8568"/>
            <w:tcMar>
              <w:top w:w="50" w:type="dxa"/>
              <w:start w:w="55" w:type="dxa"/>
              <w:bottom w:w="50" w:type="dxa"/>
              <w:end w:w="55" w:type="dxa"/>
            </w:tcMar>
            <w:vAlign w:val="top"/>
          </w:tcPr>
          <w:p>
            <w:pPr>
              <w:spacing w:after="0"/>
            </w:pPr>
            <w:r>
              <w:rPr>
                <w:sz w:val="14"/>
              </w:rPr>
              <w:t>Bed/queue/OT/staff forecast explanation, bottleneck detection and what-if simulation.</w:t>
            </w:r>
          </w:p>
        </w:tc>
      </w:tr>
      <w:tr>
        <w:tc>
          <w:tcPr>
            <w:tcW w:type="dxa" w:w="2232"/>
            <w:tcMar>
              <w:top w:w="50" w:type="dxa"/>
              <w:start w:w="55" w:type="dxa"/>
              <w:bottom w:w="50" w:type="dxa"/>
              <w:end w:w="55" w:type="dxa"/>
            </w:tcMar>
            <w:vAlign w:val="top"/>
          </w:tcPr>
          <w:p>
            <w:pPr>
              <w:spacing w:after="0"/>
            </w:pPr>
            <w:r>
              <w:rPr>
                <w:sz w:val="14"/>
              </w:rPr>
              <w:t>Patient Assistant</w:t>
            </w:r>
          </w:p>
        </w:tc>
        <w:tc>
          <w:tcPr>
            <w:tcW w:type="dxa" w:w="8568"/>
            <w:tcMar>
              <w:top w:w="50" w:type="dxa"/>
              <w:start w:w="55" w:type="dxa"/>
              <w:bottom w:w="50" w:type="dxa"/>
              <w:end w:w="55" w:type="dxa"/>
            </w:tcMar>
            <w:vAlign w:val="top"/>
          </w:tcPr>
          <w:p>
            <w:pPr>
              <w:spacing w:after="0"/>
            </w:pPr>
            <w:r>
              <w:rPr>
                <w:sz w:val="14"/>
              </w:rPr>
              <w:t>Navigation, appointment/service discovery, preparation/reminders, plain-language explanation of released records with explicit non-emergency limitations.</w:t>
            </w:r>
          </w:p>
        </w:tc>
      </w:tr>
    </w:tbl>
    <w:p>
      <w:pPr>
        <w:spacing w:after="20"/>
      </w:pPr>
    </w:p>
    <w:p>
      <w:pPr>
        <w:pStyle w:val="Heading1"/>
      </w:pPr>
      <w:r>
        <w:t>56. Cybersecurity, Privacy and Healthcare Resilience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Control area</w:t>
            </w:r>
          </w:p>
        </w:tc>
        <w:tc>
          <w:tcPr>
            <w:tcW w:type="dxa" w:w="5083"/>
            <w:shd w:fill="D9EAF7"/>
            <w:tcMar>
              <w:top w:w="50" w:type="dxa"/>
              <w:start w:w="55" w:type="dxa"/>
              <w:bottom w:w="50" w:type="dxa"/>
              <w:end w:w="55" w:type="dxa"/>
            </w:tcMar>
          </w:tcPr>
          <w:p>
            <w:pPr>
              <w:spacing w:after="0"/>
            </w:pPr>
            <w:r>
              <w:rPr>
                <w:b/>
                <w:sz w:val="14"/>
              </w:rPr>
              <w:t>Architecture</w:t>
            </w:r>
          </w:p>
        </w:tc>
      </w:tr>
      <w:tr>
        <w:tc>
          <w:tcPr>
            <w:tcW w:type="dxa" w:w="2304"/>
            <w:tcMar>
              <w:top w:w="50" w:type="dxa"/>
              <w:start w:w="55" w:type="dxa"/>
              <w:bottom w:w="50" w:type="dxa"/>
              <w:end w:w="55" w:type="dxa"/>
            </w:tcMar>
            <w:vAlign w:val="top"/>
          </w:tcPr>
          <w:p>
            <w:pPr>
              <w:spacing w:after="0"/>
            </w:pPr>
            <w:r>
              <w:rPr>
                <w:sz w:val="14"/>
              </w:rPr>
              <w:t>IAM</w:t>
            </w:r>
          </w:p>
        </w:tc>
        <w:tc>
          <w:tcPr>
            <w:tcW w:type="dxa" w:w="8496"/>
            <w:tcMar>
              <w:top w:w="50" w:type="dxa"/>
              <w:start w:w="55" w:type="dxa"/>
              <w:bottom w:w="50" w:type="dxa"/>
              <w:end w:w="55" w:type="dxa"/>
            </w:tcMar>
            <w:vAlign w:val="top"/>
          </w:tcPr>
          <w:p>
            <w:pPr>
              <w:spacing w:after="0"/>
            </w:pPr>
            <w:r>
              <w:rPr>
                <w:sz w:val="14"/>
              </w:rPr>
              <w:t>SSO/OIDC, MFA, RBAC+ABAC, privileged access, service identity, session risk, break-glass and periodic access review.</w:t>
            </w:r>
          </w:p>
        </w:tc>
      </w:tr>
      <w:tr>
        <w:tc>
          <w:tcPr>
            <w:tcW w:type="dxa" w:w="2304"/>
            <w:tcMar>
              <w:top w:w="50" w:type="dxa"/>
              <w:start w:w="55" w:type="dxa"/>
              <w:bottom w:w="50" w:type="dxa"/>
              <w:end w:w="55" w:type="dxa"/>
            </w:tcMar>
            <w:vAlign w:val="top"/>
          </w:tcPr>
          <w:p>
            <w:pPr>
              <w:spacing w:after="0"/>
            </w:pPr>
            <w:r>
              <w:rPr>
                <w:sz w:val="14"/>
              </w:rPr>
              <w:t>Network</w:t>
            </w:r>
          </w:p>
        </w:tc>
        <w:tc>
          <w:tcPr>
            <w:tcW w:type="dxa" w:w="8496"/>
            <w:tcMar>
              <w:top w:w="50" w:type="dxa"/>
              <w:start w:w="55" w:type="dxa"/>
              <w:bottom w:w="50" w:type="dxa"/>
              <w:end w:w="55" w:type="dxa"/>
            </w:tcMar>
            <w:vAlign w:val="top"/>
          </w:tcPr>
          <w:p>
            <w:pPr>
              <w:spacing w:after="0"/>
            </w:pPr>
            <w:r>
              <w:rPr>
                <w:sz w:val="14"/>
              </w:rPr>
              <w:t>Internet edge/WAF/API gateway; app/data segmentation; tenant isolation; admin plane; integration DMZ; OT/SCADA segmentation and allowlisted gateways.</w:t>
            </w:r>
          </w:p>
        </w:tc>
      </w:tr>
      <w:tr>
        <w:tc>
          <w:tcPr>
            <w:tcW w:type="dxa" w:w="2304"/>
            <w:tcMar>
              <w:top w:w="50" w:type="dxa"/>
              <w:start w:w="55" w:type="dxa"/>
              <w:bottom w:w="50" w:type="dxa"/>
              <w:end w:w="55" w:type="dxa"/>
            </w:tcMar>
            <w:vAlign w:val="top"/>
          </w:tcPr>
          <w:p>
            <w:pPr>
              <w:spacing w:after="0"/>
            </w:pPr>
            <w:r>
              <w:rPr>
                <w:sz w:val="14"/>
              </w:rPr>
              <w:t>Data</w:t>
            </w:r>
          </w:p>
        </w:tc>
        <w:tc>
          <w:tcPr>
            <w:tcW w:type="dxa" w:w="8496"/>
            <w:tcMar>
              <w:top w:w="50" w:type="dxa"/>
              <w:start w:w="55" w:type="dxa"/>
              <w:bottom w:w="50" w:type="dxa"/>
              <w:end w:w="55" w:type="dxa"/>
            </w:tcMar>
            <w:vAlign w:val="top"/>
          </w:tcPr>
          <w:p>
            <w:pPr>
              <w:spacing w:after="0"/>
            </w:pPr>
            <w:r>
              <w:rPr>
                <w:sz w:val="14"/>
              </w:rPr>
              <w:t>Encryption, managed keys, database privileges, field masking, export controls, DLP patterns, backups and immutable audit.</w:t>
            </w:r>
          </w:p>
        </w:tc>
      </w:tr>
      <w:tr>
        <w:tc>
          <w:tcPr>
            <w:tcW w:type="dxa" w:w="2304"/>
            <w:tcMar>
              <w:top w:w="50" w:type="dxa"/>
              <w:start w:w="55" w:type="dxa"/>
              <w:bottom w:w="50" w:type="dxa"/>
              <w:end w:w="55" w:type="dxa"/>
            </w:tcMar>
            <w:vAlign w:val="top"/>
          </w:tcPr>
          <w:p>
            <w:pPr>
              <w:spacing w:after="0"/>
            </w:pPr>
            <w:r>
              <w:rPr>
                <w:sz w:val="14"/>
              </w:rPr>
              <w:t>Application security</w:t>
            </w:r>
          </w:p>
        </w:tc>
        <w:tc>
          <w:tcPr>
            <w:tcW w:type="dxa" w:w="8496"/>
            <w:tcMar>
              <w:top w:w="50" w:type="dxa"/>
              <w:start w:w="55" w:type="dxa"/>
              <w:bottom w:w="50" w:type="dxa"/>
              <w:end w:w="55" w:type="dxa"/>
            </w:tcMar>
            <w:vAlign w:val="top"/>
          </w:tcPr>
          <w:p>
            <w:pPr>
              <w:spacing w:after="0"/>
            </w:pPr>
            <w:r>
              <w:rPr>
                <w:sz w:val="14"/>
              </w:rPr>
              <w:t>Threat models, secure coding, SAST/SCA/secret/IaC/container scans, SBOM, signed artifacts, DAST and penetration tests.</w:t>
            </w:r>
          </w:p>
        </w:tc>
      </w:tr>
      <w:tr>
        <w:tc>
          <w:tcPr>
            <w:tcW w:type="dxa" w:w="2304"/>
            <w:tcMar>
              <w:top w:w="50" w:type="dxa"/>
              <w:start w:w="55" w:type="dxa"/>
              <w:bottom w:w="50" w:type="dxa"/>
              <w:end w:w="55" w:type="dxa"/>
            </w:tcMar>
            <w:vAlign w:val="top"/>
          </w:tcPr>
          <w:p>
            <w:pPr>
              <w:spacing w:after="0"/>
            </w:pPr>
            <w:r>
              <w:rPr>
                <w:sz w:val="14"/>
              </w:rPr>
              <w:t>SOC/SIEM</w:t>
            </w:r>
          </w:p>
        </w:tc>
        <w:tc>
          <w:tcPr>
            <w:tcW w:type="dxa" w:w="8496"/>
            <w:tcMar>
              <w:top w:w="50" w:type="dxa"/>
              <w:start w:w="55" w:type="dxa"/>
              <w:bottom w:w="50" w:type="dxa"/>
              <w:end w:w="55" w:type="dxa"/>
            </w:tcMar>
            <w:vAlign w:val="top"/>
          </w:tcPr>
          <w:p>
            <w:pPr>
              <w:spacing w:after="0"/>
            </w:pPr>
            <w:r>
              <w:rPr>
                <w:sz w:val="14"/>
              </w:rPr>
              <w:t>Central security events, correlation, privileged activity, anomalous export, integration abuse, alert triage and incident case management.</w:t>
            </w:r>
          </w:p>
        </w:tc>
      </w:tr>
      <w:tr>
        <w:tc>
          <w:tcPr>
            <w:tcW w:type="dxa" w:w="2304"/>
            <w:tcMar>
              <w:top w:w="50" w:type="dxa"/>
              <w:start w:w="55" w:type="dxa"/>
              <w:bottom w:w="50" w:type="dxa"/>
              <w:end w:w="55" w:type="dxa"/>
            </w:tcMar>
            <w:vAlign w:val="top"/>
          </w:tcPr>
          <w:p>
            <w:pPr>
              <w:spacing w:after="0"/>
            </w:pPr>
            <w:r>
              <w:rPr>
                <w:sz w:val="14"/>
              </w:rPr>
              <w:t>Vendor risk</w:t>
            </w:r>
          </w:p>
        </w:tc>
        <w:tc>
          <w:tcPr>
            <w:tcW w:type="dxa" w:w="8496"/>
            <w:tcMar>
              <w:top w:w="50" w:type="dxa"/>
              <w:start w:w="55" w:type="dxa"/>
              <w:bottom w:w="50" w:type="dxa"/>
              <w:end w:w="55" w:type="dxa"/>
            </w:tcMar>
            <w:vAlign w:val="top"/>
          </w:tcPr>
          <w:p>
            <w:pPr>
              <w:spacing w:after="0"/>
            </w:pPr>
            <w:r>
              <w:rPr>
                <w:sz w:val="14"/>
              </w:rPr>
              <w:t>Processor/subprocessor inventory, due diligence, contractual security requirements, access expiry and integration credential rotation.</w:t>
            </w:r>
          </w:p>
        </w:tc>
      </w:tr>
      <w:tr>
        <w:tc>
          <w:tcPr>
            <w:tcW w:type="dxa" w:w="2304"/>
            <w:tcMar>
              <w:top w:w="50" w:type="dxa"/>
              <w:start w:w="55" w:type="dxa"/>
              <w:bottom w:w="50" w:type="dxa"/>
              <w:end w:w="55" w:type="dxa"/>
            </w:tcMar>
            <w:vAlign w:val="top"/>
          </w:tcPr>
          <w:p>
            <w:pPr>
              <w:spacing w:after="0"/>
            </w:pPr>
            <w:r>
              <w:rPr>
                <w:sz w:val="14"/>
              </w:rPr>
              <w:t>Privacy</w:t>
            </w:r>
          </w:p>
        </w:tc>
        <w:tc>
          <w:tcPr>
            <w:tcW w:type="dxa" w:w="8496"/>
            <w:tcMar>
              <w:top w:w="50" w:type="dxa"/>
              <w:start w:w="55" w:type="dxa"/>
              <w:bottom w:w="50" w:type="dxa"/>
              <w:end w:w="55" w:type="dxa"/>
            </w:tcMar>
            <w:vAlign w:val="top"/>
          </w:tcPr>
          <w:p>
            <w:pPr>
              <w:spacing w:after="0"/>
            </w:pPr>
            <w:r>
              <w:rPr>
                <w:sz w:val="14"/>
              </w:rPr>
              <w:t>DPDP-oriented notices/purposes/rights/grievance/retention and consent where applicable; configuration tracks phased legal commencement.</w:t>
            </w:r>
          </w:p>
        </w:tc>
      </w:tr>
      <w:tr>
        <w:tc>
          <w:tcPr>
            <w:tcW w:type="dxa" w:w="2304"/>
            <w:tcMar>
              <w:top w:w="50" w:type="dxa"/>
              <w:start w:w="55" w:type="dxa"/>
              <w:bottom w:w="50" w:type="dxa"/>
              <w:end w:w="55" w:type="dxa"/>
            </w:tcMar>
            <w:vAlign w:val="top"/>
          </w:tcPr>
          <w:p>
            <w:pPr>
              <w:spacing w:after="0"/>
            </w:pPr>
            <w:r>
              <w:rPr>
                <w:sz w:val="14"/>
              </w:rPr>
              <w:t>Downtime continuity</w:t>
            </w:r>
          </w:p>
        </w:tc>
        <w:tc>
          <w:tcPr>
            <w:tcW w:type="dxa" w:w="8496"/>
            <w:tcMar>
              <w:top w:w="50" w:type="dxa"/>
              <w:start w:w="55" w:type="dxa"/>
              <w:bottom w:w="50" w:type="dxa"/>
              <w:end w:w="55" w:type="dxa"/>
            </w:tcMar>
            <w:vAlign w:val="top"/>
          </w:tcPr>
          <w:p>
            <w:pPr>
              <w:spacing w:after="0"/>
            </w:pPr>
            <w:r>
              <w:rPr>
                <w:sz w:val="14"/>
              </w:rPr>
              <w:t>Local downtime registration, census, medication/critical clinical summaries, specimen labels and emergency workflows with reconciliation after restoration.</w:t>
            </w:r>
          </w:p>
        </w:tc>
      </w:tr>
      <w:tr>
        <w:tc>
          <w:tcPr>
            <w:tcW w:type="dxa" w:w="2304"/>
            <w:tcMar>
              <w:top w:w="50" w:type="dxa"/>
              <w:start w:w="55" w:type="dxa"/>
              <w:bottom w:w="50" w:type="dxa"/>
              <w:end w:w="55" w:type="dxa"/>
            </w:tcMar>
            <w:vAlign w:val="top"/>
          </w:tcPr>
          <w:p>
            <w:pPr>
              <w:spacing w:after="0"/>
            </w:pPr>
            <w:r>
              <w:rPr>
                <w:sz w:val="14"/>
              </w:rPr>
              <w:t>Ransomware resilience</w:t>
            </w:r>
          </w:p>
        </w:tc>
        <w:tc>
          <w:tcPr>
            <w:tcW w:type="dxa" w:w="8496"/>
            <w:tcMar>
              <w:top w:w="50" w:type="dxa"/>
              <w:start w:w="55" w:type="dxa"/>
              <w:bottom w:w="50" w:type="dxa"/>
              <w:end w:w="55" w:type="dxa"/>
            </w:tcMar>
            <w:vAlign w:val="top"/>
          </w:tcPr>
          <w:p>
            <w:pPr>
              <w:spacing w:after="0"/>
            </w:pPr>
            <w:r>
              <w:rPr>
                <w:sz w:val="14"/>
              </w:rPr>
              <w:t>Immutable/offline backup option, isolated recovery credentials, tested restoration, golden images and clinical downtime playbooks.</w:t>
            </w:r>
          </w:p>
        </w:tc>
      </w:tr>
    </w:tbl>
    <w:p>
      <w:pPr>
        <w:spacing w:after="20"/>
      </w:pPr>
    </w:p>
    <w:p>
      <w:pPr>
        <w:pStyle w:val="Heading2"/>
      </w:pPr>
      <w:r>
        <w:t>56.1 Service Criticality and Recovery Tiers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tcMar>
              <w:top w:w="50" w:type="dxa"/>
              <w:start w:w="55" w:type="dxa"/>
              <w:bottom w:w="50" w:type="dxa"/>
              <w:end w:w="55" w:type="dxa"/>
            </w:tcMar>
          </w:tcPr>
          <w:p>
            <w:pPr>
              <w:spacing w:after="0"/>
            </w:pPr>
            <w:r>
              <w:rPr>
                <w:b/>
                <w:sz w:val="13"/>
              </w:rPr>
              <w:t>Tier</w:t>
            </w:r>
          </w:p>
        </w:tc>
        <w:tc>
          <w:tcPr>
            <w:tcW w:type="dxa" w:w="3389"/>
            <w:shd w:fill="D9EAF7"/>
            <w:tcMar>
              <w:top w:w="50" w:type="dxa"/>
              <w:start w:w="55" w:type="dxa"/>
              <w:bottom w:w="50" w:type="dxa"/>
              <w:end w:w="55" w:type="dxa"/>
            </w:tcMar>
          </w:tcPr>
          <w:p>
            <w:pPr>
              <w:spacing w:after="0"/>
            </w:pPr>
            <w:r>
              <w:rPr>
                <w:b/>
                <w:sz w:val="13"/>
              </w:rPr>
              <w:t>Examples</w:t>
            </w:r>
          </w:p>
        </w:tc>
        <w:tc>
          <w:tcPr>
            <w:tcW w:type="dxa" w:w="3389"/>
            <w:shd w:fill="D9EAF7"/>
            <w:tcMar>
              <w:top w:w="50" w:type="dxa"/>
              <w:start w:w="55" w:type="dxa"/>
              <w:bottom w:w="50" w:type="dxa"/>
              <w:end w:w="55" w:type="dxa"/>
            </w:tcMar>
          </w:tcPr>
          <w:p>
            <w:pPr>
              <w:spacing w:after="0"/>
            </w:pPr>
            <w:r>
              <w:rPr>
                <w:b/>
                <w:sz w:val="13"/>
              </w:rPr>
              <w:t>Planning objective</w:t>
            </w:r>
          </w:p>
        </w:tc>
      </w:tr>
      <w:tr>
        <w:tc>
          <w:tcPr>
            <w:tcW w:type="dxa" w:w="2160"/>
            <w:tcMar>
              <w:top w:w="50" w:type="dxa"/>
              <w:start w:w="55" w:type="dxa"/>
              <w:bottom w:w="50" w:type="dxa"/>
              <w:end w:w="55" w:type="dxa"/>
            </w:tcMar>
            <w:vAlign w:val="top"/>
          </w:tcPr>
          <w:p>
            <w:pPr>
              <w:spacing w:after="0"/>
            </w:pPr>
            <w:r>
              <w:rPr>
                <w:sz w:val="13"/>
              </w:rPr>
              <w:t>Tier 0 - Life/identity continuity</w:t>
            </w:r>
          </w:p>
        </w:tc>
        <w:tc>
          <w:tcPr>
            <w:tcW w:type="dxa" w:w="4608"/>
            <w:tcMar>
              <w:top w:w="50" w:type="dxa"/>
              <w:start w:w="55" w:type="dxa"/>
              <w:bottom w:w="50" w:type="dxa"/>
              <w:end w:w="55" w:type="dxa"/>
            </w:tcMar>
            <w:vAlign w:val="top"/>
          </w:tcPr>
          <w:p>
            <w:pPr>
              <w:spacing w:after="0"/>
            </w:pPr>
            <w:r>
              <w:rPr>
                <w:sz w:val="13"/>
              </w:rPr>
              <w:t>Patient identity, ADT/census, critical medication/MAR subset, emergency registration, core auth</w:t>
            </w:r>
          </w:p>
        </w:tc>
        <w:tc>
          <w:tcPr>
            <w:tcW w:type="dxa" w:w="4032"/>
            <w:tcMar>
              <w:top w:w="50" w:type="dxa"/>
              <w:start w:w="55" w:type="dxa"/>
              <w:bottom w:w="50" w:type="dxa"/>
              <w:end w:w="55" w:type="dxa"/>
            </w:tcMar>
            <w:vAlign w:val="top"/>
          </w:tcPr>
          <w:p>
            <w:pPr>
              <w:spacing w:after="0"/>
            </w:pPr>
            <w:r>
              <w:rPr>
                <w:sz w:val="13"/>
              </w:rPr>
              <w:t>Design target RPO near-zero to &lt;=5 min; RTO &lt;=30-60 min depending deployment; local downtime procedures mandatory.</w:t>
            </w:r>
          </w:p>
        </w:tc>
      </w:tr>
      <w:tr>
        <w:tc>
          <w:tcPr>
            <w:tcW w:type="dxa" w:w="2160"/>
            <w:tcMar>
              <w:top w:w="50" w:type="dxa"/>
              <w:start w:w="55" w:type="dxa"/>
              <w:bottom w:w="50" w:type="dxa"/>
              <w:end w:w="55" w:type="dxa"/>
            </w:tcMar>
            <w:vAlign w:val="top"/>
          </w:tcPr>
          <w:p>
            <w:pPr>
              <w:spacing w:after="0"/>
            </w:pPr>
            <w:r>
              <w:rPr>
                <w:sz w:val="13"/>
              </w:rPr>
              <w:t>Tier 1 - Core operations</w:t>
            </w:r>
          </w:p>
        </w:tc>
        <w:tc>
          <w:tcPr>
            <w:tcW w:type="dxa" w:w="4608"/>
            <w:tcMar>
              <w:top w:w="50" w:type="dxa"/>
              <w:start w:w="55" w:type="dxa"/>
              <w:bottom w:w="50" w:type="dxa"/>
              <w:end w:w="55" w:type="dxa"/>
            </w:tcMar>
            <w:vAlign w:val="top"/>
          </w:tcPr>
          <w:p>
            <w:pPr>
              <w:spacing w:after="0"/>
            </w:pPr>
            <w:r>
              <w:rPr>
                <w:sz w:val="13"/>
              </w:rPr>
              <w:t>Orders/results, pharmacy, lab, billing, claims work queues</w:t>
            </w:r>
          </w:p>
        </w:tc>
        <w:tc>
          <w:tcPr>
            <w:tcW w:type="dxa" w:w="4032"/>
            <w:tcMar>
              <w:top w:w="50" w:type="dxa"/>
              <w:start w:w="55" w:type="dxa"/>
              <w:bottom w:w="50" w:type="dxa"/>
              <w:end w:w="55" w:type="dxa"/>
            </w:tcMar>
            <w:vAlign w:val="top"/>
          </w:tcPr>
          <w:p>
            <w:pPr>
              <w:spacing w:after="0"/>
            </w:pPr>
            <w:r>
              <w:rPr>
                <w:sz w:val="13"/>
              </w:rPr>
              <w:t>RPO &lt;=15 min; RTO &lt;=2 hr planning target.</w:t>
            </w:r>
          </w:p>
        </w:tc>
      </w:tr>
      <w:tr>
        <w:tc>
          <w:tcPr>
            <w:tcW w:type="dxa" w:w="2160"/>
            <w:tcMar>
              <w:top w:w="50" w:type="dxa"/>
              <w:start w:w="55" w:type="dxa"/>
              <w:bottom w:w="50" w:type="dxa"/>
              <w:end w:w="55" w:type="dxa"/>
            </w:tcMar>
            <w:vAlign w:val="top"/>
          </w:tcPr>
          <w:p>
            <w:pPr>
              <w:spacing w:after="0"/>
            </w:pPr>
            <w:r>
              <w:rPr>
                <w:sz w:val="13"/>
              </w:rPr>
              <w:t>Tier 2 - Business support</w:t>
            </w:r>
          </w:p>
        </w:tc>
        <w:tc>
          <w:tcPr>
            <w:tcW w:type="dxa" w:w="4608"/>
            <w:tcMar>
              <w:top w:w="50" w:type="dxa"/>
              <w:start w:w="55" w:type="dxa"/>
              <w:bottom w:w="50" w:type="dxa"/>
              <w:end w:w="55" w:type="dxa"/>
            </w:tcMar>
            <w:vAlign w:val="top"/>
          </w:tcPr>
          <w:p>
            <w:pPr>
              <w:spacing w:after="0"/>
            </w:pPr>
            <w:r>
              <w:rPr>
                <w:sz w:val="13"/>
              </w:rPr>
              <w:t>HR, payroll, procurement analytics, CRM, noncritical reports</w:t>
            </w:r>
          </w:p>
        </w:tc>
        <w:tc>
          <w:tcPr>
            <w:tcW w:type="dxa" w:w="4032"/>
            <w:tcMar>
              <w:top w:w="50" w:type="dxa"/>
              <w:start w:w="55" w:type="dxa"/>
              <w:bottom w:w="50" w:type="dxa"/>
              <w:end w:w="55" w:type="dxa"/>
            </w:tcMar>
            <w:vAlign w:val="top"/>
          </w:tcPr>
          <w:p>
            <w:pPr>
              <w:spacing w:after="0"/>
            </w:pPr>
            <w:r>
              <w:rPr>
                <w:sz w:val="13"/>
              </w:rPr>
              <w:t>RPO &lt;=24 hr; RTO &lt;=8-24 hr according to customer tier.</w:t>
            </w:r>
          </w:p>
        </w:tc>
      </w:tr>
      <w:tr>
        <w:tc>
          <w:tcPr>
            <w:tcW w:type="dxa" w:w="2160"/>
            <w:tcMar>
              <w:top w:w="50" w:type="dxa"/>
              <w:start w:w="55" w:type="dxa"/>
              <w:bottom w:w="50" w:type="dxa"/>
              <w:end w:w="55" w:type="dxa"/>
            </w:tcMar>
            <w:vAlign w:val="top"/>
          </w:tcPr>
          <w:p>
            <w:pPr>
              <w:spacing w:after="0"/>
            </w:pPr>
            <w:r>
              <w:rPr>
                <w:sz w:val="13"/>
              </w:rPr>
              <w:t>Tier OT</w:t>
            </w:r>
          </w:p>
        </w:tc>
        <w:tc>
          <w:tcPr>
            <w:tcW w:type="dxa" w:w="4608"/>
            <w:tcMar>
              <w:top w:w="50" w:type="dxa"/>
              <w:start w:w="55" w:type="dxa"/>
              <w:bottom w:w="50" w:type="dxa"/>
              <w:end w:w="55" w:type="dxa"/>
            </w:tcMar>
            <w:vAlign w:val="top"/>
          </w:tcPr>
          <w:p>
            <w:pPr>
              <w:spacing w:after="0"/>
            </w:pPr>
            <w:r>
              <w:rPr>
                <w:sz w:val="13"/>
              </w:rPr>
              <w:t>SCADA local control remains local/fail-safe; cloud application telemetry loss must not disable safety interlocks</w:t>
            </w:r>
          </w:p>
        </w:tc>
        <w:tc>
          <w:tcPr>
            <w:tcW w:type="dxa" w:w="4032"/>
            <w:tcMar>
              <w:top w:w="50" w:type="dxa"/>
              <w:start w:w="55" w:type="dxa"/>
              <w:bottom w:w="50" w:type="dxa"/>
              <w:end w:w="55" w:type="dxa"/>
            </w:tcMar>
            <w:vAlign w:val="top"/>
          </w:tcPr>
          <w:p>
            <w:pPr>
              <w:spacing w:after="0"/>
            </w:pPr>
            <w:r>
              <w:rPr>
                <w:sz w:val="13"/>
              </w:rPr>
              <w:t>Edge buffers data; restoration targets negotiated by site engineering.</w:t>
            </w:r>
          </w:p>
        </w:tc>
      </w:tr>
    </w:tbl>
    <w:p>
      <w:pPr>
        <w:spacing w:after="20"/>
      </w:pPr>
    </w:p>
    <w:p>
      <w:pPr>
        <w:pStyle w:val="Heading1"/>
      </w:pPr>
      <w:r>
        <w:t>57. SRE, Observability and Operational Management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ID</w:t>
            </w:r>
          </w:p>
        </w:tc>
        <w:tc>
          <w:tcPr>
            <w:tcW w:type="dxa" w:w="5083"/>
            <w:shd w:fill="D9EAF7"/>
            <w:tcMar>
              <w:top w:w="50" w:type="dxa"/>
              <w:start w:w="55" w:type="dxa"/>
              <w:bottom w:w="50" w:type="dxa"/>
              <w:end w:w="55" w:type="dxa"/>
            </w:tcMar>
          </w:tcPr>
          <w:p>
            <w:pPr>
              <w:spacing w:after="0"/>
            </w:pPr>
            <w:r>
              <w:rPr>
                <w:b/>
                <w:sz w:val="14"/>
              </w:rPr>
              <w:t>Requirement</w:t>
            </w:r>
          </w:p>
        </w:tc>
      </w:tr>
      <w:tr>
        <w:tc>
          <w:tcPr>
            <w:tcW w:type="dxa" w:w="1440"/>
            <w:tcMar>
              <w:top w:w="50" w:type="dxa"/>
              <w:start w:w="55" w:type="dxa"/>
              <w:bottom w:w="50" w:type="dxa"/>
              <w:end w:w="55" w:type="dxa"/>
            </w:tcMar>
            <w:vAlign w:val="top"/>
          </w:tcPr>
          <w:p>
            <w:pPr>
              <w:spacing w:after="0"/>
            </w:pPr>
            <w:r>
              <w:rPr>
                <w:sz w:val="14"/>
              </w:rPr>
              <w:t>SRE-001</w:t>
            </w:r>
          </w:p>
        </w:tc>
        <w:tc>
          <w:tcPr>
            <w:tcW w:type="dxa" w:w="9360"/>
            <w:tcMar>
              <w:top w:w="50" w:type="dxa"/>
              <w:start w:w="55" w:type="dxa"/>
              <w:bottom w:w="50" w:type="dxa"/>
              <w:end w:w="55" w:type="dxa"/>
            </w:tcMar>
            <w:vAlign w:val="top"/>
          </w:tcPr>
          <w:p>
            <w:pPr>
              <w:spacing w:after="0"/>
            </w:pPr>
            <w:r>
              <w:rPr>
                <w:sz w:val="14"/>
              </w:rPr>
              <w:t>Service catalog with owner, criticality, dependency, SLO, runbook, dashboards and escalation.</w:t>
            </w:r>
          </w:p>
        </w:tc>
      </w:tr>
      <w:tr>
        <w:tc>
          <w:tcPr>
            <w:tcW w:type="dxa" w:w="1440"/>
            <w:tcMar>
              <w:top w:w="50" w:type="dxa"/>
              <w:start w:w="55" w:type="dxa"/>
              <w:bottom w:w="50" w:type="dxa"/>
              <w:end w:w="55" w:type="dxa"/>
            </w:tcMar>
            <w:vAlign w:val="top"/>
          </w:tcPr>
          <w:p>
            <w:pPr>
              <w:spacing w:after="0"/>
            </w:pPr>
            <w:r>
              <w:rPr>
                <w:sz w:val="14"/>
              </w:rPr>
              <w:t>SRE-002</w:t>
            </w:r>
          </w:p>
        </w:tc>
        <w:tc>
          <w:tcPr>
            <w:tcW w:type="dxa" w:w="9360"/>
            <w:tcMar>
              <w:top w:w="50" w:type="dxa"/>
              <w:start w:w="55" w:type="dxa"/>
              <w:bottom w:w="50" w:type="dxa"/>
              <w:end w:w="55" w:type="dxa"/>
            </w:tcMar>
            <w:vAlign w:val="top"/>
          </w:tcPr>
          <w:p>
            <w:pPr>
              <w:spacing w:after="0"/>
            </w:pPr>
            <w:r>
              <w:rPr>
                <w:sz w:val="14"/>
              </w:rPr>
              <w:t>Golden signals: latency, traffic, errors, saturation plus queue lag, workflow age, DB replication, event consumer lag and vendor dependency health.</w:t>
            </w:r>
          </w:p>
        </w:tc>
      </w:tr>
      <w:tr>
        <w:tc>
          <w:tcPr>
            <w:tcW w:type="dxa" w:w="1440"/>
            <w:tcMar>
              <w:top w:w="50" w:type="dxa"/>
              <w:start w:w="55" w:type="dxa"/>
              <w:bottom w:w="50" w:type="dxa"/>
              <w:end w:w="55" w:type="dxa"/>
            </w:tcMar>
            <w:vAlign w:val="top"/>
          </w:tcPr>
          <w:p>
            <w:pPr>
              <w:spacing w:after="0"/>
            </w:pPr>
            <w:r>
              <w:rPr>
                <w:sz w:val="14"/>
              </w:rPr>
              <w:t>SRE-003</w:t>
            </w:r>
          </w:p>
        </w:tc>
        <w:tc>
          <w:tcPr>
            <w:tcW w:type="dxa" w:w="9360"/>
            <w:tcMar>
              <w:top w:w="50" w:type="dxa"/>
              <w:start w:w="55" w:type="dxa"/>
              <w:bottom w:w="50" w:type="dxa"/>
              <w:end w:w="55" w:type="dxa"/>
            </w:tcMar>
            <w:vAlign w:val="top"/>
          </w:tcPr>
          <w:p>
            <w:pPr>
              <w:spacing w:after="0"/>
            </w:pPr>
            <w:r>
              <w:rPr>
                <w:sz w:val="14"/>
              </w:rPr>
              <w:t>Business SLOs: order acceptance, lab result posting, prescription readiness, claim submission, payment reconciliation and alert delivery.</w:t>
            </w:r>
          </w:p>
        </w:tc>
      </w:tr>
      <w:tr>
        <w:tc>
          <w:tcPr>
            <w:tcW w:type="dxa" w:w="1440"/>
            <w:tcMar>
              <w:top w:w="50" w:type="dxa"/>
              <w:start w:w="55" w:type="dxa"/>
              <w:bottom w:w="50" w:type="dxa"/>
              <w:end w:w="55" w:type="dxa"/>
            </w:tcMar>
            <w:vAlign w:val="top"/>
          </w:tcPr>
          <w:p>
            <w:pPr>
              <w:spacing w:after="0"/>
            </w:pPr>
            <w:r>
              <w:rPr>
                <w:sz w:val="14"/>
              </w:rPr>
              <w:t>SRE-004</w:t>
            </w:r>
          </w:p>
        </w:tc>
        <w:tc>
          <w:tcPr>
            <w:tcW w:type="dxa" w:w="9360"/>
            <w:tcMar>
              <w:top w:w="50" w:type="dxa"/>
              <w:start w:w="55" w:type="dxa"/>
              <w:bottom w:w="50" w:type="dxa"/>
              <w:end w:w="55" w:type="dxa"/>
            </w:tcMar>
            <w:vAlign w:val="top"/>
          </w:tcPr>
          <w:p>
            <w:pPr>
              <w:spacing w:after="0"/>
            </w:pPr>
            <w:r>
              <w:rPr>
                <w:sz w:val="14"/>
              </w:rPr>
              <w:t>Distributed trace correlation from Svelte/Flutter request to ConnectRPC, Go service, workflow/event and external adapter.</w:t>
            </w:r>
          </w:p>
        </w:tc>
      </w:tr>
      <w:tr>
        <w:tc>
          <w:tcPr>
            <w:tcW w:type="dxa" w:w="1440"/>
            <w:tcMar>
              <w:top w:w="50" w:type="dxa"/>
              <w:start w:w="55" w:type="dxa"/>
              <w:bottom w:w="50" w:type="dxa"/>
              <w:end w:w="55" w:type="dxa"/>
            </w:tcMar>
            <w:vAlign w:val="top"/>
          </w:tcPr>
          <w:p>
            <w:pPr>
              <w:spacing w:after="0"/>
            </w:pPr>
            <w:r>
              <w:rPr>
                <w:sz w:val="14"/>
              </w:rPr>
              <w:t>SRE-005</w:t>
            </w:r>
          </w:p>
        </w:tc>
        <w:tc>
          <w:tcPr>
            <w:tcW w:type="dxa" w:w="9360"/>
            <w:tcMar>
              <w:top w:w="50" w:type="dxa"/>
              <w:start w:w="55" w:type="dxa"/>
              <w:bottom w:w="50" w:type="dxa"/>
              <w:end w:w="55" w:type="dxa"/>
            </w:tcMar>
            <w:vAlign w:val="top"/>
          </w:tcPr>
          <w:p>
            <w:pPr>
              <w:spacing w:after="0"/>
            </w:pPr>
            <w:r>
              <w:rPr>
                <w:sz w:val="14"/>
              </w:rPr>
              <w:t>Synthetic journeys continuously validate login, registration, appointment, order/result, pharmacy and billing in non-production/safe production probes.</w:t>
            </w:r>
          </w:p>
        </w:tc>
      </w:tr>
      <w:tr>
        <w:tc>
          <w:tcPr>
            <w:tcW w:type="dxa" w:w="1440"/>
            <w:tcMar>
              <w:top w:w="50" w:type="dxa"/>
              <w:start w:w="55" w:type="dxa"/>
              <w:bottom w:w="50" w:type="dxa"/>
              <w:end w:w="55" w:type="dxa"/>
            </w:tcMar>
            <w:vAlign w:val="top"/>
          </w:tcPr>
          <w:p>
            <w:pPr>
              <w:spacing w:after="0"/>
            </w:pPr>
            <w:r>
              <w:rPr>
                <w:sz w:val="14"/>
              </w:rPr>
              <w:t>SRE-006</w:t>
            </w:r>
          </w:p>
        </w:tc>
        <w:tc>
          <w:tcPr>
            <w:tcW w:type="dxa" w:w="9360"/>
            <w:tcMar>
              <w:top w:w="50" w:type="dxa"/>
              <w:start w:w="55" w:type="dxa"/>
              <w:bottom w:w="50" w:type="dxa"/>
              <w:end w:w="55" w:type="dxa"/>
            </w:tcMar>
            <w:vAlign w:val="top"/>
          </w:tcPr>
          <w:p>
            <w:pPr>
              <w:spacing w:after="0"/>
            </w:pPr>
            <w:r>
              <w:rPr>
                <w:sz w:val="14"/>
              </w:rPr>
              <w:t>Incident management: severity, commander, communication, timeline, post-incident review, action ownership and recurrence tracking.</w:t>
            </w:r>
          </w:p>
        </w:tc>
      </w:tr>
      <w:tr>
        <w:tc>
          <w:tcPr>
            <w:tcW w:type="dxa" w:w="1440"/>
            <w:tcMar>
              <w:top w:w="50" w:type="dxa"/>
              <w:start w:w="55" w:type="dxa"/>
              <w:bottom w:w="50" w:type="dxa"/>
              <w:end w:w="55" w:type="dxa"/>
            </w:tcMar>
            <w:vAlign w:val="top"/>
          </w:tcPr>
          <w:p>
            <w:pPr>
              <w:spacing w:after="0"/>
            </w:pPr>
            <w:r>
              <w:rPr>
                <w:sz w:val="14"/>
              </w:rPr>
              <w:t>SRE-007</w:t>
            </w:r>
          </w:p>
        </w:tc>
        <w:tc>
          <w:tcPr>
            <w:tcW w:type="dxa" w:w="9360"/>
            <w:tcMar>
              <w:top w:w="50" w:type="dxa"/>
              <w:start w:w="55" w:type="dxa"/>
              <w:bottom w:w="50" w:type="dxa"/>
              <w:end w:w="55" w:type="dxa"/>
            </w:tcMar>
            <w:vAlign w:val="top"/>
          </w:tcPr>
          <w:p>
            <w:pPr>
              <w:spacing w:after="0"/>
            </w:pPr>
            <w:r>
              <w:rPr>
                <w:sz w:val="14"/>
              </w:rPr>
              <w:t>Capacity planning by facility/tenant plus stress, soak and failover testing before enterprise cutover.</w:t>
            </w:r>
          </w:p>
        </w:tc>
      </w:tr>
    </w:tbl>
    <w:p>
      <w:pPr>
        <w:spacing w:after="20"/>
      </w:pPr>
    </w:p>
    <w:p>
      <w:pPr>
        <w:pStyle w:val="Heading1"/>
      </w:pPr>
      <w:r>
        <w:t>58. Role-Based UX Workspaces and Navigation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Workspace</w:t>
            </w:r>
          </w:p>
        </w:tc>
        <w:tc>
          <w:tcPr>
            <w:tcW w:type="dxa" w:w="5083"/>
            <w:shd w:fill="D9EAF7"/>
            <w:tcMar>
              <w:top w:w="50" w:type="dxa"/>
              <w:start w:w="55" w:type="dxa"/>
              <w:bottom w:w="50" w:type="dxa"/>
              <w:end w:w="55" w:type="dxa"/>
            </w:tcMar>
          </w:tcPr>
          <w:p>
            <w:pPr>
              <w:spacing w:after="0"/>
            </w:pPr>
            <w:r>
              <w:rPr>
                <w:b/>
                <w:sz w:val="14"/>
              </w:rPr>
              <w:t>Primary navigation</w:t>
            </w:r>
          </w:p>
        </w:tc>
      </w:tr>
      <w:tr>
        <w:tc>
          <w:tcPr>
            <w:tcW w:type="dxa" w:w="2592"/>
            <w:tcMar>
              <w:top w:w="50" w:type="dxa"/>
              <w:start w:w="55" w:type="dxa"/>
              <w:bottom w:w="50" w:type="dxa"/>
              <w:end w:w="55" w:type="dxa"/>
            </w:tcMar>
            <w:vAlign w:val="top"/>
          </w:tcPr>
          <w:p>
            <w:pPr>
              <w:spacing w:after="0"/>
            </w:pPr>
            <w:r>
              <w:rPr>
                <w:sz w:val="14"/>
              </w:rPr>
              <w:t>Doctor Workspace</w:t>
            </w:r>
          </w:p>
        </w:tc>
        <w:tc>
          <w:tcPr>
            <w:tcW w:type="dxa" w:w="8208"/>
            <w:tcMar>
              <w:top w:w="50" w:type="dxa"/>
              <w:start w:w="55" w:type="dxa"/>
              <w:bottom w:w="50" w:type="dxa"/>
              <w:end w:w="55" w:type="dxa"/>
            </w:tcMar>
            <w:vAlign w:val="top"/>
          </w:tcPr>
          <w:p>
            <w:pPr>
              <w:spacing w:after="0"/>
            </w:pPr>
            <w:r>
              <w:rPr>
                <w:sz w:val="14"/>
              </w:rPr>
              <w:t>Today/queue; patient search; inbox/results; tasks; encounters; favorites/order sets; specialty registries; messages; schedule.</w:t>
            </w:r>
          </w:p>
        </w:tc>
      </w:tr>
      <w:tr>
        <w:tc>
          <w:tcPr>
            <w:tcW w:type="dxa" w:w="2592"/>
            <w:tcMar>
              <w:top w:w="50" w:type="dxa"/>
              <w:start w:w="55" w:type="dxa"/>
              <w:bottom w:w="50" w:type="dxa"/>
              <w:end w:w="55" w:type="dxa"/>
            </w:tcMar>
            <w:vAlign w:val="top"/>
          </w:tcPr>
          <w:p>
            <w:pPr>
              <w:spacing w:after="0"/>
            </w:pPr>
            <w:r>
              <w:rPr>
                <w:sz w:val="14"/>
              </w:rPr>
              <w:t>Nurse Workspace</w:t>
            </w:r>
          </w:p>
        </w:tc>
        <w:tc>
          <w:tcPr>
            <w:tcW w:type="dxa" w:w="8208"/>
            <w:tcMar>
              <w:top w:w="50" w:type="dxa"/>
              <w:start w:w="55" w:type="dxa"/>
              <w:bottom w:w="50" w:type="dxa"/>
              <w:end w:w="55" w:type="dxa"/>
            </w:tcMar>
            <w:vAlign w:val="top"/>
          </w:tcPr>
          <w:p>
            <w:pPr>
              <w:spacing w:after="0"/>
            </w:pPr>
            <w:r>
              <w:rPr>
                <w:sz w:val="14"/>
              </w:rPr>
              <w:t>Ward/bed board; medication due; observations/tasks; handover; admissions/discharges; procedures; escalation.</w:t>
            </w:r>
          </w:p>
        </w:tc>
      </w:tr>
      <w:tr>
        <w:tc>
          <w:tcPr>
            <w:tcW w:type="dxa" w:w="2592"/>
            <w:tcMar>
              <w:top w:w="50" w:type="dxa"/>
              <w:start w:w="55" w:type="dxa"/>
              <w:bottom w:w="50" w:type="dxa"/>
              <w:end w:w="55" w:type="dxa"/>
            </w:tcMar>
            <w:vAlign w:val="top"/>
          </w:tcPr>
          <w:p>
            <w:pPr>
              <w:spacing w:after="0"/>
            </w:pPr>
            <w:r>
              <w:rPr>
                <w:sz w:val="14"/>
              </w:rPr>
              <w:t>ER Workspace</w:t>
            </w:r>
          </w:p>
        </w:tc>
        <w:tc>
          <w:tcPr>
            <w:tcW w:type="dxa" w:w="8208"/>
            <w:tcMar>
              <w:top w:w="50" w:type="dxa"/>
              <w:start w:w="55" w:type="dxa"/>
              <w:bottom w:w="50" w:type="dxa"/>
              <w:end w:w="55" w:type="dxa"/>
            </w:tcMar>
            <w:vAlign w:val="top"/>
          </w:tcPr>
          <w:p>
            <w:pPr>
              <w:spacing w:after="0"/>
            </w:pPr>
            <w:r>
              <w:rPr>
                <w:sz w:val="14"/>
              </w:rPr>
              <w:t>Arrival/triage; resuscitation board; pending orders/results; observation; beds; transfers; time-critical pathways.</w:t>
            </w:r>
          </w:p>
        </w:tc>
      </w:tr>
      <w:tr>
        <w:tc>
          <w:tcPr>
            <w:tcW w:type="dxa" w:w="2592"/>
            <w:tcMar>
              <w:top w:w="50" w:type="dxa"/>
              <w:start w:w="55" w:type="dxa"/>
              <w:bottom w:w="50" w:type="dxa"/>
              <w:end w:w="55" w:type="dxa"/>
            </w:tcMar>
            <w:vAlign w:val="top"/>
          </w:tcPr>
          <w:p>
            <w:pPr>
              <w:spacing w:after="0"/>
            </w:pPr>
            <w:r>
              <w:rPr>
                <w:sz w:val="14"/>
              </w:rPr>
              <w:t>Pharmacy Workspace</w:t>
            </w:r>
          </w:p>
        </w:tc>
        <w:tc>
          <w:tcPr>
            <w:tcW w:type="dxa" w:w="8208"/>
            <w:tcMar>
              <w:top w:w="50" w:type="dxa"/>
              <w:start w:w="55" w:type="dxa"/>
              <w:bottom w:w="50" w:type="dxa"/>
              <w:end w:w="55" w:type="dxa"/>
            </w:tcMar>
            <w:vAlign w:val="top"/>
          </w:tcPr>
          <w:p>
            <w:pPr>
              <w:spacing w:after="0"/>
            </w:pPr>
            <w:r>
              <w:rPr>
                <w:sz w:val="14"/>
              </w:rPr>
              <w:t>Prescription queue; verification; picking; POS; inpatient supply; inventory; procurement; expiry/recall; delivery.</w:t>
            </w:r>
          </w:p>
        </w:tc>
      </w:tr>
      <w:tr>
        <w:tc>
          <w:tcPr>
            <w:tcW w:type="dxa" w:w="2592"/>
            <w:tcMar>
              <w:top w:w="50" w:type="dxa"/>
              <w:start w:w="55" w:type="dxa"/>
              <w:bottom w:w="50" w:type="dxa"/>
              <w:end w:w="55" w:type="dxa"/>
            </w:tcMar>
            <w:vAlign w:val="top"/>
          </w:tcPr>
          <w:p>
            <w:pPr>
              <w:spacing w:after="0"/>
            </w:pPr>
            <w:r>
              <w:rPr>
                <w:sz w:val="14"/>
              </w:rPr>
              <w:t>Lab Workspace</w:t>
            </w:r>
          </w:p>
        </w:tc>
        <w:tc>
          <w:tcPr>
            <w:tcW w:type="dxa" w:w="8208"/>
            <w:tcMar>
              <w:top w:w="50" w:type="dxa"/>
              <w:start w:w="55" w:type="dxa"/>
              <w:bottom w:w="50" w:type="dxa"/>
              <w:end w:w="55" w:type="dxa"/>
            </w:tcMar>
            <w:vAlign w:val="top"/>
          </w:tcPr>
          <w:p>
            <w:pPr>
              <w:spacing w:after="0"/>
            </w:pPr>
            <w:r>
              <w:rPr>
                <w:sz w:val="14"/>
              </w:rPr>
              <w:t>Collection; receipt/accession; benches; analyzer exceptions; validation; critical values; send-outs; QC; TAT.</w:t>
            </w:r>
          </w:p>
        </w:tc>
      </w:tr>
      <w:tr>
        <w:tc>
          <w:tcPr>
            <w:tcW w:type="dxa" w:w="2592"/>
            <w:tcMar>
              <w:top w:w="50" w:type="dxa"/>
              <w:start w:w="55" w:type="dxa"/>
              <w:bottom w:w="50" w:type="dxa"/>
              <w:end w:w="55" w:type="dxa"/>
            </w:tcMar>
            <w:vAlign w:val="top"/>
          </w:tcPr>
          <w:p>
            <w:pPr>
              <w:spacing w:after="0"/>
            </w:pPr>
            <w:r>
              <w:rPr>
                <w:sz w:val="14"/>
              </w:rPr>
              <w:t>Radiology Workspace</w:t>
            </w:r>
          </w:p>
        </w:tc>
        <w:tc>
          <w:tcPr>
            <w:tcW w:type="dxa" w:w="8208"/>
            <w:tcMar>
              <w:top w:w="50" w:type="dxa"/>
              <w:start w:w="55" w:type="dxa"/>
              <w:bottom w:w="50" w:type="dxa"/>
              <w:end w:w="55" w:type="dxa"/>
            </w:tcMar>
            <w:vAlign w:val="top"/>
          </w:tcPr>
          <w:p>
            <w:pPr>
              <w:spacing w:after="0"/>
            </w:pPr>
            <w:r>
              <w:rPr>
                <w:sz w:val="14"/>
              </w:rPr>
              <w:t>Scheduling; modality worklist; protocol; reporting worklist; critical findings; PACS launch; TAT.</w:t>
            </w:r>
          </w:p>
        </w:tc>
      </w:tr>
      <w:tr>
        <w:tc>
          <w:tcPr>
            <w:tcW w:type="dxa" w:w="2592"/>
            <w:tcMar>
              <w:top w:w="50" w:type="dxa"/>
              <w:start w:w="55" w:type="dxa"/>
              <w:bottom w:w="50" w:type="dxa"/>
              <w:end w:w="55" w:type="dxa"/>
            </w:tcMar>
            <w:vAlign w:val="top"/>
          </w:tcPr>
          <w:p>
            <w:pPr>
              <w:spacing w:after="0"/>
            </w:pPr>
            <w:r>
              <w:rPr>
                <w:sz w:val="14"/>
              </w:rPr>
              <w:t>Insurance Workspace</w:t>
            </w:r>
          </w:p>
        </w:tc>
        <w:tc>
          <w:tcPr>
            <w:tcW w:type="dxa" w:w="8208"/>
            <w:tcMar>
              <w:top w:w="50" w:type="dxa"/>
              <w:start w:w="55" w:type="dxa"/>
              <w:bottom w:w="50" w:type="dxa"/>
              <w:end w:w="55" w:type="dxa"/>
            </w:tcMar>
            <w:vAlign w:val="top"/>
          </w:tcPr>
          <w:p>
            <w:pPr>
              <w:spacing w:after="0"/>
            </w:pPr>
            <w:r>
              <w:rPr>
                <w:sz w:val="14"/>
              </w:rPr>
              <w:t>Eligibility; preauth; enhancement; discharge approval; claim; query; denial; settlement; AR.</w:t>
            </w:r>
          </w:p>
        </w:tc>
      </w:tr>
      <w:tr>
        <w:tc>
          <w:tcPr>
            <w:tcW w:type="dxa" w:w="2592"/>
            <w:tcMar>
              <w:top w:w="50" w:type="dxa"/>
              <w:start w:w="55" w:type="dxa"/>
              <w:bottom w:w="50" w:type="dxa"/>
              <w:end w:w="55" w:type="dxa"/>
            </w:tcMar>
            <w:vAlign w:val="top"/>
          </w:tcPr>
          <w:p>
            <w:pPr>
              <w:spacing w:after="0"/>
            </w:pPr>
            <w:r>
              <w:rPr>
                <w:sz w:val="14"/>
              </w:rPr>
              <w:t>Hospital Command Center</w:t>
            </w:r>
          </w:p>
        </w:tc>
        <w:tc>
          <w:tcPr>
            <w:tcW w:type="dxa" w:w="8208"/>
            <w:tcMar>
              <w:top w:w="50" w:type="dxa"/>
              <w:start w:w="55" w:type="dxa"/>
              <w:bottom w:w="50" w:type="dxa"/>
              <w:end w:w="55" w:type="dxa"/>
            </w:tcMar>
            <w:vAlign w:val="top"/>
          </w:tcPr>
          <w:p>
            <w:pPr>
              <w:spacing w:after="0"/>
            </w:pPr>
            <w:r>
              <w:rPr>
                <w:sz w:val="14"/>
              </w:rPr>
              <w:t>Beds, ER, OT, ICU, queues, discharge barriers, critical facility alarms, ambulance and service SLAs.</w:t>
            </w:r>
          </w:p>
        </w:tc>
      </w:tr>
      <w:tr>
        <w:tc>
          <w:tcPr>
            <w:tcW w:type="dxa" w:w="2592"/>
            <w:tcMar>
              <w:top w:w="50" w:type="dxa"/>
              <w:start w:w="55" w:type="dxa"/>
              <w:bottom w:w="50" w:type="dxa"/>
              <w:end w:w="55" w:type="dxa"/>
            </w:tcMar>
            <w:vAlign w:val="top"/>
          </w:tcPr>
          <w:p>
            <w:pPr>
              <w:spacing w:after="0"/>
            </w:pPr>
            <w:r>
              <w:rPr>
                <w:sz w:val="14"/>
              </w:rPr>
              <w:t>Administrator Workspace</w:t>
            </w:r>
          </w:p>
        </w:tc>
        <w:tc>
          <w:tcPr>
            <w:tcW w:type="dxa" w:w="8208"/>
            <w:tcMar>
              <w:top w:w="50" w:type="dxa"/>
              <w:start w:w="55" w:type="dxa"/>
              <w:bottom w:w="50" w:type="dxa"/>
              <w:end w:w="55" w:type="dxa"/>
            </w:tcMar>
            <w:vAlign w:val="top"/>
          </w:tcPr>
          <w:p>
            <w:pPr>
              <w:spacing w:after="0"/>
            </w:pPr>
            <w:r>
              <w:rPr>
                <w:sz w:val="14"/>
              </w:rPr>
              <w:t>Master data; configuration; users/access; workflow/forms/rules; integration health; audit; analytics.</w:t>
            </w:r>
          </w:p>
        </w:tc>
      </w:tr>
      <w:tr>
        <w:tc>
          <w:tcPr>
            <w:tcW w:type="dxa" w:w="2592"/>
            <w:tcMar>
              <w:top w:w="50" w:type="dxa"/>
              <w:start w:w="55" w:type="dxa"/>
              <w:bottom w:w="50" w:type="dxa"/>
              <w:end w:w="55" w:type="dxa"/>
            </w:tcMar>
            <w:vAlign w:val="top"/>
          </w:tcPr>
          <w:p>
            <w:pPr>
              <w:spacing w:after="0"/>
            </w:pPr>
            <w:r>
              <w:rPr>
                <w:sz w:val="14"/>
              </w:rPr>
              <w:t>Pharma Partner Workspace</w:t>
            </w:r>
          </w:p>
        </w:tc>
        <w:tc>
          <w:tcPr>
            <w:tcW w:type="dxa" w:w="8208"/>
            <w:tcMar>
              <w:top w:w="50" w:type="dxa"/>
              <w:start w:w="55" w:type="dxa"/>
              <w:bottom w:w="50" w:type="dxa"/>
              <w:end w:w="55" w:type="dxa"/>
            </w:tcMar>
            <w:vAlign w:val="top"/>
          </w:tcPr>
          <w:p>
            <w:pPr>
              <w:spacing w:after="0"/>
            </w:pPr>
            <w:r>
              <w:rPr>
                <w:sz w:val="14"/>
              </w:rPr>
              <w:t>Orders; exceptions; inventory/ATP; schemes; dispatch; returns; claims; receivables; analytics.</w:t>
            </w:r>
          </w:p>
        </w:tc>
      </w:tr>
    </w:tbl>
    <w:p>
      <w:pPr>
        <w:spacing w:after="20"/>
      </w:pPr>
    </w:p>
    <w:p>
      <w:pPr>
        <w:pStyle w:val="Heading1"/>
      </w:pPr>
      <w:r>
        <w:t>59. Multi-Hospital Group and Healthcare Network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ID</w:t>
            </w:r>
          </w:p>
        </w:tc>
        <w:tc>
          <w:tcPr>
            <w:tcW w:type="dxa" w:w="5083"/>
            <w:shd w:fill="D9EAF7"/>
            <w:tcMar>
              <w:top w:w="50" w:type="dxa"/>
              <w:start w:w="55" w:type="dxa"/>
              <w:bottom w:w="50" w:type="dxa"/>
              <w:end w:w="55" w:type="dxa"/>
            </w:tcMar>
          </w:tcPr>
          <w:p>
            <w:pPr>
              <w:spacing w:after="0"/>
            </w:pPr>
            <w:r>
              <w:rPr>
                <w:b/>
                <w:sz w:val="14"/>
              </w:rPr>
              <w:t>Requirement</w:t>
            </w:r>
          </w:p>
        </w:tc>
      </w:tr>
      <w:tr>
        <w:tc>
          <w:tcPr>
            <w:tcW w:type="dxa" w:w="1440"/>
            <w:tcMar>
              <w:top w:w="50" w:type="dxa"/>
              <w:start w:w="55" w:type="dxa"/>
              <w:bottom w:w="50" w:type="dxa"/>
              <w:end w:w="55" w:type="dxa"/>
            </w:tcMar>
            <w:vAlign w:val="top"/>
          </w:tcPr>
          <w:p>
            <w:pPr>
              <w:spacing w:after="0"/>
            </w:pPr>
            <w:r>
              <w:rPr>
                <w:sz w:val="14"/>
              </w:rPr>
              <w:t>NET-001</w:t>
            </w:r>
          </w:p>
        </w:tc>
        <w:tc>
          <w:tcPr>
            <w:tcW w:type="dxa" w:w="9360"/>
            <w:tcMar>
              <w:top w:w="50" w:type="dxa"/>
              <w:start w:w="55" w:type="dxa"/>
              <w:bottom w:w="50" w:type="dxa"/>
              <w:end w:w="55" w:type="dxa"/>
            </w:tcMar>
            <w:vAlign w:val="top"/>
          </w:tcPr>
          <w:p>
            <w:pPr>
              <w:spacing w:after="0"/>
            </w:pPr>
            <w:r>
              <w:rPr>
                <w:sz w:val="14"/>
              </w:rPr>
              <w:t>Group hierarchy supports holding group, legal entities, hospitals, clinics, labs, pharmacies, warehouses and shared-service centers.</w:t>
            </w:r>
          </w:p>
        </w:tc>
      </w:tr>
      <w:tr>
        <w:tc>
          <w:tcPr>
            <w:tcW w:type="dxa" w:w="1440"/>
            <w:tcMar>
              <w:top w:w="50" w:type="dxa"/>
              <w:start w:w="55" w:type="dxa"/>
              <w:bottom w:w="50" w:type="dxa"/>
              <w:end w:w="55" w:type="dxa"/>
            </w:tcMar>
            <w:vAlign w:val="top"/>
          </w:tcPr>
          <w:p>
            <w:pPr>
              <w:spacing w:after="0"/>
            </w:pPr>
            <w:r>
              <w:rPr>
                <w:sz w:val="14"/>
              </w:rPr>
              <w:t>NET-002</w:t>
            </w:r>
          </w:p>
        </w:tc>
        <w:tc>
          <w:tcPr>
            <w:tcW w:type="dxa" w:w="9360"/>
            <w:tcMar>
              <w:top w:w="50" w:type="dxa"/>
              <w:start w:w="55" w:type="dxa"/>
              <w:bottom w:w="50" w:type="dxa"/>
              <w:end w:w="55" w:type="dxa"/>
            </w:tcMar>
            <w:vAlign w:val="top"/>
          </w:tcPr>
          <w:p>
            <w:pPr>
              <w:spacing w:after="0"/>
            </w:pPr>
            <w:r>
              <w:rPr>
                <w:sz w:val="14"/>
              </w:rPr>
              <w:t>Enterprise patient identity and authorized longitudinal record across facilities while preserving encounter ownership and consent/purpose rules.</w:t>
            </w:r>
          </w:p>
        </w:tc>
      </w:tr>
      <w:tr>
        <w:tc>
          <w:tcPr>
            <w:tcW w:type="dxa" w:w="1440"/>
            <w:tcMar>
              <w:top w:w="50" w:type="dxa"/>
              <w:start w:w="55" w:type="dxa"/>
              <w:bottom w:w="50" w:type="dxa"/>
              <w:end w:w="55" w:type="dxa"/>
            </w:tcMar>
            <w:vAlign w:val="top"/>
          </w:tcPr>
          <w:p>
            <w:pPr>
              <w:spacing w:after="0"/>
            </w:pPr>
            <w:r>
              <w:rPr>
                <w:sz w:val="14"/>
              </w:rPr>
              <w:t>NET-003</w:t>
            </w:r>
          </w:p>
        </w:tc>
        <w:tc>
          <w:tcPr>
            <w:tcW w:type="dxa" w:w="9360"/>
            <w:tcMar>
              <w:top w:w="50" w:type="dxa"/>
              <w:start w:w="55" w:type="dxa"/>
              <w:bottom w:w="50" w:type="dxa"/>
              <w:end w:w="55" w:type="dxa"/>
            </w:tcMar>
            <w:vAlign w:val="top"/>
          </w:tcPr>
          <w:p>
            <w:pPr>
              <w:spacing w:after="0"/>
            </w:pPr>
            <w:r>
              <w:rPr>
                <w:sz w:val="14"/>
              </w:rPr>
              <w:t>Inter-facility referral/transfer with bed request, clinical handoff, ambulance, documents and receiving acceptance.</w:t>
            </w:r>
          </w:p>
        </w:tc>
      </w:tr>
      <w:tr>
        <w:tc>
          <w:tcPr>
            <w:tcW w:type="dxa" w:w="1440"/>
            <w:tcMar>
              <w:top w:w="50" w:type="dxa"/>
              <w:start w:w="55" w:type="dxa"/>
              <w:bottom w:w="50" w:type="dxa"/>
              <w:end w:w="55" w:type="dxa"/>
            </w:tcMar>
            <w:vAlign w:val="top"/>
          </w:tcPr>
          <w:p>
            <w:pPr>
              <w:spacing w:after="0"/>
            </w:pPr>
            <w:r>
              <w:rPr>
                <w:sz w:val="14"/>
              </w:rPr>
              <w:t>NET-004</w:t>
            </w:r>
          </w:p>
        </w:tc>
        <w:tc>
          <w:tcPr>
            <w:tcW w:type="dxa" w:w="9360"/>
            <w:tcMar>
              <w:top w:w="50" w:type="dxa"/>
              <w:start w:w="55" w:type="dxa"/>
              <w:bottom w:w="50" w:type="dxa"/>
              <w:end w:w="55" w:type="dxa"/>
            </w:tcMar>
            <w:vAlign w:val="top"/>
          </w:tcPr>
          <w:p>
            <w:pPr>
              <w:spacing w:after="0"/>
            </w:pPr>
            <w:r>
              <w:rPr>
                <w:sz w:val="14"/>
              </w:rPr>
              <w:t>Centralized procurement and contracted catalogs with local requisition/receipt and inter-hospital stock movement.</w:t>
            </w:r>
          </w:p>
        </w:tc>
      </w:tr>
      <w:tr>
        <w:tc>
          <w:tcPr>
            <w:tcW w:type="dxa" w:w="1440"/>
            <w:tcMar>
              <w:top w:w="50" w:type="dxa"/>
              <w:start w:w="55" w:type="dxa"/>
              <w:bottom w:w="50" w:type="dxa"/>
              <w:end w:w="55" w:type="dxa"/>
            </w:tcMar>
            <w:vAlign w:val="top"/>
          </w:tcPr>
          <w:p>
            <w:pPr>
              <w:spacing w:after="0"/>
            </w:pPr>
            <w:r>
              <w:rPr>
                <w:sz w:val="14"/>
              </w:rPr>
              <w:t>NET-005</w:t>
            </w:r>
          </w:p>
        </w:tc>
        <w:tc>
          <w:tcPr>
            <w:tcW w:type="dxa" w:w="9360"/>
            <w:tcMar>
              <w:top w:w="50" w:type="dxa"/>
              <w:start w:w="55" w:type="dxa"/>
              <w:bottom w:w="50" w:type="dxa"/>
              <w:end w:w="55" w:type="dxa"/>
            </w:tcMar>
            <w:vAlign w:val="top"/>
          </w:tcPr>
          <w:p>
            <w:pPr>
              <w:spacing w:after="0"/>
            </w:pPr>
            <w:r>
              <w:rPr>
                <w:sz w:val="14"/>
              </w:rPr>
              <w:t>Centralized teleradiology/pathology/insurance/call-center/shared services with workload allocation and SLA.</w:t>
            </w:r>
          </w:p>
        </w:tc>
      </w:tr>
      <w:tr>
        <w:tc>
          <w:tcPr>
            <w:tcW w:type="dxa" w:w="1440"/>
            <w:tcMar>
              <w:top w:w="50" w:type="dxa"/>
              <w:start w:w="55" w:type="dxa"/>
              <w:bottom w:w="50" w:type="dxa"/>
              <w:end w:w="55" w:type="dxa"/>
            </w:tcMar>
            <w:vAlign w:val="top"/>
          </w:tcPr>
          <w:p>
            <w:pPr>
              <w:spacing w:after="0"/>
            </w:pPr>
            <w:r>
              <w:rPr>
                <w:sz w:val="14"/>
              </w:rPr>
              <w:t>NET-006</w:t>
            </w:r>
          </w:p>
        </w:tc>
        <w:tc>
          <w:tcPr>
            <w:tcW w:type="dxa" w:w="9360"/>
            <w:tcMar>
              <w:top w:w="50" w:type="dxa"/>
              <w:start w:w="55" w:type="dxa"/>
              <w:bottom w:w="50" w:type="dxa"/>
              <w:end w:w="55" w:type="dxa"/>
            </w:tcMar>
            <w:vAlign w:val="top"/>
          </w:tcPr>
          <w:p>
            <w:pPr>
              <w:spacing w:after="0"/>
            </w:pPr>
            <w:r>
              <w:rPr>
                <w:sz w:val="14"/>
              </w:rPr>
              <w:t>Group command center compares occupancy, ER load, OT, ICU, revenue, claims, pharmacy and facility alarms across hospitals.</w:t>
            </w:r>
          </w:p>
        </w:tc>
      </w:tr>
      <w:tr>
        <w:tc>
          <w:tcPr>
            <w:tcW w:type="dxa" w:w="1440"/>
            <w:tcMar>
              <w:top w:w="50" w:type="dxa"/>
              <w:start w:w="55" w:type="dxa"/>
              <w:bottom w:w="50" w:type="dxa"/>
              <w:end w:w="55" w:type="dxa"/>
            </w:tcMar>
            <w:vAlign w:val="top"/>
          </w:tcPr>
          <w:p>
            <w:pPr>
              <w:spacing w:after="0"/>
            </w:pPr>
            <w:r>
              <w:rPr>
                <w:sz w:val="14"/>
              </w:rPr>
              <w:t>NET-007</w:t>
            </w:r>
          </w:p>
        </w:tc>
        <w:tc>
          <w:tcPr>
            <w:tcW w:type="dxa" w:w="9360"/>
            <w:tcMar>
              <w:top w:w="50" w:type="dxa"/>
              <w:start w:w="55" w:type="dxa"/>
              <w:bottom w:w="50" w:type="dxa"/>
              <w:end w:w="55" w:type="dxa"/>
            </w:tcMar>
            <w:vAlign w:val="top"/>
          </w:tcPr>
          <w:p>
            <w:pPr>
              <w:spacing w:after="0"/>
            </w:pPr>
            <w:r>
              <w:rPr>
                <w:sz w:val="14"/>
              </w:rPr>
              <w:t>Shared clinician scheduling/privileges subject to facility credentialing and organization policy.</w:t>
            </w:r>
          </w:p>
        </w:tc>
      </w:tr>
      <w:tr>
        <w:tc>
          <w:tcPr>
            <w:tcW w:type="dxa" w:w="1440"/>
            <w:tcMar>
              <w:top w:w="50" w:type="dxa"/>
              <w:start w:w="55" w:type="dxa"/>
              <w:bottom w:w="50" w:type="dxa"/>
              <w:end w:w="55" w:type="dxa"/>
            </w:tcMar>
            <w:vAlign w:val="top"/>
          </w:tcPr>
          <w:p>
            <w:pPr>
              <w:spacing w:after="0"/>
            </w:pPr>
            <w:r>
              <w:rPr>
                <w:sz w:val="14"/>
              </w:rPr>
              <w:t>NET-008</w:t>
            </w:r>
          </w:p>
        </w:tc>
        <w:tc>
          <w:tcPr>
            <w:tcW w:type="dxa" w:w="9360"/>
            <w:tcMar>
              <w:top w:w="50" w:type="dxa"/>
              <w:start w:w="55" w:type="dxa"/>
              <w:bottom w:w="50" w:type="dxa"/>
              <w:end w:w="55" w:type="dxa"/>
            </w:tcMar>
            <w:vAlign w:val="top"/>
          </w:tcPr>
          <w:p>
            <w:pPr>
              <w:spacing w:after="0"/>
            </w:pPr>
            <w:r>
              <w:rPr>
                <w:sz w:val="14"/>
              </w:rPr>
              <w:t>Group master-data governance with local extensions and controlled overrides.</w:t>
            </w:r>
          </w:p>
        </w:tc>
      </w:tr>
    </w:tbl>
    <w:p>
      <w:pPr>
        <w:spacing w:after="20"/>
      </w:pPr>
    </w:p>
    <w:p>
      <w:pPr>
        <w:pStyle w:val="Heading1"/>
      </w:pPr>
      <w:r>
        <w:t>60. Product Packaging, Commercial Architecture and Go-to-Market</w:t>
      </w:r>
    </w:p>
    <w:p>
      <w:r>
        <w:t>The platform should not require a customer to buy every module on day one. Commercial packaging must preserve one architecture while allowing phased adoption.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Commercial module</w:t>
            </w:r>
          </w:p>
        </w:tc>
        <w:tc>
          <w:tcPr>
            <w:tcW w:type="dxa" w:w="5083"/>
            <w:shd w:fill="D9EAF7"/>
            <w:tcMar>
              <w:top w:w="50" w:type="dxa"/>
              <w:start w:w="55" w:type="dxa"/>
              <w:bottom w:w="50" w:type="dxa"/>
              <w:end w:w="55" w:type="dxa"/>
            </w:tcMar>
          </w:tcPr>
          <w:p>
            <w:pPr>
              <w:spacing w:after="0"/>
            </w:pPr>
            <w:r>
              <w:rPr>
                <w:b/>
                <w:sz w:val="14"/>
              </w:rPr>
              <w:t>Scope</w:t>
            </w:r>
          </w:p>
        </w:tc>
      </w:tr>
      <w:tr>
        <w:tc>
          <w:tcPr>
            <w:tcW w:type="dxa" w:w="2592"/>
            <w:tcMar>
              <w:top w:w="50" w:type="dxa"/>
              <w:start w:w="55" w:type="dxa"/>
              <w:bottom w:w="50" w:type="dxa"/>
              <w:end w:w="55" w:type="dxa"/>
            </w:tcMar>
            <w:vAlign w:val="top"/>
          </w:tcPr>
          <w:p>
            <w:pPr>
              <w:spacing w:after="0"/>
            </w:pPr>
            <w:r>
              <w:rPr>
                <w:sz w:val="14"/>
              </w:rPr>
              <w:t>Hospital Core</w:t>
            </w:r>
          </w:p>
        </w:tc>
        <w:tc>
          <w:tcPr>
            <w:tcW w:type="dxa" w:w="8208"/>
            <w:tcMar>
              <w:top w:w="50" w:type="dxa"/>
              <w:start w:w="55" w:type="dxa"/>
              <w:bottom w:w="50" w:type="dxa"/>
              <w:end w:w="55" w:type="dxa"/>
            </w:tcMar>
            <w:vAlign w:val="top"/>
          </w:tcPr>
          <w:p>
            <w:pPr>
              <w:spacing w:after="0"/>
            </w:pPr>
            <w:r>
              <w:rPr>
                <w:sz w:val="14"/>
              </w:rPr>
              <w:t>Patient/appointment/ADT/clinical/billing/documents/basic analytics.</w:t>
            </w:r>
          </w:p>
        </w:tc>
      </w:tr>
      <w:tr>
        <w:tc>
          <w:tcPr>
            <w:tcW w:type="dxa" w:w="2592"/>
            <w:tcMar>
              <w:top w:w="50" w:type="dxa"/>
              <w:start w:w="55" w:type="dxa"/>
              <w:bottom w:w="50" w:type="dxa"/>
              <w:end w:w="55" w:type="dxa"/>
            </w:tcMar>
            <w:vAlign w:val="top"/>
          </w:tcPr>
          <w:p>
            <w:pPr>
              <w:spacing w:after="0"/>
            </w:pPr>
            <w:r>
              <w:rPr>
                <w:sz w:val="14"/>
              </w:rPr>
              <w:t>Clinical Advanced</w:t>
            </w:r>
          </w:p>
        </w:tc>
        <w:tc>
          <w:tcPr>
            <w:tcW w:type="dxa" w:w="8208"/>
            <w:tcMar>
              <w:top w:w="50" w:type="dxa"/>
              <w:start w:w="55" w:type="dxa"/>
              <w:bottom w:w="50" w:type="dxa"/>
              <w:end w:w="55" w:type="dxa"/>
            </w:tcMar>
            <w:vAlign w:val="top"/>
          </w:tcPr>
          <w:p>
            <w:pPr>
              <w:spacing w:after="0"/>
            </w:pPr>
            <w:r>
              <w:rPr>
                <w:sz w:val="14"/>
              </w:rPr>
              <w:t>Nursing/eMAR, ER, ICU, OT/anesthesia, specialty packs, clinical quality.</w:t>
            </w:r>
          </w:p>
        </w:tc>
      </w:tr>
      <w:tr>
        <w:tc>
          <w:tcPr>
            <w:tcW w:type="dxa" w:w="2592"/>
            <w:tcMar>
              <w:top w:w="50" w:type="dxa"/>
              <w:start w:w="55" w:type="dxa"/>
              <w:bottom w:w="50" w:type="dxa"/>
              <w:end w:w="55" w:type="dxa"/>
            </w:tcMar>
            <w:vAlign w:val="top"/>
          </w:tcPr>
          <w:p>
            <w:pPr>
              <w:spacing w:after="0"/>
            </w:pPr>
            <w:r>
              <w:rPr>
                <w:sz w:val="14"/>
              </w:rPr>
              <w:t>Diagnostics Suite</w:t>
            </w:r>
          </w:p>
        </w:tc>
        <w:tc>
          <w:tcPr>
            <w:tcW w:type="dxa" w:w="8208"/>
            <w:tcMar>
              <w:top w:w="50" w:type="dxa"/>
              <w:start w:w="55" w:type="dxa"/>
              <w:bottom w:w="50" w:type="dxa"/>
              <w:end w:w="55" w:type="dxa"/>
            </w:tcMar>
            <w:vAlign w:val="top"/>
          </w:tcPr>
          <w:p>
            <w:pPr>
              <w:spacing w:after="0"/>
            </w:pPr>
            <w:r>
              <w:rPr>
                <w:sz w:val="14"/>
              </w:rPr>
              <w:t>LIS, home collection, RIS/PACS integration, pathology/radiology networks.</w:t>
            </w:r>
          </w:p>
        </w:tc>
      </w:tr>
      <w:tr>
        <w:tc>
          <w:tcPr>
            <w:tcW w:type="dxa" w:w="2592"/>
            <w:tcMar>
              <w:top w:w="50" w:type="dxa"/>
              <w:start w:w="55" w:type="dxa"/>
              <w:bottom w:w="50" w:type="dxa"/>
              <w:end w:w="55" w:type="dxa"/>
            </w:tcMar>
            <w:vAlign w:val="top"/>
          </w:tcPr>
          <w:p>
            <w:pPr>
              <w:spacing w:after="0"/>
            </w:pPr>
            <w:r>
              <w:rPr>
                <w:sz w:val="14"/>
              </w:rPr>
              <w:t>Pharmacy Suite</w:t>
            </w:r>
          </w:p>
        </w:tc>
        <w:tc>
          <w:tcPr>
            <w:tcW w:type="dxa" w:w="8208"/>
            <w:tcMar>
              <w:top w:w="50" w:type="dxa"/>
              <w:start w:w="55" w:type="dxa"/>
              <w:bottom w:w="50" w:type="dxa"/>
              <w:end w:w="55" w:type="dxa"/>
            </w:tcMar>
            <w:vAlign w:val="top"/>
          </w:tcPr>
          <w:p>
            <w:pPr>
              <w:spacing w:after="0"/>
            </w:pPr>
            <w:r>
              <w:rPr>
                <w:sz w:val="14"/>
              </w:rPr>
              <w:t>Hospital/retail pharmacy, inventory, POS, delivery and prescription network.</w:t>
            </w:r>
          </w:p>
        </w:tc>
      </w:tr>
      <w:tr>
        <w:tc>
          <w:tcPr>
            <w:tcW w:type="dxa" w:w="2592"/>
            <w:tcMar>
              <w:top w:w="50" w:type="dxa"/>
              <w:start w:w="55" w:type="dxa"/>
              <w:bottom w:w="50" w:type="dxa"/>
              <w:end w:w="55" w:type="dxa"/>
            </w:tcMar>
            <w:vAlign w:val="top"/>
          </w:tcPr>
          <w:p>
            <w:pPr>
              <w:spacing w:after="0"/>
            </w:pPr>
            <w:r>
              <w:rPr>
                <w:sz w:val="14"/>
              </w:rPr>
              <w:t>Pharma Network</w:t>
            </w:r>
          </w:p>
        </w:tc>
        <w:tc>
          <w:tcPr>
            <w:tcW w:type="dxa" w:w="8208"/>
            <w:tcMar>
              <w:top w:w="50" w:type="dxa"/>
              <w:start w:w="55" w:type="dxa"/>
              <w:bottom w:w="50" w:type="dxa"/>
              <w:end w:w="55" w:type="dxa"/>
            </w:tcMar>
            <w:vAlign w:val="top"/>
          </w:tcPr>
          <w:p>
            <w:pPr>
              <w:spacing w:after="0"/>
            </w:pPr>
            <w:r>
              <w:rPr>
                <w:sz w:val="14"/>
              </w:rPr>
              <w:t>Manufacturer/C&amp;F/distributor/stockist automation, WMS, schemes, receivables and order intelligence.</w:t>
            </w:r>
          </w:p>
        </w:tc>
      </w:tr>
      <w:tr>
        <w:tc>
          <w:tcPr>
            <w:tcW w:type="dxa" w:w="2592"/>
            <w:tcMar>
              <w:top w:w="50" w:type="dxa"/>
              <w:start w:w="55" w:type="dxa"/>
              <w:bottom w:w="50" w:type="dxa"/>
              <w:end w:w="55" w:type="dxa"/>
            </w:tcMar>
            <w:vAlign w:val="top"/>
          </w:tcPr>
          <w:p>
            <w:pPr>
              <w:spacing w:after="0"/>
            </w:pPr>
            <w:r>
              <w:rPr>
                <w:sz w:val="14"/>
              </w:rPr>
              <w:t>Insurance/RCM</w:t>
            </w:r>
          </w:p>
        </w:tc>
        <w:tc>
          <w:tcPr>
            <w:tcW w:type="dxa" w:w="8208"/>
            <w:tcMar>
              <w:top w:w="50" w:type="dxa"/>
              <w:start w:w="55" w:type="dxa"/>
              <w:bottom w:w="50" w:type="dxa"/>
              <w:end w:w="55" w:type="dxa"/>
            </w:tcMar>
            <w:vAlign w:val="top"/>
          </w:tcPr>
          <w:p>
            <w:pPr>
              <w:spacing w:after="0"/>
            </w:pPr>
            <w:r>
              <w:rPr>
                <w:sz w:val="14"/>
              </w:rPr>
              <w:t>Eligibility, preauth, NHCX/claims, denials, settlement and revenue integrity.</w:t>
            </w:r>
          </w:p>
        </w:tc>
      </w:tr>
      <w:tr>
        <w:tc>
          <w:tcPr>
            <w:tcW w:type="dxa" w:w="2592"/>
            <w:tcMar>
              <w:top w:w="50" w:type="dxa"/>
              <w:start w:w="55" w:type="dxa"/>
              <w:bottom w:w="50" w:type="dxa"/>
              <w:end w:w="55" w:type="dxa"/>
            </w:tcMar>
            <w:vAlign w:val="top"/>
          </w:tcPr>
          <w:p>
            <w:pPr>
              <w:spacing w:after="0"/>
            </w:pPr>
            <w:r>
              <w:rPr>
                <w:sz w:val="14"/>
              </w:rPr>
              <w:t>Enterprise Ops</w:t>
            </w:r>
          </w:p>
        </w:tc>
        <w:tc>
          <w:tcPr>
            <w:tcW w:type="dxa" w:w="8208"/>
            <w:tcMar>
              <w:top w:w="50" w:type="dxa"/>
              <w:start w:w="55" w:type="dxa"/>
              <w:bottom w:w="50" w:type="dxa"/>
              <w:end w:w="55" w:type="dxa"/>
            </w:tcMar>
            <w:vAlign w:val="top"/>
          </w:tcPr>
          <w:p>
            <w:pPr>
              <w:spacing w:after="0"/>
            </w:pPr>
            <w:r>
              <w:rPr>
                <w:sz w:val="14"/>
              </w:rPr>
              <w:t>HR/payroll, procurement, assets/biomedical, quality, support departments.</w:t>
            </w:r>
          </w:p>
        </w:tc>
      </w:tr>
      <w:tr>
        <w:tc>
          <w:tcPr>
            <w:tcW w:type="dxa" w:w="2592"/>
            <w:tcMar>
              <w:top w:w="50" w:type="dxa"/>
              <w:start w:w="55" w:type="dxa"/>
              <w:bottom w:w="50" w:type="dxa"/>
              <w:end w:w="55" w:type="dxa"/>
            </w:tcMar>
            <w:vAlign w:val="top"/>
          </w:tcPr>
          <w:p>
            <w:pPr>
              <w:spacing w:after="0"/>
            </w:pPr>
            <w:r>
              <w:rPr>
                <w:sz w:val="14"/>
              </w:rPr>
              <w:t>Smart Hospital</w:t>
            </w:r>
          </w:p>
        </w:tc>
        <w:tc>
          <w:tcPr>
            <w:tcW w:type="dxa" w:w="8208"/>
            <w:tcMar>
              <w:top w:w="50" w:type="dxa"/>
              <w:start w:w="55" w:type="dxa"/>
              <w:bottom w:w="50" w:type="dxa"/>
              <w:end w:w="55" w:type="dxa"/>
            </w:tcMar>
            <w:vAlign w:val="top"/>
          </w:tcPr>
          <w:p>
            <w:pPr>
              <w:spacing w:after="0"/>
            </w:pPr>
            <w:r>
              <w:rPr>
                <w:sz w:val="14"/>
              </w:rPr>
              <w:t>SCADA/BMS/IoT, command center, energy/environment, predictive maintenance.</w:t>
            </w:r>
          </w:p>
        </w:tc>
      </w:tr>
      <w:tr>
        <w:tc>
          <w:tcPr>
            <w:tcW w:type="dxa" w:w="2592"/>
            <w:tcMar>
              <w:top w:w="50" w:type="dxa"/>
              <w:start w:w="55" w:type="dxa"/>
              <w:bottom w:w="50" w:type="dxa"/>
              <w:end w:w="55" w:type="dxa"/>
            </w:tcMar>
            <w:vAlign w:val="top"/>
          </w:tcPr>
          <w:p>
            <w:pPr>
              <w:spacing w:after="0"/>
            </w:pPr>
            <w:r>
              <w:rPr>
                <w:sz w:val="14"/>
              </w:rPr>
              <w:t>Patient Digital</w:t>
            </w:r>
          </w:p>
        </w:tc>
        <w:tc>
          <w:tcPr>
            <w:tcW w:type="dxa" w:w="8208"/>
            <w:tcMar>
              <w:top w:w="50" w:type="dxa"/>
              <w:start w:w="55" w:type="dxa"/>
              <w:bottom w:w="50" w:type="dxa"/>
              <w:end w:w="55" w:type="dxa"/>
            </w:tcMar>
            <w:vAlign w:val="top"/>
          </w:tcPr>
          <w:p>
            <w:pPr>
              <w:spacing w:after="0"/>
            </w:pPr>
            <w:r>
              <w:rPr>
                <w:sz w:val="14"/>
              </w:rPr>
              <w:t>Patient app/PHR/telemedicine/home care/RPM and digital front door.</w:t>
            </w:r>
          </w:p>
        </w:tc>
      </w:tr>
      <w:tr>
        <w:tc>
          <w:tcPr>
            <w:tcW w:type="dxa" w:w="2592"/>
            <w:tcMar>
              <w:top w:w="50" w:type="dxa"/>
              <w:start w:w="55" w:type="dxa"/>
              <w:bottom w:w="50" w:type="dxa"/>
              <w:end w:w="55" w:type="dxa"/>
            </w:tcMar>
            <w:vAlign w:val="top"/>
          </w:tcPr>
          <w:p>
            <w:pPr>
              <w:spacing w:after="0"/>
            </w:pPr>
            <w:r>
              <w:rPr>
                <w:sz w:val="14"/>
              </w:rPr>
              <w:t>AI Intelligence</w:t>
            </w:r>
          </w:p>
        </w:tc>
        <w:tc>
          <w:tcPr>
            <w:tcW w:type="dxa" w:w="8208"/>
            <w:tcMar>
              <w:top w:w="50" w:type="dxa"/>
              <w:start w:w="55" w:type="dxa"/>
              <w:bottom w:w="50" w:type="dxa"/>
              <w:end w:w="55" w:type="dxa"/>
            </w:tcMar>
            <w:vAlign w:val="top"/>
          </w:tcPr>
          <w:p>
            <w:pPr>
              <w:spacing w:after="0"/>
            </w:pPr>
            <w:r>
              <w:rPr>
                <w:sz w:val="14"/>
              </w:rPr>
              <w:t>Role copilots, forecasting, optimization and governed model services.</w:t>
            </w:r>
          </w:p>
        </w:tc>
      </w:tr>
    </w:tbl>
    <w:p>
      <w:pPr>
        <w:spacing w:after="20"/>
      </w:pPr>
    </w:p>
    <w:p>
      <w:pPr>
        <w:pStyle w:val="Heading2"/>
      </w:pPr>
      <w:r>
        <w:t>60.1 Target Customer Segments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Segment</w:t>
            </w:r>
          </w:p>
        </w:tc>
        <w:tc>
          <w:tcPr>
            <w:tcW w:type="dxa" w:w="5083"/>
            <w:shd w:fill="D9EAF7"/>
            <w:tcMar>
              <w:top w:w="50" w:type="dxa"/>
              <w:start w:w="55" w:type="dxa"/>
              <w:bottom w:w="50" w:type="dxa"/>
              <w:end w:w="55" w:type="dxa"/>
            </w:tcMar>
          </w:tcPr>
          <w:p>
            <w:pPr>
              <w:spacing w:after="0"/>
            </w:pPr>
            <w:r>
              <w:rPr>
                <w:b/>
                <w:sz w:val="14"/>
              </w:rPr>
              <w:t>Value proposition</w:t>
            </w:r>
          </w:p>
        </w:tc>
      </w:tr>
      <w:tr>
        <w:tc>
          <w:tcPr>
            <w:tcW w:type="dxa" w:w="2880"/>
            <w:tcMar>
              <w:top w:w="50" w:type="dxa"/>
              <w:start w:w="55" w:type="dxa"/>
              <w:bottom w:w="50" w:type="dxa"/>
              <w:end w:w="55" w:type="dxa"/>
            </w:tcMar>
            <w:vAlign w:val="top"/>
          </w:tcPr>
          <w:p>
            <w:pPr>
              <w:spacing w:after="0"/>
            </w:pPr>
            <w:r>
              <w:rPr>
                <w:sz w:val="14"/>
              </w:rPr>
              <w:t>Greenfield specialty hospitals</w:t>
            </w:r>
          </w:p>
        </w:tc>
        <w:tc>
          <w:tcPr>
            <w:tcW w:type="dxa" w:w="7920"/>
            <w:tcMar>
              <w:top w:w="50" w:type="dxa"/>
              <w:start w:w="55" w:type="dxa"/>
              <w:bottom w:w="50" w:type="dxa"/>
              <w:end w:w="55" w:type="dxa"/>
            </w:tcMar>
            <w:vAlign w:val="top"/>
          </w:tcPr>
          <w:p>
            <w:pPr>
              <w:spacing w:after="0"/>
            </w:pPr>
            <w:r>
              <w:rPr>
                <w:sz w:val="14"/>
              </w:rPr>
              <w:t>Faster implementation; specialty depth; digital-first operations.</w:t>
            </w:r>
          </w:p>
        </w:tc>
      </w:tr>
      <w:tr>
        <w:tc>
          <w:tcPr>
            <w:tcW w:type="dxa" w:w="2880"/>
            <w:tcMar>
              <w:top w:w="50" w:type="dxa"/>
              <w:start w:w="55" w:type="dxa"/>
              <w:bottom w:w="50" w:type="dxa"/>
              <w:end w:w="55" w:type="dxa"/>
            </w:tcMar>
            <w:vAlign w:val="top"/>
          </w:tcPr>
          <w:p>
            <w:pPr>
              <w:spacing w:after="0"/>
            </w:pPr>
            <w:r>
              <w:rPr>
                <w:sz w:val="14"/>
              </w:rPr>
              <w:t>50-300 bed hospitals</w:t>
            </w:r>
          </w:p>
        </w:tc>
        <w:tc>
          <w:tcPr>
            <w:tcW w:type="dxa" w:w="7920"/>
            <w:tcMar>
              <w:top w:w="50" w:type="dxa"/>
              <w:start w:w="55" w:type="dxa"/>
              <w:bottom w:w="50" w:type="dxa"/>
              <w:end w:w="55" w:type="dxa"/>
            </w:tcMar>
            <w:vAlign w:val="top"/>
          </w:tcPr>
          <w:p>
            <w:pPr>
              <w:spacing w:after="0"/>
            </w:pPr>
            <w:r>
              <w:rPr>
                <w:sz w:val="14"/>
              </w:rPr>
              <w:t>Replace fragmented HIS/billing/pharmacy/lab with integrated SaaS.</w:t>
            </w:r>
          </w:p>
        </w:tc>
      </w:tr>
      <w:tr>
        <w:tc>
          <w:tcPr>
            <w:tcW w:type="dxa" w:w="2880"/>
            <w:tcMar>
              <w:top w:w="50" w:type="dxa"/>
              <w:start w:w="55" w:type="dxa"/>
              <w:bottom w:w="50" w:type="dxa"/>
              <w:end w:w="55" w:type="dxa"/>
            </w:tcMar>
            <w:vAlign w:val="top"/>
          </w:tcPr>
          <w:p>
            <w:pPr>
              <w:spacing w:after="0"/>
            </w:pPr>
            <w:r>
              <w:rPr>
                <w:sz w:val="14"/>
              </w:rPr>
              <w:t>300+ bed tertiary hospitals</w:t>
            </w:r>
          </w:p>
        </w:tc>
        <w:tc>
          <w:tcPr>
            <w:tcW w:type="dxa" w:w="7920"/>
            <w:tcMar>
              <w:top w:w="50" w:type="dxa"/>
              <w:start w:w="55" w:type="dxa"/>
              <w:bottom w:w="50" w:type="dxa"/>
              <w:end w:w="55" w:type="dxa"/>
            </w:tcMar>
            <w:vAlign w:val="top"/>
          </w:tcPr>
          <w:p>
            <w:pPr>
              <w:spacing w:after="0"/>
            </w:pPr>
            <w:r>
              <w:rPr>
                <w:sz w:val="14"/>
              </w:rPr>
              <w:t>Enterprise dedicated/private deployment, complex specialties and integrations.</w:t>
            </w:r>
          </w:p>
        </w:tc>
      </w:tr>
      <w:tr>
        <w:tc>
          <w:tcPr>
            <w:tcW w:type="dxa" w:w="2880"/>
            <w:tcMar>
              <w:top w:w="50" w:type="dxa"/>
              <w:start w:w="55" w:type="dxa"/>
              <w:bottom w:w="50" w:type="dxa"/>
              <w:end w:w="55" w:type="dxa"/>
            </w:tcMar>
            <w:vAlign w:val="top"/>
          </w:tcPr>
          <w:p>
            <w:pPr>
              <w:spacing w:after="0"/>
            </w:pPr>
            <w:r>
              <w:rPr>
                <w:sz w:val="14"/>
              </w:rPr>
              <w:t>Hospital groups</w:t>
            </w:r>
          </w:p>
        </w:tc>
        <w:tc>
          <w:tcPr>
            <w:tcW w:type="dxa" w:w="7920"/>
            <w:tcMar>
              <w:top w:w="50" w:type="dxa"/>
              <w:start w:w="55" w:type="dxa"/>
              <w:bottom w:w="50" w:type="dxa"/>
              <w:end w:w="55" w:type="dxa"/>
            </w:tcMar>
            <w:vAlign w:val="top"/>
          </w:tcPr>
          <w:p>
            <w:pPr>
              <w:spacing w:after="0"/>
            </w:pPr>
            <w:r>
              <w:rPr>
                <w:sz w:val="14"/>
              </w:rPr>
              <w:t>Group EMPI, central procurement, shared diagnostics/RCM and command center.</w:t>
            </w:r>
          </w:p>
        </w:tc>
      </w:tr>
      <w:tr>
        <w:tc>
          <w:tcPr>
            <w:tcW w:type="dxa" w:w="2880"/>
            <w:tcMar>
              <w:top w:w="50" w:type="dxa"/>
              <w:start w:w="55" w:type="dxa"/>
              <w:bottom w:w="50" w:type="dxa"/>
              <w:end w:w="55" w:type="dxa"/>
            </w:tcMar>
            <w:vAlign w:val="top"/>
          </w:tcPr>
          <w:p>
            <w:pPr>
              <w:spacing w:after="0"/>
            </w:pPr>
            <w:r>
              <w:rPr>
                <w:sz w:val="14"/>
              </w:rPr>
              <w:t>Diagnostic chains</w:t>
            </w:r>
          </w:p>
        </w:tc>
        <w:tc>
          <w:tcPr>
            <w:tcW w:type="dxa" w:w="7920"/>
            <w:tcMar>
              <w:top w:w="50" w:type="dxa"/>
              <w:start w:w="55" w:type="dxa"/>
              <w:bottom w:w="50" w:type="dxa"/>
              <w:end w:w="55" w:type="dxa"/>
            </w:tcMar>
            <w:vAlign w:val="top"/>
          </w:tcPr>
          <w:p>
            <w:pPr>
              <w:spacing w:after="0"/>
            </w:pPr>
            <w:r>
              <w:rPr>
                <w:sz w:val="14"/>
              </w:rPr>
              <w:t>LIS/home collection/referral network/consumer app.</w:t>
            </w:r>
          </w:p>
        </w:tc>
      </w:tr>
      <w:tr>
        <w:tc>
          <w:tcPr>
            <w:tcW w:type="dxa" w:w="2880"/>
            <w:tcMar>
              <w:top w:w="50" w:type="dxa"/>
              <w:start w:w="55" w:type="dxa"/>
              <w:bottom w:w="50" w:type="dxa"/>
              <w:end w:w="55" w:type="dxa"/>
            </w:tcMar>
            <w:vAlign w:val="top"/>
          </w:tcPr>
          <w:p>
            <w:pPr>
              <w:spacing w:after="0"/>
            </w:pPr>
            <w:r>
              <w:rPr>
                <w:sz w:val="14"/>
              </w:rPr>
              <w:t>Pharmacy chains</w:t>
            </w:r>
          </w:p>
        </w:tc>
        <w:tc>
          <w:tcPr>
            <w:tcW w:type="dxa" w:w="7920"/>
            <w:tcMar>
              <w:top w:w="50" w:type="dxa"/>
              <w:start w:w="55" w:type="dxa"/>
              <w:bottom w:w="50" w:type="dxa"/>
              <w:end w:w="55" w:type="dxa"/>
            </w:tcMar>
            <w:vAlign w:val="top"/>
          </w:tcPr>
          <w:p>
            <w:pPr>
              <w:spacing w:after="0"/>
            </w:pPr>
            <w:r>
              <w:rPr>
                <w:sz w:val="14"/>
              </w:rPr>
              <w:t>Retail+hospital pharmacy, network procurement and delivery.</w:t>
            </w:r>
          </w:p>
        </w:tc>
      </w:tr>
      <w:tr>
        <w:tc>
          <w:tcPr>
            <w:tcW w:type="dxa" w:w="2880"/>
            <w:tcMar>
              <w:top w:w="50" w:type="dxa"/>
              <w:start w:w="55" w:type="dxa"/>
              <w:bottom w:w="50" w:type="dxa"/>
              <w:end w:w="55" w:type="dxa"/>
            </w:tcMar>
            <w:vAlign w:val="top"/>
          </w:tcPr>
          <w:p>
            <w:pPr>
              <w:spacing w:after="0"/>
            </w:pPr>
            <w:r>
              <w:rPr>
                <w:sz w:val="14"/>
              </w:rPr>
              <w:t>Pharma channel networks</w:t>
            </w:r>
          </w:p>
        </w:tc>
        <w:tc>
          <w:tcPr>
            <w:tcW w:type="dxa" w:w="7920"/>
            <w:tcMar>
              <w:top w:w="50" w:type="dxa"/>
              <w:start w:w="55" w:type="dxa"/>
              <w:bottom w:w="50" w:type="dxa"/>
              <w:end w:w="55" w:type="dxa"/>
            </w:tcMar>
            <w:vAlign w:val="top"/>
          </w:tcPr>
          <w:p>
            <w:pPr>
              <w:spacing w:after="0"/>
            </w:pPr>
            <w:r>
              <w:rPr>
                <w:sz w:val="14"/>
              </w:rPr>
              <w:t>Automated B2B order processing and multi-echelon distribution.</w:t>
            </w:r>
          </w:p>
        </w:tc>
      </w:tr>
    </w:tbl>
    <w:p>
      <w:pPr>
        <w:spacing w:after="20"/>
      </w:pPr>
    </w:p>
    <w:p>
      <w:pPr>
        <w:pStyle w:val="Heading1"/>
      </w:pPr>
      <w:r>
        <w:t>61. Competitive Positioning Framework</w:t>
      </w:r>
    </w:p>
    <w:p>
      <w:r>
        <w:t>Formal competitor names and feature claims should be validated in a separate market study before external publication. The DPR defines the dimensions on which the product intends to differentiate.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tcMar>
              <w:top w:w="50" w:type="dxa"/>
              <w:start w:w="55" w:type="dxa"/>
              <w:bottom w:w="50" w:type="dxa"/>
              <w:end w:w="55" w:type="dxa"/>
            </w:tcMar>
          </w:tcPr>
          <w:p>
            <w:pPr>
              <w:spacing w:after="0"/>
            </w:pPr>
            <w:r>
              <w:rPr>
                <w:b/>
                <w:sz w:val="13"/>
              </w:rPr>
              <w:t>Category</w:t>
            </w:r>
          </w:p>
        </w:tc>
        <w:tc>
          <w:tcPr>
            <w:tcW w:type="dxa" w:w="3389"/>
            <w:shd w:fill="D9EAF7"/>
            <w:tcMar>
              <w:top w:w="50" w:type="dxa"/>
              <w:start w:w="55" w:type="dxa"/>
              <w:bottom w:w="50" w:type="dxa"/>
              <w:end w:w="55" w:type="dxa"/>
            </w:tcMar>
          </w:tcPr>
          <w:p>
            <w:pPr>
              <w:spacing w:after="0"/>
            </w:pPr>
            <w:r>
              <w:rPr>
                <w:b/>
                <w:sz w:val="13"/>
              </w:rPr>
              <w:t>Typical boundary</w:t>
            </w:r>
          </w:p>
        </w:tc>
        <w:tc>
          <w:tcPr>
            <w:tcW w:type="dxa" w:w="3389"/>
            <w:shd w:fill="D9EAF7"/>
            <w:tcMar>
              <w:top w:w="50" w:type="dxa"/>
              <w:start w:w="55" w:type="dxa"/>
              <w:bottom w:w="50" w:type="dxa"/>
              <w:end w:w="55" w:type="dxa"/>
            </w:tcMar>
          </w:tcPr>
          <w:p>
            <w:pPr>
              <w:spacing w:after="0"/>
            </w:pPr>
            <w:r>
              <w:rPr>
                <w:b/>
                <w:sz w:val="13"/>
              </w:rPr>
              <w:t>Proposed differentiation</w:t>
            </w:r>
          </w:p>
        </w:tc>
      </w:tr>
      <w:tr>
        <w:tc>
          <w:tcPr>
            <w:tcW w:type="dxa" w:w="2160"/>
            <w:tcMar>
              <w:top w:w="50" w:type="dxa"/>
              <w:start w:w="55" w:type="dxa"/>
              <w:bottom w:w="50" w:type="dxa"/>
              <w:end w:w="55" w:type="dxa"/>
            </w:tcMar>
            <w:vAlign w:val="top"/>
          </w:tcPr>
          <w:p>
            <w:pPr>
              <w:spacing w:after="0"/>
            </w:pPr>
            <w:r>
              <w:rPr>
                <w:sz w:val="13"/>
              </w:rPr>
              <w:t>Traditional HIS/HMIS</w:t>
            </w:r>
          </w:p>
        </w:tc>
        <w:tc>
          <w:tcPr>
            <w:tcW w:type="dxa" w:w="4032"/>
            <w:tcMar>
              <w:top w:w="50" w:type="dxa"/>
              <w:start w:w="55" w:type="dxa"/>
              <w:bottom w:w="50" w:type="dxa"/>
              <w:end w:w="55" w:type="dxa"/>
            </w:tcMar>
            <w:vAlign w:val="top"/>
          </w:tcPr>
          <w:p>
            <w:pPr>
              <w:spacing w:after="0"/>
            </w:pPr>
            <w:r>
              <w:rPr>
                <w:sz w:val="13"/>
              </w:rPr>
              <w:t>Strong hospital administration but often limited cross-enterprise pharma/diagnostic network depth.</w:t>
            </w:r>
          </w:p>
        </w:tc>
        <w:tc>
          <w:tcPr>
            <w:tcW w:type="dxa" w:w="4608"/>
            <w:tcMar>
              <w:top w:w="50" w:type="dxa"/>
              <w:start w:w="55" w:type="dxa"/>
              <w:bottom w:w="50" w:type="dxa"/>
              <w:end w:w="55" w:type="dxa"/>
            </w:tcMar>
            <w:vAlign w:val="top"/>
          </w:tcPr>
          <w:p>
            <w:pPr>
              <w:spacing w:after="0"/>
            </w:pPr>
            <w:r>
              <w:rPr>
                <w:sz w:val="13"/>
              </w:rPr>
              <w:t>Unified clinical + commerce + patient + SCADA platform.</w:t>
            </w:r>
          </w:p>
        </w:tc>
      </w:tr>
      <w:tr>
        <w:tc>
          <w:tcPr>
            <w:tcW w:type="dxa" w:w="2160"/>
            <w:tcMar>
              <w:top w:w="50" w:type="dxa"/>
              <w:start w:w="55" w:type="dxa"/>
              <w:bottom w:w="50" w:type="dxa"/>
              <w:end w:w="55" w:type="dxa"/>
            </w:tcMar>
            <w:vAlign w:val="top"/>
          </w:tcPr>
          <w:p>
            <w:pPr>
              <w:spacing w:after="0"/>
            </w:pPr>
            <w:r>
              <w:rPr>
                <w:sz w:val="13"/>
              </w:rPr>
              <w:t>Standalone EMR</w:t>
            </w:r>
          </w:p>
        </w:tc>
        <w:tc>
          <w:tcPr>
            <w:tcW w:type="dxa" w:w="4032"/>
            <w:tcMar>
              <w:top w:w="50" w:type="dxa"/>
              <w:start w:w="55" w:type="dxa"/>
              <w:bottom w:w="50" w:type="dxa"/>
              <w:end w:w="55" w:type="dxa"/>
            </w:tcMar>
            <w:vAlign w:val="top"/>
          </w:tcPr>
          <w:p>
            <w:pPr>
              <w:spacing w:after="0"/>
            </w:pPr>
            <w:r>
              <w:rPr>
                <w:sz w:val="13"/>
              </w:rPr>
              <w:t>Clinical documentation focus; may rely on external ERP/billing/supply chain.</w:t>
            </w:r>
          </w:p>
        </w:tc>
        <w:tc>
          <w:tcPr>
            <w:tcW w:type="dxa" w:w="4608"/>
            <w:tcMar>
              <w:top w:w="50" w:type="dxa"/>
              <w:start w:w="55" w:type="dxa"/>
              <w:bottom w:w="50" w:type="dxa"/>
              <w:end w:w="55" w:type="dxa"/>
            </w:tcMar>
            <w:vAlign w:val="top"/>
          </w:tcPr>
          <w:p>
            <w:pPr>
              <w:spacing w:after="0"/>
            </w:pPr>
            <w:r>
              <w:rPr>
                <w:sz w:val="13"/>
              </w:rPr>
              <w:t>Clinical core integrated directly with hospital operations and network fulfilment.</w:t>
            </w:r>
          </w:p>
        </w:tc>
      </w:tr>
      <w:tr>
        <w:tc>
          <w:tcPr>
            <w:tcW w:type="dxa" w:w="2160"/>
            <w:tcMar>
              <w:top w:w="50" w:type="dxa"/>
              <w:start w:w="55" w:type="dxa"/>
              <w:bottom w:w="50" w:type="dxa"/>
              <w:end w:w="55" w:type="dxa"/>
            </w:tcMar>
            <w:vAlign w:val="top"/>
          </w:tcPr>
          <w:p>
            <w:pPr>
              <w:spacing w:after="0"/>
            </w:pPr>
            <w:r>
              <w:rPr>
                <w:sz w:val="13"/>
              </w:rPr>
              <w:t>Pharmacy/DMS software</w:t>
            </w:r>
          </w:p>
        </w:tc>
        <w:tc>
          <w:tcPr>
            <w:tcW w:type="dxa" w:w="4032"/>
            <w:tcMar>
              <w:top w:w="50" w:type="dxa"/>
              <w:start w:w="55" w:type="dxa"/>
              <w:bottom w:w="50" w:type="dxa"/>
              <w:end w:w="55" w:type="dxa"/>
            </w:tcMar>
            <w:vAlign w:val="top"/>
          </w:tcPr>
          <w:p>
            <w:pPr>
              <w:spacing w:after="0"/>
            </w:pPr>
            <w:r>
              <w:rPr>
                <w:sz w:val="13"/>
              </w:rPr>
              <w:t>Strong distribution/retail transactions but not longitudinal clinical context.</w:t>
            </w:r>
          </w:p>
        </w:tc>
        <w:tc>
          <w:tcPr>
            <w:tcW w:type="dxa" w:w="4608"/>
            <w:tcMar>
              <w:top w:w="50" w:type="dxa"/>
              <w:start w:w="55" w:type="dxa"/>
              <w:bottom w:w="50" w:type="dxa"/>
              <w:end w:w="55" w:type="dxa"/>
            </w:tcMar>
            <w:vAlign w:val="top"/>
          </w:tcPr>
          <w:p>
            <w:pPr>
              <w:spacing w:after="0"/>
            </w:pPr>
            <w:r>
              <w:rPr>
                <w:sz w:val="13"/>
              </w:rPr>
              <w:t>Prescription-to-channel fulfilment plus manufacturer-to-patient traceability.</w:t>
            </w:r>
          </w:p>
        </w:tc>
      </w:tr>
      <w:tr>
        <w:tc>
          <w:tcPr>
            <w:tcW w:type="dxa" w:w="2160"/>
            <w:tcMar>
              <w:top w:w="50" w:type="dxa"/>
              <w:start w:w="55" w:type="dxa"/>
              <w:bottom w:w="50" w:type="dxa"/>
              <w:end w:w="55" w:type="dxa"/>
            </w:tcMar>
            <w:vAlign w:val="top"/>
          </w:tcPr>
          <w:p>
            <w:pPr>
              <w:spacing w:after="0"/>
            </w:pPr>
            <w:r>
              <w:rPr>
                <w:sz w:val="13"/>
              </w:rPr>
              <w:t>Diagnostic LIS/RIS</w:t>
            </w:r>
          </w:p>
        </w:tc>
        <w:tc>
          <w:tcPr>
            <w:tcW w:type="dxa" w:w="4032"/>
            <w:tcMar>
              <w:top w:w="50" w:type="dxa"/>
              <w:start w:w="55" w:type="dxa"/>
              <w:bottom w:w="50" w:type="dxa"/>
              <w:end w:w="55" w:type="dxa"/>
            </w:tcMar>
            <w:vAlign w:val="top"/>
          </w:tcPr>
          <w:p>
            <w:pPr>
              <w:spacing w:after="0"/>
            </w:pPr>
            <w:r>
              <w:rPr>
                <w:sz w:val="13"/>
              </w:rPr>
              <w:t>Strong lab/radiology workflow but separate consumer/network orchestration.</w:t>
            </w:r>
          </w:p>
        </w:tc>
        <w:tc>
          <w:tcPr>
            <w:tcW w:type="dxa" w:w="4608"/>
            <w:tcMar>
              <w:top w:w="50" w:type="dxa"/>
              <w:start w:w="55" w:type="dxa"/>
              <w:bottom w:w="50" w:type="dxa"/>
              <w:end w:w="55" w:type="dxa"/>
            </w:tcMar>
            <w:vAlign w:val="top"/>
          </w:tcPr>
          <w:p>
            <w:pPr>
              <w:spacing w:after="0"/>
            </w:pPr>
            <w:r>
              <w:rPr>
                <w:sz w:val="13"/>
              </w:rPr>
              <w:t>Integrated diagnostic marketplace, hospital order context and PHR.</w:t>
            </w:r>
          </w:p>
        </w:tc>
      </w:tr>
      <w:tr>
        <w:tc>
          <w:tcPr>
            <w:tcW w:type="dxa" w:w="2160"/>
            <w:tcMar>
              <w:top w:w="50" w:type="dxa"/>
              <w:start w:w="55" w:type="dxa"/>
              <w:bottom w:w="50" w:type="dxa"/>
              <w:end w:w="55" w:type="dxa"/>
            </w:tcMar>
            <w:vAlign w:val="top"/>
          </w:tcPr>
          <w:p>
            <w:pPr>
              <w:spacing w:after="0"/>
            </w:pPr>
            <w:r>
              <w:rPr>
                <w:sz w:val="13"/>
              </w:rPr>
              <w:t>Claims/RCM platforms</w:t>
            </w:r>
          </w:p>
        </w:tc>
        <w:tc>
          <w:tcPr>
            <w:tcW w:type="dxa" w:w="4032"/>
            <w:tcMar>
              <w:top w:w="50" w:type="dxa"/>
              <w:start w:w="55" w:type="dxa"/>
              <w:bottom w:w="50" w:type="dxa"/>
              <w:end w:w="55" w:type="dxa"/>
            </w:tcMar>
            <w:vAlign w:val="top"/>
          </w:tcPr>
          <w:p>
            <w:pPr>
              <w:spacing w:after="0"/>
            </w:pPr>
            <w:r>
              <w:rPr>
                <w:sz w:val="13"/>
              </w:rPr>
              <w:t>Focused financial workflow.</w:t>
            </w:r>
          </w:p>
        </w:tc>
        <w:tc>
          <w:tcPr>
            <w:tcW w:type="dxa" w:w="4608"/>
            <w:tcMar>
              <w:top w:w="50" w:type="dxa"/>
              <w:start w:w="55" w:type="dxa"/>
              <w:bottom w:w="50" w:type="dxa"/>
              <w:end w:w="55" w:type="dxa"/>
            </w:tcMar>
            <w:vAlign w:val="top"/>
          </w:tcPr>
          <w:p>
            <w:pPr>
              <w:spacing w:after="0"/>
            </w:pPr>
            <w:r>
              <w:rPr>
                <w:sz w:val="13"/>
              </w:rPr>
              <w:t>Clinical-source evidence + claims + patient liability + hospital revenue integrity.</w:t>
            </w:r>
          </w:p>
        </w:tc>
      </w:tr>
      <w:tr>
        <w:tc>
          <w:tcPr>
            <w:tcW w:type="dxa" w:w="2160"/>
            <w:tcMar>
              <w:top w:w="50" w:type="dxa"/>
              <w:start w:w="55" w:type="dxa"/>
              <w:bottom w:w="50" w:type="dxa"/>
              <w:end w:w="55" w:type="dxa"/>
            </w:tcMar>
            <w:vAlign w:val="top"/>
          </w:tcPr>
          <w:p>
            <w:pPr>
              <w:spacing w:after="0"/>
            </w:pPr>
            <w:r>
              <w:rPr>
                <w:sz w:val="13"/>
              </w:rPr>
              <w:t>BMS/SCADA products</w:t>
            </w:r>
          </w:p>
        </w:tc>
        <w:tc>
          <w:tcPr>
            <w:tcW w:type="dxa" w:w="4032"/>
            <w:tcMar>
              <w:top w:w="50" w:type="dxa"/>
              <w:start w:w="55" w:type="dxa"/>
              <w:bottom w:w="50" w:type="dxa"/>
              <w:end w:w="55" w:type="dxa"/>
            </w:tcMar>
            <w:vAlign w:val="top"/>
          </w:tcPr>
          <w:p>
            <w:pPr>
              <w:spacing w:after="0"/>
            </w:pPr>
            <w:r>
              <w:rPr>
                <w:sz w:val="13"/>
              </w:rPr>
              <w:t>Strong facility/OT control but isolated from hospital operations.</w:t>
            </w:r>
          </w:p>
        </w:tc>
        <w:tc>
          <w:tcPr>
            <w:tcW w:type="dxa" w:w="4608"/>
            <w:tcMar>
              <w:top w:w="50" w:type="dxa"/>
              <w:start w:w="55" w:type="dxa"/>
              <w:bottom w:w="50" w:type="dxa"/>
              <w:end w:w="55" w:type="dxa"/>
            </w:tcMar>
            <w:vAlign w:val="top"/>
          </w:tcPr>
          <w:p>
            <w:pPr>
              <w:spacing w:after="0"/>
            </w:pPr>
            <w:r>
              <w:rPr>
                <w:sz w:val="13"/>
              </w:rPr>
              <w:t>Safe integration of facility telemetry into hospital command center while retaining OT separation.</w:t>
            </w:r>
          </w:p>
        </w:tc>
      </w:tr>
    </w:tbl>
    <w:p>
      <w:pPr>
        <w:spacing w:after="20"/>
      </w:pPr>
    </w:p>
    <w:p>
      <w:pPr>
        <w:pStyle w:val="Heading1"/>
      </w:pPr>
      <w:r>
        <w:t>62. Detailed Cost Model and Funding Stages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tcMar>
              <w:top w:w="50" w:type="dxa"/>
              <w:start w:w="55" w:type="dxa"/>
              <w:bottom w:w="50" w:type="dxa"/>
              <w:end w:w="55" w:type="dxa"/>
            </w:tcMar>
          </w:tcPr>
          <w:p>
            <w:pPr>
              <w:spacing w:after="0"/>
            </w:pPr>
            <w:r>
              <w:rPr>
                <w:b/>
                <w:sz w:val="14"/>
              </w:rPr>
              <w:t>Cost pool</w:t>
            </w:r>
          </w:p>
        </w:tc>
        <w:tc>
          <w:tcPr>
            <w:tcW w:type="dxa" w:w="3389"/>
            <w:shd w:fill="D9EAF7"/>
            <w:tcMar>
              <w:top w:w="50" w:type="dxa"/>
              <w:start w:w="55" w:type="dxa"/>
              <w:bottom w:w="50" w:type="dxa"/>
              <w:end w:w="55" w:type="dxa"/>
            </w:tcMar>
          </w:tcPr>
          <w:p>
            <w:pPr>
              <w:spacing w:after="0"/>
            </w:pPr>
            <w:r>
              <w:rPr>
                <w:b/>
                <w:sz w:val="14"/>
              </w:rPr>
              <w:t>Planning share</w:t>
            </w:r>
          </w:p>
        </w:tc>
        <w:tc>
          <w:tcPr>
            <w:tcW w:type="dxa" w:w="3389"/>
            <w:shd w:fill="D9EAF7"/>
            <w:tcMar>
              <w:top w:w="50" w:type="dxa"/>
              <w:start w:w="55" w:type="dxa"/>
              <w:bottom w:w="50" w:type="dxa"/>
              <w:end w:w="55" w:type="dxa"/>
            </w:tcMar>
          </w:tcPr>
          <w:p>
            <w:pPr>
              <w:spacing w:after="0"/>
            </w:pPr>
            <w:r>
              <w:rPr>
                <w:b/>
                <w:sz w:val="14"/>
              </w:rPr>
              <w:t>Notes</w:t>
            </w:r>
          </w:p>
        </w:tc>
      </w:tr>
      <w:tr>
        <w:tc>
          <w:tcPr>
            <w:tcW w:type="dxa" w:w="2592"/>
            <w:tcMar>
              <w:top w:w="50" w:type="dxa"/>
              <w:start w:w="55" w:type="dxa"/>
              <w:bottom w:w="50" w:type="dxa"/>
              <w:end w:w="55" w:type="dxa"/>
            </w:tcMar>
            <w:vAlign w:val="top"/>
          </w:tcPr>
          <w:p>
            <w:pPr>
              <w:spacing w:after="0"/>
            </w:pPr>
            <w:r>
              <w:rPr>
                <w:sz w:val="14"/>
              </w:rPr>
              <w:t>Product/engineering payroll</w:t>
            </w:r>
          </w:p>
        </w:tc>
        <w:tc>
          <w:tcPr>
            <w:tcW w:type="dxa" w:w="1872"/>
            <w:tcMar>
              <w:top w:w="50" w:type="dxa"/>
              <w:start w:w="55" w:type="dxa"/>
              <w:bottom w:w="50" w:type="dxa"/>
              <w:end w:w="55" w:type="dxa"/>
            </w:tcMar>
            <w:vAlign w:val="top"/>
          </w:tcPr>
          <w:p>
            <w:pPr>
              <w:spacing w:after="0"/>
            </w:pPr>
            <w:r>
              <w:rPr>
                <w:sz w:val="14"/>
              </w:rPr>
              <w:t>55-65%</w:t>
            </w:r>
          </w:p>
        </w:tc>
        <w:tc>
          <w:tcPr>
            <w:tcW w:type="dxa" w:w="6336"/>
            <w:tcMar>
              <w:top w:w="50" w:type="dxa"/>
              <w:start w:w="55" w:type="dxa"/>
              <w:bottom w:w="50" w:type="dxa"/>
              <w:end w:w="55" w:type="dxa"/>
            </w:tcMar>
            <w:vAlign w:val="top"/>
          </w:tcPr>
          <w:p>
            <w:pPr>
              <w:spacing w:after="0"/>
            </w:pPr>
            <w:r>
              <w:rPr>
                <w:sz w:val="14"/>
              </w:rPr>
              <w:t>Backend, web, mobile, AI/data, QA, UX, architecture and product.</w:t>
            </w:r>
          </w:p>
        </w:tc>
      </w:tr>
      <w:tr>
        <w:tc>
          <w:tcPr>
            <w:tcW w:type="dxa" w:w="2592"/>
            <w:tcMar>
              <w:top w:w="50" w:type="dxa"/>
              <w:start w:w="55" w:type="dxa"/>
              <w:bottom w:w="50" w:type="dxa"/>
              <w:end w:w="55" w:type="dxa"/>
            </w:tcMar>
            <w:vAlign w:val="top"/>
          </w:tcPr>
          <w:p>
            <w:pPr>
              <w:spacing w:after="0"/>
            </w:pPr>
            <w:r>
              <w:rPr>
                <w:sz w:val="14"/>
              </w:rPr>
              <w:t>Cloud/platform/tooling</w:t>
            </w:r>
          </w:p>
        </w:tc>
        <w:tc>
          <w:tcPr>
            <w:tcW w:type="dxa" w:w="1872"/>
            <w:tcMar>
              <w:top w:w="50" w:type="dxa"/>
              <w:start w:w="55" w:type="dxa"/>
              <w:bottom w:w="50" w:type="dxa"/>
              <w:end w:w="55" w:type="dxa"/>
            </w:tcMar>
            <w:vAlign w:val="top"/>
          </w:tcPr>
          <w:p>
            <w:pPr>
              <w:spacing w:after="0"/>
            </w:pPr>
            <w:r>
              <w:rPr>
                <w:sz w:val="14"/>
              </w:rPr>
              <w:t>7-12%</w:t>
            </w:r>
          </w:p>
        </w:tc>
        <w:tc>
          <w:tcPr>
            <w:tcW w:type="dxa" w:w="6336"/>
            <w:tcMar>
              <w:top w:w="50" w:type="dxa"/>
              <w:start w:w="55" w:type="dxa"/>
              <w:bottom w:w="50" w:type="dxa"/>
              <w:end w:w="55" w:type="dxa"/>
            </w:tcMar>
            <w:vAlign w:val="top"/>
          </w:tcPr>
          <w:p>
            <w:pPr>
              <w:spacing w:after="0"/>
            </w:pPr>
            <w:r>
              <w:rPr>
                <w:sz w:val="14"/>
              </w:rPr>
              <w:t>Environments, observability, CI/CD, security tooling, messaging, storage and test infrastructure.</w:t>
            </w:r>
          </w:p>
        </w:tc>
      </w:tr>
      <w:tr>
        <w:tc>
          <w:tcPr>
            <w:tcW w:type="dxa" w:w="2592"/>
            <w:tcMar>
              <w:top w:w="50" w:type="dxa"/>
              <w:start w:w="55" w:type="dxa"/>
              <w:bottom w:w="50" w:type="dxa"/>
              <w:end w:w="55" w:type="dxa"/>
            </w:tcMar>
            <w:vAlign w:val="top"/>
          </w:tcPr>
          <w:p>
            <w:pPr>
              <w:spacing w:after="0"/>
            </w:pPr>
            <w:r>
              <w:rPr>
                <w:sz w:val="14"/>
              </w:rPr>
              <w:t>Clinical/domain experts</w:t>
            </w:r>
          </w:p>
        </w:tc>
        <w:tc>
          <w:tcPr>
            <w:tcW w:type="dxa" w:w="1872"/>
            <w:tcMar>
              <w:top w:w="50" w:type="dxa"/>
              <w:start w:w="55" w:type="dxa"/>
              <w:bottom w:w="50" w:type="dxa"/>
              <w:end w:w="55" w:type="dxa"/>
            </w:tcMar>
            <w:vAlign w:val="top"/>
          </w:tcPr>
          <w:p>
            <w:pPr>
              <w:spacing w:after="0"/>
            </w:pPr>
            <w:r>
              <w:rPr>
                <w:sz w:val="14"/>
              </w:rPr>
              <w:t>5-10%</w:t>
            </w:r>
          </w:p>
        </w:tc>
        <w:tc>
          <w:tcPr>
            <w:tcW w:type="dxa" w:w="6336"/>
            <w:tcMar>
              <w:top w:w="50" w:type="dxa"/>
              <w:start w:w="55" w:type="dxa"/>
              <w:bottom w:w="50" w:type="dxa"/>
              <w:end w:w="55" w:type="dxa"/>
            </w:tcMar>
            <w:vAlign w:val="top"/>
          </w:tcPr>
          <w:p>
            <w:pPr>
              <w:spacing w:after="0"/>
            </w:pPr>
            <w:r>
              <w:rPr>
                <w:sz w:val="14"/>
              </w:rPr>
              <w:t>Clinical informatics, specialty validation, pharmacy, diagnostics and insurance SMEs.</w:t>
            </w:r>
          </w:p>
        </w:tc>
      </w:tr>
      <w:tr>
        <w:tc>
          <w:tcPr>
            <w:tcW w:type="dxa" w:w="2592"/>
            <w:tcMar>
              <w:top w:w="50" w:type="dxa"/>
              <w:start w:w="55" w:type="dxa"/>
              <w:bottom w:w="50" w:type="dxa"/>
              <w:end w:w="55" w:type="dxa"/>
            </w:tcMar>
            <w:vAlign w:val="top"/>
          </w:tcPr>
          <w:p>
            <w:pPr>
              <w:spacing w:after="0"/>
            </w:pPr>
            <w:r>
              <w:rPr>
                <w:sz w:val="14"/>
              </w:rPr>
              <w:t>Security/compliance/testing</w:t>
            </w:r>
          </w:p>
        </w:tc>
        <w:tc>
          <w:tcPr>
            <w:tcW w:type="dxa" w:w="1872"/>
            <w:tcMar>
              <w:top w:w="50" w:type="dxa"/>
              <w:start w:w="55" w:type="dxa"/>
              <w:bottom w:w="50" w:type="dxa"/>
              <w:end w:w="55" w:type="dxa"/>
            </w:tcMar>
            <w:vAlign w:val="top"/>
          </w:tcPr>
          <w:p>
            <w:pPr>
              <w:spacing w:after="0"/>
            </w:pPr>
            <w:r>
              <w:rPr>
                <w:sz w:val="14"/>
              </w:rPr>
              <w:t>4-8%</w:t>
            </w:r>
          </w:p>
        </w:tc>
        <w:tc>
          <w:tcPr>
            <w:tcW w:type="dxa" w:w="6336"/>
            <w:tcMar>
              <w:top w:w="50" w:type="dxa"/>
              <w:start w:w="55" w:type="dxa"/>
              <w:bottom w:w="50" w:type="dxa"/>
              <w:end w:w="55" w:type="dxa"/>
            </w:tcMar>
            <w:vAlign w:val="top"/>
          </w:tcPr>
          <w:p>
            <w:pPr>
              <w:spacing w:after="0"/>
            </w:pPr>
            <w:r>
              <w:rPr>
                <w:sz w:val="14"/>
              </w:rPr>
              <w:t>Pentest, audits, privacy/legal, certifications/conformance and independent reviews.</w:t>
            </w:r>
          </w:p>
        </w:tc>
      </w:tr>
      <w:tr>
        <w:tc>
          <w:tcPr>
            <w:tcW w:type="dxa" w:w="2592"/>
            <w:tcMar>
              <w:top w:w="50" w:type="dxa"/>
              <w:start w:w="55" w:type="dxa"/>
              <w:bottom w:w="50" w:type="dxa"/>
              <w:end w:w="55" w:type="dxa"/>
            </w:tcMar>
            <w:vAlign w:val="top"/>
          </w:tcPr>
          <w:p>
            <w:pPr>
              <w:spacing w:after="0"/>
            </w:pPr>
            <w:r>
              <w:rPr>
                <w:sz w:val="14"/>
              </w:rPr>
              <w:t>Devices/integration labs</w:t>
            </w:r>
          </w:p>
        </w:tc>
        <w:tc>
          <w:tcPr>
            <w:tcW w:type="dxa" w:w="1872"/>
            <w:tcMar>
              <w:top w:w="50" w:type="dxa"/>
              <w:start w:w="55" w:type="dxa"/>
              <w:bottom w:w="50" w:type="dxa"/>
              <w:end w:w="55" w:type="dxa"/>
            </w:tcMar>
            <w:vAlign w:val="top"/>
          </w:tcPr>
          <w:p>
            <w:pPr>
              <w:spacing w:after="0"/>
            </w:pPr>
            <w:r>
              <w:rPr>
                <w:sz w:val="14"/>
              </w:rPr>
              <w:t>4-10%</w:t>
            </w:r>
          </w:p>
        </w:tc>
        <w:tc>
          <w:tcPr>
            <w:tcW w:type="dxa" w:w="6336"/>
            <w:tcMar>
              <w:top w:w="50" w:type="dxa"/>
              <w:start w:w="55" w:type="dxa"/>
              <w:bottom w:w="50" w:type="dxa"/>
              <w:end w:w="55" w:type="dxa"/>
            </w:tcMar>
            <w:vAlign w:val="top"/>
          </w:tcPr>
          <w:p>
            <w:pPr>
              <w:spacing w:after="0"/>
            </w:pPr>
            <w:r>
              <w:rPr>
                <w:sz w:val="14"/>
              </w:rPr>
              <w:t>Analyzer/DICOM/device/SCADA gateways, test equipment and vendor sandboxes.</w:t>
            </w:r>
          </w:p>
        </w:tc>
      </w:tr>
      <w:tr>
        <w:tc>
          <w:tcPr>
            <w:tcW w:type="dxa" w:w="2592"/>
            <w:tcMar>
              <w:top w:w="50" w:type="dxa"/>
              <w:start w:w="55" w:type="dxa"/>
              <w:bottom w:w="50" w:type="dxa"/>
              <w:end w:w="55" w:type="dxa"/>
            </w:tcMar>
            <w:vAlign w:val="top"/>
          </w:tcPr>
          <w:p>
            <w:pPr>
              <w:spacing w:after="0"/>
            </w:pPr>
            <w:r>
              <w:rPr>
                <w:sz w:val="14"/>
              </w:rPr>
              <w:t>Implementation/support</w:t>
            </w:r>
          </w:p>
        </w:tc>
        <w:tc>
          <w:tcPr>
            <w:tcW w:type="dxa" w:w="1872"/>
            <w:tcMar>
              <w:top w:w="50" w:type="dxa"/>
              <w:start w:w="55" w:type="dxa"/>
              <w:bottom w:w="50" w:type="dxa"/>
              <w:end w:w="55" w:type="dxa"/>
            </w:tcMar>
            <w:vAlign w:val="top"/>
          </w:tcPr>
          <w:p>
            <w:pPr>
              <w:spacing w:after="0"/>
            </w:pPr>
            <w:r>
              <w:rPr>
                <w:sz w:val="14"/>
              </w:rPr>
              <w:t>8-15%</w:t>
            </w:r>
          </w:p>
        </w:tc>
        <w:tc>
          <w:tcPr>
            <w:tcW w:type="dxa" w:w="6336"/>
            <w:tcMar>
              <w:top w:w="50" w:type="dxa"/>
              <w:start w:w="55" w:type="dxa"/>
              <w:bottom w:w="50" w:type="dxa"/>
              <w:end w:w="55" w:type="dxa"/>
            </w:tcMar>
            <w:vAlign w:val="top"/>
          </w:tcPr>
          <w:p>
            <w:pPr>
              <w:spacing w:after="0"/>
            </w:pPr>
            <w:r>
              <w:rPr>
                <w:sz w:val="14"/>
              </w:rPr>
              <w:t>Migration, configuration, training, onsite rollout and customer success.</w:t>
            </w:r>
          </w:p>
        </w:tc>
      </w:tr>
      <w:tr>
        <w:tc>
          <w:tcPr>
            <w:tcW w:type="dxa" w:w="2592"/>
            <w:tcMar>
              <w:top w:w="50" w:type="dxa"/>
              <w:start w:w="55" w:type="dxa"/>
              <w:bottom w:w="50" w:type="dxa"/>
              <w:end w:w="55" w:type="dxa"/>
            </w:tcMar>
            <w:vAlign w:val="top"/>
          </w:tcPr>
          <w:p>
            <w:pPr>
              <w:spacing w:after="0"/>
            </w:pPr>
            <w:r>
              <w:rPr>
                <w:sz w:val="14"/>
              </w:rPr>
              <w:t>Contingency</w:t>
            </w:r>
          </w:p>
        </w:tc>
        <w:tc>
          <w:tcPr>
            <w:tcW w:type="dxa" w:w="1872"/>
            <w:tcMar>
              <w:top w:w="50" w:type="dxa"/>
              <w:start w:w="55" w:type="dxa"/>
              <w:bottom w:w="50" w:type="dxa"/>
              <w:end w:w="55" w:type="dxa"/>
            </w:tcMar>
            <w:vAlign w:val="top"/>
          </w:tcPr>
          <w:p>
            <w:pPr>
              <w:spacing w:after="0"/>
            </w:pPr>
            <w:r>
              <w:rPr>
                <w:sz w:val="14"/>
              </w:rPr>
              <w:t>8-12%</w:t>
            </w:r>
          </w:p>
        </w:tc>
        <w:tc>
          <w:tcPr>
            <w:tcW w:type="dxa" w:w="6336"/>
            <w:tcMar>
              <w:top w:w="50" w:type="dxa"/>
              <w:start w:w="55" w:type="dxa"/>
              <w:bottom w:w="50" w:type="dxa"/>
              <w:end w:w="55" w:type="dxa"/>
            </w:tcMar>
            <w:vAlign w:val="top"/>
          </w:tcPr>
          <w:p>
            <w:pPr>
              <w:spacing w:after="0"/>
            </w:pPr>
            <w:r>
              <w:rPr>
                <w:sz w:val="14"/>
              </w:rPr>
              <w:t>Vendor, regulatory, integration and schedule uncertainty.</w:t>
            </w:r>
          </w:p>
        </w:tc>
      </w:tr>
    </w:tbl>
    <w:p>
      <w:pPr>
        <w:spacing w:after="20"/>
      </w:pPr>
    </w:p>
    <w:p>
      <w:pPr>
        <w:pStyle w:val="Heading2"/>
      </w:pPr>
      <w:r>
        <w:t>62.1 Funding Gates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tcMar>
              <w:top w:w="50" w:type="dxa"/>
              <w:start w:w="55" w:type="dxa"/>
              <w:bottom w:w="50" w:type="dxa"/>
              <w:end w:w="55" w:type="dxa"/>
            </w:tcMar>
          </w:tcPr>
          <w:p>
            <w:pPr>
              <w:spacing w:after="0"/>
            </w:pPr>
            <w:r>
              <w:rPr>
                <w:b/>
                <w:sz w:val="13"/>
              </w:rPr>
              <w:t>Stage</w:t>
            </w:r>
          </w:p>
        </w:tc>
        <w:tc>
          <w:tcPr>
            <w:tcW w:type="dxa" w:w="3389"/>
            <w:shd w:fill="D9EAF7"/>
            <w:tcMar>
              <w:top w:w="50" w:type="dxa"/>
              <w:start w:w="55" w:type="dxa"/>
              <w:bottom w:w="50" w:type="dxa"/>
              <w:end w:w="55" w:type="dxa"/>
            </w:tcMar>
          </w:tcPr>
          <w:p>
            <w:pPr>
              <w:spacing w:after="0"/>
            </w:pPr>
            <w:r>
              <w:rPr>
                <w:b/>
                <w:sz w:val="13"/>
              </w:rPr>
              <w:t>Funding objective</w:t>
            </w:r>
          </w:p>
        </w:tc>
        <w:tc>
          <w:tcPr>
            <w:tcW w:type="dxa" w:w="3389"/>
            <w:shd w:fill="D9EAF7"/>
            <w:tcMar>
              <w:top w:w="50" w:type="dxa"/>
              <w:start w:w="55" w:type="dxa"/>
              <w:bottom w:w="50" w:type="dxa"/>
              <w:end w:w="55" w:type="dxa"/>
            </w:tcMar>
          </w:tcPr>
          <w:p>
            <w:pPr>
              <w:spacing w:after="0"/>
            </w:pPr>
            <w:r>
              <w:rPr>
                <w:b/>
                <w:sz w:val="13"/>
              </w:rPr>
              <w:t>Proof required before next stage</w:t>
            </w:r>
          </w:p>
        </w:tc>
      </w:tr>
      <w:tr>
        <w:tc>
          <w:tcPr>
            <w:tcW w:type="dxa" w:w="2160"/>
            <w:tcMar>
              <w:top w:w="50" w:type="dxa"/>
              <w:start w:w="55" w:type="dxa"/>
              <w:bottom w:w="50" w:type="dxa"/>
              <w:end w:w="55" w:type="dxa"/>
            </w:tcMar>
            <w:vAlign w:val="top"/>
          </w:tcPr>
          <w:p>
            <w:pPr>
              <w:spacing w:after="0"/>
            </w:pPr>
            <w:r>
              <w:rPr>
                <w:sz w:val="13"/>
              </w:rPr>
              <w:t>Seed/Foundation</w:t>
            </w:r>
          </w:p>
        </w:tc>
        <w:tc>
          <w:tcPr>
            <w:tcW w:type="dxa" w:w="3888"/>
            <w:tcMar>
              <w:top w:w="50" w:type="dxa"/>
              <w:start w:w="55" w:type="dxa"/>
              <w:bottom w:w="50" w:type="dxa"/>
              <w:end w:w="55" w:type="dxa"/>
            </w:tcMar>
            <w:vAlign w:val="top"/>
          </w:tcPr>
          <w:p>
            <w:pPr>
              <w:spacing w:after="0"/>
            </w:pPr>
            <w:r>
              <w:rPr>
                <w:sz w:val="13"/>
              </w:rPr>
              <w:t>Core platform + first hospital/diagnostic/pharma design partners</w:t>
            </w:r>
          </w:p>
        </w:tc>
        <w:tc>
          <w:tcPr>
            <w:tcW w:type="dxa" w:w="4752"/>
            <w:tcMar>
              <w:top w:w="50" w:type="dxa"/>
              <w:start w:w="55" w:type="dxa"/>
              <w:bottom w:w="50" w:type="dxa"/>
              <w:end w:w="55" w:type="dxa"/>
            </w:tcMar>
            <w:vAlign w:val="top"/>
          </w:tcPr>
          <w:p>
            <w:pPr>
              <w:spacing w:after="0"/>
            </w:pPr>
            <w:r>
              <w:rPr>
                <w:sz w:val="13"/>
              </w:rPr>
              <w:t>Working vertical slice, signed pilot LOIs, architecture/security baseline.</w:t>
            </w:r>
          </w:p>
        </w:tc>
      </w:tr>
      <w:tr>
        <w:tc>
          <w:tcPr>
            <w:tcW w:type="dxa" w:w="2160"/>
            <w:tcMar>
              <w:top w:w="50" w:type="dxa"/>
              <w:start w:w="55" w:type="dxa"/>
              <w:bottom w:w="50" w:type="dxa"/>
              <w:end w:w="55" w:type="dxa"/>
            </w:tcMar>
            <w:vAlign w:val="top"/>
          </w:tcPr>
          <w:p>
            <w:pPr>
              <w:spacing w:after="0"/>
            </w:pPr>
            <w:r>
              <w:rPr>
                <w:sz w:val="13"/>
              </w:rPr>
              <w:t>Pilot</w:t>
            </w:r>
          </w:p>
        </w:tc>
        <w:tc>
          <w:tcPr>
            <w:tcW w:type="dxa" w:w="3888"/>
            <w:tcMar>
              <w:top w:w="50" w:type="dxa"/>
              <w:start w:w="55" w:type="dxa"/>
              <w:bottom w:w="50" w:type="dxa"/>
              <w:end w:w="55" w:type="dxa"/>
            </w:tcMar>
            <w:vAlign w:val="top"/>
          </w:tcPr>
          <w:p>
            <w:pPr>
              <w:spacing w:after="0"/>
            </w:pPr>
            <w:r>
              <w:rPr>
                <w:sz w:val="13"/>
              </w:rPr>
              <w:t>Production MVP and 2-4 reference deployments</w:t>
            </w:r>
          </w:p>
        </w:tc>
        <w:tc>
          <w:tcPr>
            <w:tcW w:type="dxa" w:w="4752"/>
            <w:tcMar>
              <w:top w:w="50" w:type="dxa"/>
              <w:start w:w="55" w:type="dxa"/>
              <w:bottom w:w="50" w:type="dxa"/>
              <w:end w:w="55" w:type="dxa"/>
            </w:tcMar>
            <w:vAlign w:val="top"/>
          </w:tcPr>
          <w:p>
            <w:pPr>
              <w:spacing w:after="0"/>
            </w:pPr>
            <w:r>
              <w:rPr>
                <w:sz w:val="13"/>
              </w:rPr>
              <w:t>User adoption, SLA stability, measurable workflow improvement and paying contract.</w:t>
            </w:r>
          </w:p>
        </w:tc>
      </w:tr>
      <w:tr>
        <w:tc>
          <w:tcPr>
            <w:tcW w:type="dxa" w:w="2160"/>
            <w:tcMar>
              <w:top w:w="50" w:type="dxa"/>
              <w:start w:w="55" w:type="dxa"/>
              <w:bottom w:w="50" w:type="dxa"/>
              <w:end w:w="55" w:type="dxa"/>
            </w:tcMar>
            <w:vAlign w:val="top"/>
          </w:tcPr>
          <w:p>
            <w:pPr>
              <w:spacing w:after="0"/>
            </w:pPr>
            <w:r>
              <w:rPr>
                <w:sz w:val="13"/>
              </w:rPr>
              <w:t>Scale</w:t>
            </w:r>
          </w:p>
        </w:tc>
        <w:tc>
          <w:tcPr>
            <w:tcW w:type="dxa" w:w="3888"/>
            <w:tcMar>
              <w:top w:w="50" w:type="dxa"/>
              <w:start w:w="55" w:type="dxa"/>
              <w:bottom w:w="50" w:type="dxa"/>
              <w:end w:w="55" w:type="dxa"/>
            </w:tcMar>
            <w:vAlign w:val="top"/>
          </w:tcPr>
          <w:p>
            <w:pPr>
              <w:spacing w:after="0"/>
            </w:pPr>
            <w:r>
              <w:rPr>
                <w:sz w:val="13"/>
              </w:rPr>
              <w:t>Enterprise modules, partner network, broader specialty packs</w:t>
            </w:r>
          </w:p>
        </w:tc>
        <w:tc>
          <w:tcPr>
            <w:tcW w:type="dxa" w:w="4752"/>
            <w:tcMar>
              <w:top w:w="50" w:type="dxa"/>
              <w:start w:w="55" w:type="dxa"/>
              <w:bottom w:w="50" w:type="dxa"/>
              <w:end w:w="55" w:type="dxa"/>
            </w:tcMar>
            <w:vAlign w:val="top"/>
          </w:tcPr>
          <w:p>
            <w:pPr>
              <w:spacing w:after="0"/>
            </w:pPr>
            <w:r>
              <w:rPr>
                <w:sz w:val="13"/>
              </w:rPr>
              <w:t>Repeatable implementation, positive unit economics on deployments, pipeline.</w:t>
            </w:r>
          </w:p>
        </w:tc>
      </w:tr>
      <w:tr>
        <w:tc>
          <w:tcPr>
            <w:tcW w:type="dxa" w:w="2160"/>
            <w:tcMar>
              <w:top w:w="50" w:type="dxa"/>
              <w:start w:w="55" w:type="dxa"/>
              <w:bottom w:w="50" w:type="dxa"/>
              <w:end w:w="55" w:type="dxa"/>
            </w:tcMar>
            <w:vAlign w:val="top"/>
          </w:tcPr>
          <w:p>
            <w:pPr>
              <w:spacing w:after="0"/>
            </w:pPr>
            <w:r>
              <w:rPr>
                <w:sz w:val="13"/>
              </w:rPr>
              <w:t>Network/AI expansion</w:t>
            </w:r>
          </w:p>
        </w:tc>
        <w:tc>
          <w:tcPr>
            <w:tcW w:type="dxa" w:w="3888"/>
            <w:tcMar>
              <w:top w:w="50" w:type="dxa"/>
              <w:start w:w="55" w:type="dxa"/>
              <w:bottom w:w="50" w:type="dxa"/>
              <w:end w:w="55" w:type="dxa"/>
            </w:tcMar>
            <w:vAlign w:val="top"/>
          </w:tcPr>
          <w:p>
            <w:pPr>
              <w:spacing w:after="0"/>
            </w:pPr>
            <w:r>
              <w:rPr>
                <w:sz w:val="13"/>
              </w:rPr>
              <w:t>Marketplace/network effects, advanced AI/SCADA</w:t>
            </w:r>
          </w:p>
        </w:tc>
        <w:tc>
          <w:tcPr>
            <w:tcW w:type="dxa" w:w="4752"/>
            <w:tcMar>
              <w:top w:w="50" w:type="dxa"/>
              <w:start w:w="55" w:type="dxa"/>
              <w:bottom w:w="50" w:type="dxa"/>
              <w:end w:w="55" w:type="dxa"/>
            </w:tcMar>
            <w:vAlign w:val="top"/>
          </w:tcPr>
          <w:p>
            <w:pPr>
              <w:spacing w:after="0"/>
            </w:pPr>
            <w:r>
              <w:rPr>
                <w:sz w:val="13"/>
              </w:rPr>
              <w:t>Sufficient transaction/data scale, governance and enterprise demand.</w:t>
            </w:r>
          </w:p>
        </w:tc>
      </w:tr>
    </w:tbl>
    <w:p>
      <w:pPr>
        <w:spacing w:after="20"/>
      </w:pPr>
    </w:p>
    <w:p>
      <w:pPr>
        <w:pStyle w:val="Heading1"/>
      </w:pPr>
      <w:r>
        <w:t>63. Detailed 24-Month Product Delivery 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Quarter</w:t>
            </w:r>
          </w:p>
        </w:tc>
        <w:tc>
          <w:tcPr>
            <w:tcW w:type="dxa" w:w="5083"/>
            <w:shd w:fill="D9EAF7"/>
            <w:tcMar>
              <w:top w:w="50" w:type="dxa"/>
              <w:start w:w="55" w:type="dxa"/>
              <w:bottom w:w="50" w:type="dxa"/>
              <w:end w:w="55" w:type="dxa"/>
            </w:tcMar>
          </w:tcPr>
          <w:p>
            <w:pPr>
              <w:spacing w:after="0"/>
            </w:pPr>
            <w:r>
              <w:rPr>
                <w:b/>
                <w:sz w:val="14"/>
              </w:rPr>
              <w:t>Primary outcomes</w:t>
            </w:r>
          </w:p>
        </w:tc>
      </w:tr>
      <w:tr>
        <w:tc>
          <w:tcPr>
            <w:tcW w:type="dxa" w:w="1440"/>
            <w:tcMar>
              <w:top w:w="50" w:type="dxa"/>
              <w:start w:w="55" w:type="dxa"/>
              <w:bottom w:w="50" w:type="dxa"/>
              <w:end w:w="55" w:type="dxa"/>
            </w:tcMar>
            <w:vAlign w:val="top"/>
          </w:tcPr>
          <w:p>
            <w:pPr>
              <w:spacing w:after="0"/>
            </w:pPr>
            <w:r>
              <w:rPr>
                <w:sz w:val="14"/>
              </w:rPr>
              <w:t>Q1</w:t>
            </w:r>
          </w:p>
        </w:tc>
        <w:tc>
          <w:tcPr>
            <w:tcW w:type="dxa" w:w="9360"/>
            <w:tcMar>
              <w:top w:w="50" w:type="dxa"/>
              <w:start w:w="55" w:type="dxa"/>
              <w:bottom w:w="50" w:type="dxa"/>
              <w:end w:w="55" w:type="dxa"/>
            </w:tcMar>
            <w:vAlign w:val="top"/>
          </w:tcPr>
          <w:p>
            <w:pPr>
              <w:spacing w:after="0"/>
            </w:pPr>
            <w:r>
              <w:rPr>
                <w:sz w:val="14"/>
              </w:rPr>
              <w:t>Platform/IAM/org/master data; Svelte design system; Go templates; events/workflows; patient/appointment foundations; observability/security.</w:t>
            </w:r>
          </w:p>
        </w:tc>
      </w:tr>
      <w:tr>
        <w:tc>
          <w:tcPr>
            <w:tcW w:type="dxa" w:w="1440"/>
            <w:tcMar>
              <w:top w:w="50" w:type="dxa"/>
              <w:start w:w="55" w:type="dxa"/>
              <w:bottom w:w="50" w:type="dxa"/>
              <w:end w:w="55" w:type="dxa"/>
            </w:tcMar>
            <w:vAlign w:val="top"/>
          </w:tcPr>
          <w:p>
            <w:pPr>
              <w:spacing w:after="0"/>
            </w:pPr>
            <w:r>
              <w:rPr>
                <w:sz w:val="14"/>
              </w:rPr>
              <w:t>Q2</w:t>
            </w:r>
          </w:p>
        </w:tc>
        <w:tc>
          <w:tcPr>
            <w:tcW w:type="dxa" w:w="9360"/>
            <w:tcMar>
              <w:top w:w="50" w:type="dxa"/>
              <w:start w:w="55" w:type="dxa"/>
              <w:bottom w:w="50" w:type="dxa"/>
              <w:end w:w="55" w:type="dxa"/>
            </w:tcMar>
            <w:vAlign w:val="top"/>
          </w:tcPr>
          <w:p>
            <w:pPr>
              <w:spacing w:after="0"/>
            </w:pPr>
            <w:r>
              <w:rPr>
                <w:sz w:val="14"/>
              </w:rPr>
              <w:t>OPD clinical core; orders; billing; pharmacy MVP; basic LIS; patient app; first pilot migration.</w:t>
            </w:r>
          </w:p>
        </w:tc>
      </w:tr>
      <w:tr>
        <w:tc>
          <w:tcPr>
            <w:tcW w:type="dxa" w:w="1440"/>
            <w:tcMar>
              <w:top w:w="50" w:type="dxa"/>
              <w:start w:w="55" w:type="dxa"/>
              <w:bottom w:w="50" w:type="dxa"/>
              <w:end w:w="55" w:type="dxa"/>
            </w:tcMar>
            <w:vAlign w:val="top"/>
          </w:tcPr>
          <w:p>
            <w:pPr>
              <w:spacing w:after="0"/>
            </w:pPr>
            <w:r>
              <w:rPr>
                <w:sz w:val="14"/>
              </w:rPr>
              <w:t>Q3</w:t>
            </w:r>
          </w:p>
        </w:tc>
        <w:tc>
          <w:tcPr>
            <w:tcW w:type="dxa" w:w="9360"/>
            <w:tcMar>
              <w:top w:w="50" w:type="dxa"/>
              <w:start w:w="55" w:type="dxa"/>
              <w:bottom w:w="50" w:type="dxa"/>
              <w:end w:w="55" w:type="dxa"/>
            </w:tcMar>
            <w:vAlign w:val="top"/>
          </w:tcPr>
          <w:p>
            <w:pPr>
              <w:spacing w:after="0"/>
            </w:pPr>
            <w:r>
              <w:rPr>
                <w:sz w:val="14"/>
              </w:rPr>
              <w:t>ADT/bed; nursing/eMAR; diagnostics expansion; inventory/procurement; insurance eligibility/preauth; first specialty packs.</w:t>
            </w:r>
          </w:p>
        </w:tc>
      </w:tr>
      <w:tr>
        <w:tc>
          <w:tcPr>
            <w:tcW w:type="dxa" w:w="1440"/>
            <w:tcMar>
              <w:top w:w="50" w:type="dxa"/>
              <w:start w:w="55" w:type="dxa"/>
              <w:bottom w:w="50" w:type="dxa"/>
              <w:end w:w="55" w:type="dxa"/>
            </w:tcMar>
            <w:vAlign w:val="top"/>
          </w:tcPr>
          <w:p>
            <w:pPr>
              <w:spacing w:after="0"/>
            </w:pPr>
            <w:r>
              <w:rPr>
                <w:sz w:val="14"/>
              </w:rPr>
              <w:t>Q4</w:t>
            </w:r>
          </w:p>
        </w:tc>
        <w:tc>
          <w:tcPr>
            <w:tcW w:type="dxa" w:w="9360"/>
            <w:tcMar>
              <w:top w:w="50" w:type="dxa"/>
              <w:start w:w="55" w:type="dxa"/>
              <w:bottom w:w="50" w:type="dxa"/>
              <w:end w:w="55" w:type="dxa"/>
            </w:tcMar>
            <w:vAlign w:val="top"/>
          </w:tcPr>
          <w:p>
            <w:pPr>
              <w:spacing w:after="0"/>
            </w:pPr>
            <w:r>
              <w:rPr>
                <w:sz w:val="14"/>
              </w:rPr>
              <w:t>ER/OT/anesthesia; ICU; full LIS; RIS/PACS integration; HR/attendance; claims/NHCX adapter; home collection.</w:t>
            </w:r>
          </w:p>
        </w:tc>
      </w:tr>
      <w:tr>
        <w:tc>
          <w:tcPr>
            <w:tcW w:type="dxa" w:w="1440"/>
            <w:tcMar>
              <w:top w:w="50" w:type="dxa"/>
              <w:start w:w="55" w:type="dxa"/>
              <w:bottom w:w="50" w:type="dxa"/>
              <w:end w:w="55" w:type="dxa"/>
            </w:tcMar>
            <w:vAlign w:val="top"/>
          </w:tcPr>
          <w:p>
            <w:pPr>
              <w:spacing w:after="0"/>
            </w:pPr>
            <w:r>
              <w:rPr>
                <w:sz w:val="14"/>
              </w:rPr>
              <w:t>Q5</w:t>
            </w:r>
          </w:p>
        </w:tc>
        <w:tc>
          <w:tcPr>
            <w:tcW w:type="dxa" w:w="9360"/>
            <w:tcMar>
              <w:top w:w="50" w:type="dxa"/>
              <w:start w:w="55" w:type="dxa"/>
              <w:bottom w:w="50" w:type="dxa"/>
              <w:end w:w="55" w:type="dxa"/>
            </w:tcMar>
            <w:vAlign w:val="top"/>
          </w:tcPr>
          <w:p>
            <w:pPr>
              <w:spacing w:after="0"/>
            </w:pPr>
            <w:r>
              <w:rPr>
                <w:sz w:val="14"/>
              </w:rPr>
              <w:t>Pharma B2B order platform; OCR/exception workbench; warehouse; schemes/credit/returns; home pharmacy delivery; quality/CSSD/blood.</w:t>
            </w:r>
          </w:p>
        </w:tc>
      </w:tr>
      <w:tr>
        <w:tc>
          <w:tcPr>
            <w:tcW w:type="dxa" w:w="1440"/>
            <w:tcMar>
              <w:top w:w="50" w:type="dxa"/>
              <w:start w:w="55" w:type="dxa"/>
              <w:bottom w:w="50" w:type="dxa"/>
              <w:end w:w="55" w:type="dxa"/>
            </w:tcMar>
            <w:vAlign w:val="top"/>
          </w:tcPr>
          <w:p>
            <w:pPr>
              <w:spacing w:after="0"/>
            </w:pPr>
            <w:r>
              <w:rPr>
                <w:sz w:val="14"/>
              </w:rPr>
              <w:t>Q6</w:t>
            </w:r>
          </w:p>
        </w:tc>
        <w:tc>
          <w:tcPr>
            <w:tcW w:type="dxa" w:w="9360"/>
            <w:tcMar>
              <w:top w:w="50" w:type="dxa"/>
              <w:start w:w="55" w:type="dxa"/>
              <w:bottom w:w="50" w:type="dxa"/>
              <w:end w:w="55" w:type="dxa"/>
            </w:tcMar>
            <w:vAlign w:val="top"/>
          </w:tcPr>
          <w:p>
            <w:pPr>
              <w:spacing w:after="0"/>
            </w:pPr>
            <w:r>
              <w:rPr>
                <w:sz w:val="14"/>
              </w:rPr>
              <w:t>Oncology/cardiology/nephrology/dialysis/pediatrics/NICU specialty depth; RCM/denials; home care/RPM; command center foundation.</w:t>
            </w:r>
          </w:p>
        </w:tc>
      </w:tr>
      <w:tr>
        <w:tc>
          <w:tcPr>
            <w:tcW w:type="dxa" w:w="1440"/>
            <w:tcMar>
              <w:top w:w="50" w:type="dxa"/>
              <w:start w:w="55" w:type="dxa"/>
              <w:bottom w:w="50" w:type="dxa"/>
              <w:end w:w="55" w:type="dxa"/>
            </w:tcMar>
            <w:vAlign w:val="top"/>
          </w:tcPr>
          <w:p>
            <w:pPr>
              <w:spacing w:after="0"/>
            </w:pPr>
            <w:r>
              <w:rPr>
                <w:sz w:val="14"/>
              </w:rPr>
              <w:t>Q7</w:t>
            </w:r>
          </w:p>
        </w:tc>
        <w:tc>
          <w:tcPr>
            <w:tcW w:type="dxa" w:w="9360"/>
            <w:tcMar>
              <w:top w:w="50" w:type="dxa"/>
              <w:start w:w="55" w:type="dxa"/>
              <w:bottom w:w="50" w:type="dxa"/>
              <w:end w:w="55" w:type="dxa"/>
            </w:tcMar>
            <w:vAlign w:val="top"/>
          </w:tcPr>
          <w:p>
            <w:pPr>
              <w:spacing w:after="0"/>
            </w:pPr>
            <w:r>
              <w:rPr>
                <w:sz w:val="14"/>
              </w:rPr>
              <w:t>SCADA edge/historian/energy/cold-chain; multi-hospital group; teleradiology/pathology; AI platform/coplots controlled pilots.</w:t>
            </w:r>
          </w:p>
        </w:tc>
      </w:tr>
      <w:tr>
        <w:tc>
          <w:tcPr>
            <w:tcW w:type="dxa" w:w="1440"/>
            <w:tcMar>
              <w:top w:w="50" w:type="dxa"/>
              <w:start w:w="55" w:type="dxa"/>
              <w:bottom w:w="50" w:type="dxa"/>
              <w:end w:w="55" w:type="dxa"/>
            </w:tcMar>
            <w:vAlign w:val="top"/>
          </w:tcPr>
          <w:p>
            <w:pPr>
              <w:spacing w:after="0"/>
            </w:pPr>
            <w:r>
              <w:rPr>
                <w:sz w:val="14"/>
              </w:rPr>
              <w:t>Q8</w:t>
            </w:r>
          </w:p>
        </w:tc>
        <w:tc>
          <w:tcPr>
            <w:tcW w:type="dxa" w:w="9360"/>
            <w:tcMar>
              <w:top w:w="50" w:type="dxa"/>
              <w:start w:w="55" w:type="dxa"/>
              <w:bottom w:w="50" w:type="dxa"/>
              <w:end w:w="55" w:type="dxa"/>
            </w:tcMar>
            <w:vAlign w:val="top"/>
          </w:tcPr>
          <w:p>
            <w:pPr>
              <w:spacing w:after="0"/>
            </w:pPr>
            <w:r>
              <w:rPr>
                <w:sz w:val="14"/>
              </w:rPr>
              <w:t>Broader specialty library; optimization/forecasting; network marketplace scale; enterprise performance/DR/security hardening; internationalization framework.</w:t>
            </w:r>
          </w:p>
        </w:tc>
      </w:tr>
    </w:tbl>
    <w:p>
      <w:pPr>
        <w:spacing w:after="20"/>
      </w:pPr>
    </w:p>
    <w:p>
      <w:pPr>
        <w:pStyle w:val="Heading1"/>
      </w:pPr>
      <w:r>
        <w:t>64. Expanded KPI and Value Realization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Value domain</w:t>
            </w:r>
          </w:p>
        </w:tc>
        <w:tc>
          <w:tcPr>
            <w:tcW w:type="dxa" w:w="5083"/>
            <w:shd w:fill="D9EAF7"/>
            <w:tcMar>
              <w:top w:w="50" w:type="dxa"/>
              <w:start w:w="55" w:type="dxa"/>
              <w:bottom w:w="50" w:type="dxa"/>
              <w:end w:w="55" w:type="dxa"/>
            </w:tcMar>
          </w:tcPr>
          <w:p>
            <w:pPr>
              <w:spacing w:after="0"/>
            </w:pPr>
            <w:r>
              <w:rPr>
                <w:b/>
                <w:sz w:val="14"/>
              </w:rPr>
              <w:t>Metrics</w:t>
            </w:r>
          </w:p>
        </w:tc>
      </w:tr>
      <w:tr>
        <w:tc>
          <w:tcPr>
            <w:tcW w:type="dxa" w:w="2160"/>
            <w:tcMar>
              <w:top w:w="50" w:type="dxa"/>
              <w:start w:w="55" w:type="dxa"/>
              <w:bottom w:w="50" w:type="dxa"/>
              <w:end w:w="55" w:type="dxa"/>
            </w:tcMar>
            <w:vAlign w:val="top"/>
          </w:tcPr>
          <w:p>
            <w:pPr>
              <w:spacing w:after="0"/>
            </w:pPr>
            <w:r>
              <w:rPr>
                <w:sz w:val="14"/>
              </w:rPr>
              <w:t>Patient access</w:t>
            </w:r>
          </w:p>
        </w:tc>
        <w:tc>
          <w:tcPr>
            <w:tcW w:type="dxa" w:w="8640"/>
            <w:tcMar>
              <w:top w:w="50" w:type="dxa"/>
              <w:start w:w="55" w:type="dxa"/>
              <w:bottom w:w="50" w:type="dxa"/>
              <w:end w:w="55" w:type="dxa"/>
            </w:tcMar>
            <w:vAlign w:val="top"/>
          </w:tcPr>
          <w:p>
            <w:pPr>
              <w:spacing w:after="0"/>
            </w:pPr>
            <w:r>
              <w:rPr>
                <w:sz w:val="14"/>
              </w:rPr>
              <w:t>Digital booking %, no-show %, wait time, queue prediction error, registration TAT, digital check-in adoption.</w:t>
            </w:r>
          </w:p>
        </w:tc>
      </w:tr>
      <w:tr>
        <w:tc>
          <w:tcPr>
            <w:tcW w:type="dxa" w:w="2160"/>
            <w:tcMar>
              <w:top w:w="50" w:type="dxa"/>
              <w:start w:w="55" w:type="dxa"/>
              <w:bottom w:w="50" w:type="dxa"/>
              <w:end w:w="55" w:type="dxa"/>
            </w:tcMar>
            <w:vAlign w:val="top"/>
          </w:tcPr>
          <w:p>
            <w:pPr>
              <w:spacing w:after="0"/>
            </w:pPr>
            <w:r>
              <w:rPr>
                <w:sz w:val="14"/>
              </w:rPr>
              <w:t>Clinical</w:t>
            </w:r>
          </w:p>
        </w:tc>
        <w:tc>
          <w:tcPr>
            <w:tcW w:type="dxa" w:w="8640"/>
            <w:tcMar>
              <w:top w:w="50" w:type="dxa"/>
              <w:start w:w="55" w:type="dxa"/>
              <w:bottom w:w="50" w:type="dxa"/>
              <w:end w:w="55" w:type="dxa"/>
            </w:tcMar>
            <w:vAlign w:val="top"/>
          </w:tcPr>
          <w:p>
            <w:pPr>
              <w:spacing w:after="0"/>
            </w:pPr>
            <w:r>
              <w:rPr>
                <w:sz w:val="14"/>
              </w:rPr>
              <w:t>Medication reconciliation %, critical result acknowledgment, sepsis pathway time, readmission/outcomes, documentation completion, specialty registry completeness.</w:t>
            </w:r>
          </w:p>
        </w:tc>
      </w:tr>
      <w:tr>
        <w:tc>
          <w:tcPr>
            <w:tcW w:type="dxa" w:w="2160"/>
            <w:tcMar>
              <w:top w:w="50" w:type="dxa"/>
              <w:start w:w="55" w:type="dxa"/>
              <w:bottom w:w="50" w:type="dxa"/>
              <w:end w:w="55" w:type="dxa"/>
            </w:tcMar>
            <w:vAlign w:val="top"/>
          </w:tcPr>
          <w:p>
            <w:pPr>
              <w:spacing w:after="0"/>
            </w:pPr>
            <w:r>
              <w:rPr>
                <w:sz w:val="14"/>
              </w:rPr>
              <w:t>Nursing</w:t>
            </w:r>
          </w:p>
        </w:tc>
        <w:tc>
          <w:tcPr>
            <w:tcW w:type="dxa" w:w="8640"/>
            <w:tcMar>
              <w:top w:w="50" w:type="dxa"/>
              <w:start w:w="55" w:type="dxa"/>
              <w:bottom w:w="50" w:type="dxa"/>
              <w:end w:w="55" w:type="dxa"/>
            </w:tcMar>
            <w:vAlign w:val="top"/>
          </w:tcPr>
          <w:p>
            <w:pPr>
              <w:spacing w:after="0"/>
            </w:pPr>
            <w:r>
              <w:rPr>
                <w:sz w:val="14"/>
              </w:rPr>
              <w:t>Medication on-time %, overdue observations/tasks, falls, pressure injury, handover completeness, workload/acuity variance.</w:t>
            </w:r>
          </w:p>
        </w:tc>
      </w:tr>
      <w:tr>
        <w:tc>
          <w:tcPr>
            <w:tcW w:type="dxa" w:w="2160"/>
            <w:tcMar>
              <w:top w:w="50" w:type="dxa"/>
              <w:start w:w="55" w:type="dxa"/>
              <w:bottom w:w="50" w:type="dxa"/>
              <w:end w:w="55" w:type="dxa"/>
            </w:tcMar>
            <w:vAlign w:val="top"/>
          </w:tcPr>
          <w:p>
            <w:pPr>
              <w:spacing w:after="0"/>
            </w:pPr>
            <w:r>
              <w:rPr>
                <w:sz w:val="14"/>
              </w:rPr>
              <w:t>OT/ICU</w:t>
            </w:r>
          </w:p>
        </w:tc>
        <w:tc>
          <w:tcPr>
            <w:tcW w:type="dxa" w:w="8640"/>
            <w:tcMar>
              <w:top w:w="50" w:type="dxa"/>
              <w:start w:w="55" w:type="dxa"/>
              <w:bottom w:w="50" w:type="dxa"/>
              <w:end w:w="55" w:type="dxa"/>
            </w:tcMar>
            <w:vAlign w:val="top"/>
          </w:tcPr>
          <w:p>
            <w:pPr>
              <w:spacing w:after="0"/>
            </w:pPr>
            <w:r>
              <w:rPr>
                <w:sz w:val="14"/>
              </w:rPr>
              <w:t>On-time start, turnover, cancellation, ICU LOS, ventilator/device days, bed utilization, discharge readiness.</w:t>
            </w:r>
          </w:p>
        </w:tc>
      </w:tr>
      <w:tr>
        <w:tc>
          <w:tcPr>
            <w:tcW w:type="dxa" w:w="2160"/>
            <w:tcMar>
              <w:top w:w="50" w:type="dxa"/>
              <w:start w:w="55" w:type="dxa"/>
              <w:bottom w:w="50" w:type="dxa"/>
              <w:end w:w="55" w:type="dxa"/>
            </w:tcMar>
            <w:vAlign w:val="top"/>
          </w:tcPr>
          <w:p>
            <w:pPr>
              <w:spacing w:after="0"/>
            </w:pPr>
            <w:r>
              <w:rPr>
                <w:sz w:val="14"/>
              </w:rPr>
              <w:t>Pharma</w:t>
            </w:r>
          </w:p>
        </w:tc>
        <w:tc>
          <w:tcPr>
            <w:tcW w:type="dxa" w:w="8640"/>
            <w:tcMar>
              <w:top w:w="50" w:type="dxa"/>
              <w:start w:w="55" w:type="dxa"/>
              <w:bottom w:w="50" w:type="dxa"/>
              <w:end w:w="55" w:type="dxa"/>
            </w:tcMar>
            <w:vAlign w:val="top"/>
          </w:tcPr>
          <w:p>
            <w:pPr>
              <w:spacing w:after="0"/>
            </w:pPr>
            <w:r>
              <w:rPr>
                <w:sz w:val="14"/>
              </w:rPr>
              <w:t>Straight-through order %, extraction accuracy, exception rate, order-to-confirm time, fill rate, OTIF, expiry, DSO.</w:t>
            </w:r>
          </w:p>
        </w:tc>
      </w:tr>
      <w:tr>
        <w:tc>
          <w:tcPr>
            <w:tcW w:type="dxa" w:w="2160"/>
            <w:tcMar>
              <w:top w:w="50" w:type="dxa"/>
              <w:start w:w="55" w:type="dxa"/>
              <w:bottom w:w="50" w:type="dxa"/>
              <w:end w:w="55" w:type="dxa"/>
            </w:tcMar>
            <w:vAlign w:val="top"/>
          </w:tcPr>
          <w:p>
            <w:pPr>
              <w:spacing w:after="0"/>
            </w:pPr>
            <w:r>
              <w:rPr>
                <w:sz w:val="14"/>
              </w:rPr>
              <w:t>Diagnostics</w:t>
            </w:r>
          </w:p>
        </w:tc>
        <w:tc>
          <w:tcPr>
            <w:tcW w:type="dxa" w:w="8640"/>
            <w:tcMar>
              <w:top w:w="50" w:type="dxa"/>
              <w:start w:w="55" w:type="dxa"/>
              <w:bottom w:w="50" w:type="dxa"/>
              <w:end w:w="55" w:type="dxa"/>
            </w:tcMar>
            <w:vAlign w:val="top"/>
          </w:tcPr>
          <w:p>
            <w:pPr>
              <w:spacing w:after="0"/>
            </w:pPr>
            <w:r>
              <w:rPr>
                <w:sz w:val="14"/>
              </w:rPr>
              <w:t>Booking-to-collection, sample rejection, TAT percentile, critical acknowledgment, referral %, home collection productivity.</w:t>
            </w:r>
          </w:p>
        </w:tc>
      </w:tr>
      <w:tr>
        <w:tc>
          <w:tcPr>
            <w:tcW w:type="dxa" w:w="2160"/>
            <w:tcMar>
              <w:top w:w="50" w:type="dxa"/>
              <w:start w:w="55" w:type="dxa"/>
              <w:bottom w:w="50" w:type="dxa"/>
              <w:end w:w="55" w:type="dxa"/>
            </w:tcMar>
            <w:vAlign w:val="top"/>
          </w:tcPr>
          <w:p>
            <w:pPr>
              <w:spacing w:after="0"/>
            </w:pPr>
            <w:r>
              <w:rPr>
                <w:sz w:val="14"/>
              </w:rPr>
              <w:t>Insurance</w:t>
            </w:r>
          </w:p>
        </w:tc>
        <w:tc>
          <w:tcPr>
            <w:tcW w:type="dxa" w:w="8640"/>
            <w:tcMar>
              <w:top w:w="50" w:type="dxa"/>
              <w:start w:w="55" w:type="dxa"/>
              <w:bottom w:w="50" w:type="dxa"/>
              <w:end w:w="55" w:type="dxa"/>
            </w:tcMar>
            <w:vAlign w:val="top"/>
          </w:tcPr>
          <w:p>
            <w:pPr>
              <w:spacing w:after="0"/>
            </w:pPr>
            <w:r>
              <w:rPr>
                <w:sz w:val="14"/>
              </w:rPr>
              <w:t>Eligibility success, preauth TAT, clean claim %, query %, denial %, appeal recovery, AR days, settlement variance.</w:t>
            </w:r>
          </w:p>
        </w:tc>
      </w:tr>
      <w:tr>
        <w:tc>
          <w:tcPr>
            <w:tcW w:type="dxa" w:w="2160"/>
            <w:tcMar>
              <w:top w:w="50" w:type="dxa"/>
              <w:start w:w="55" w:type="dxa"/>
              <w:bottom w:w="50" w:type="dxa"/>
              <w:end w:w="55" w:type="dxa"/>
            </w:tcMar>
            <w:vAlign w:val="top"/>
          </w:tcPr>
          <w:p>
            <w:pPr>
              <w:spacing w:after="0"/>
            </w:pPr>
            <w:r>
              <w:rPr>
                <w:sz w:val="14"/>
              </w:rPr>
              <w:t>Facility</w:t>
            </w:r>
          </w:p>
        </w:tc>
        <w:tc>
          <w:tcPr>
            <w:tcW w:type="dxa" w:w="8640"/>
            <w:tcMar>
              <w:top w:w="50" w:type="dxa"/>
              <w:start w:w="55" w:type="dxa"/>
              <w:bottom w:w="50" w:type="dxa"/>
              <w:end w:w="55" w:type="dxa"/>
            </w:tcMar>
            <w:vAlign w:val="top"/>
          </w:tcPr>
          <w:p>
            <w:pPr>
              <w:spacing w:after="0"/>
            </w:pPr>
            <w:r>
              <w:rPr>
                <w:sz w:val="14"/>
              </w:rPr>
              <w:t>Critical alarm response, equipment availability, PM compliance, energy/bed, water/bed, temperature excursion.</w:t>
            </w:r>
          </w:p>
        </w:tc>
      </w:tr>
      <w:tr>
        <w:tc>
          <w:tcPr>
            <w:tcW w:type="dxa" w:w="2160"/>
            <w:tcMar>
              <w:top w:w="50" w:type="dxa"/>
              <w:start w:w="55" w:type="dxa"/>
              <w:bottom w:w="50" w:type="dxa"/>
              <w:end w:w="55" w:type="dxa"/>
            </w:tcMar>
            <w:vAlign w:val="top"/>
          </w:tcPr>
          <w:p>
            <w:pPr>
              <w:spacing w:after="0"/>
            </w:pPr>
            <w:r>
              <w:rPr>
                <w:sz w:val="14"/>
              </w:rPr>
              <w:t>Digital/SaaS</w:t>
            </w:r>
          </w:p>
        </w:tc>
        <w:tc>
          <w:tcPr>
            <w:tcW w:type="dxa" w:w="8640"/>
            <w:tcMar>
              <w:top w:w="50" w:type="dxa"/>
              <w:start w:w="55" w:type="dxa"/>
              <w:bottom w:w="50" w:type="dxa"/>
              <w:end w:w="55" w:type="dxa"/>
            </w:tcMar>
            <w:vAlign w:val="top"/>
          </w:tcPr>
          <w:p>
            <w:pPr>
              <w:spacing w:after="0"/>
            </w:pPr>
            <w:r>
              <w:rPr>
                <w:sz w:val="14"/>
              </w:rPr>
              <w:t>DAU/MAU by role, task completion, API SLO, integration success, crash-free sessions, support tickets/100 users.</w:t>
            </w:r>
          </w:p>
        </w:tc>
      </w:tr>
      <w:tr>
        <w:tc>
          <w:tcPr>
            <w:tcW w:type="dxa" w:w="2160"/>
            <w:tcMar>
              <w:top w:w="50" w:type="dxa"/>
              <w:start w:w="55" w:type="dxa"/>
              <w:bottom w:w="50" w:type="dxa"/>
              <w:end w:w="55" w:type="dxa"/>
            </w:tcMar>
            <w:vAlign w:val="top"/>
          </w:tcPr>
          <w:p>
            <w:pPr>
              <w:spacing w:after="0"/>
            </w:pPr>
            <w:r>
              <w:rPr>
                <w:sz w:val="14"/>
              </w:rPr>
              <w:t>Financial value</w:t>
            </w:r>
          </w:p>
        </w:tc>
        <w:tc>
          <w:tcPr>
            <w:tcW w:type="dxa" w:w="8640"/>
            <w:tcMar>
              <w:top w:w="50" w:type="dxa"/>
              <w:start w:w="55" w:type="dxa"/>
              <w:bottom w:w="50" w:type="dxa"/>
              <w:end w:w="55" w:type="dxa"/>
            </w:tcMar>
            <w:vAlign w:val="top"/>
          </w:tcPr>
          <w:p>
            <w:pPr>
              <w:spacing w:after="0"/>
            </w:pPr>
            <w:r>
              <w:rPr>
                <w:sz w:val="14"/>
              </w:rPr>
              <w:t>Revenue leakage recovered, inventory carrying cost, expiry write-off, manpower overtime, claim recovery and implementation ROI.</w:t>
            </w:r>
          </w:p>
        </w:tc>
      </w:tr>
    </w:tbl>
    <w:p>
      <w:pPr>
        <w:spacing w:after="20"/>
      </w:pPr>
    </w:p>
    <w:p>
      <w:pPr>
        <w:pStyle w:val="Heading1"/>
      </w:pPr>
      <w:r>
        <w:t>65. DPR-to-SRS Traceability Framework</w:t>
      </w:r>
    </w:p>
    <w:p>
      <w:r>
        <w:t>This DPR is now the master scope baseline. The SRS shall not redefine the product independently; it shall trace every detailed requirement back to a DPR capability/domain and may add implementation detail without silently dropping scope.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Trace field</w:t>
            </w:r>
          </w:p>
        </w:tc>
        <w:tc>
          <w:tcPr>
            <w:tcW w:type="dxa" w:w="5083"/>
            <w:shd w:fill="D9EAF7"/>
            <w:tcMar>
              <w:top w:w="50" w:type="dxa"/>
              <w:start w:w="55" w:type="dxa"/>
              <w:bottom w:w="50" w:type="dxa"/>
              <w:end w:w="55" w:type="dxa"/>
            </w:tcMar>
          </w:tcPr>
          <w:p>
            <w:pPr>
              <w:spacing w:after="0"/>
            </w:pPr>
            <w:r>
              <w:rPr>
                <w:b/>
                <w:sz w:val="14"/>
              </w:rPr>
              <w:t>SRS expectation</w:t>
            </w:r>
          </w:p>
        </w:tc>
      </w:tr>
      <w:tr>
        <w:tc>
          <w:tcPr>
            <w:tcW w:type="dxa" w:w="2880"/>
            <w:tcMar>
              <w:top w:w="50" w:type="dxa"/>
              <w:start w:w="55" w:type="dxa"/>
              <w:bottom w:w="50" w:type="dxa"/>
              <w:end w:w="55" w:type="dxa"/>
            </w:tcMar>
            <w:vAlign w:val="top"/>
          </w:tcPr>
          <w:p>
            <w:pPr>
              <w:spacing w:after="0"/>
            </w:pPr>
            <w:r>
              <w:rPr>
                <w:sz w:val="14"/>
              </w:rPr>
              <w:t>DPR Capability ID</w:t>
            </w:r>
          </w:p>
        </w:tc>
        <w:tc>
          <w:tcPr>
            <w:tcW w:type="dxa" w:w="7920"/>
            <w:tcMar>
              <w:top w:w="50" w:type="dxa"/>
              <w:start w:w="55" w:type="dxa"/>
              <w:bottom w:w="50" w:type="dxa"/>
              <w:end w:w="55" w:type="dxa"/>
            </w:tcMar>
            <w:vAlign w:val="top"/>
          </w:tcPr>
          <w:p>
            <w:pPr>
              <w:spacing w:after="0"/>
            </w:pPr>
            <w:r>
              <w:rPr>
                <w:sz w:val="14"/>
              </w:rPr>
              <w:t>Stable high-level requirement identifier maintained in this DPR.</w:t>
            </w:r>
          </w:p>
        </w:tc>
      </w:tr>
      <w:tr>
        <w:tc>
          <w:tcPr>
            <w:tcW w:type="dxa" w:w="2880"/>
            <w:tcMar>
              <w:top w:w="50" w:type="dxa"/>
              <w:start w:w="55" w:type="dxa"/>
              <w:bottom w:w="50" w:type="dxa"/>
              <w:end w:w="55" w:type="dxa"/>
            </w:tcMar>
            <w:vAlign w:val="top"/>
          </w:tcPr>
          <w:p>
            <w:pPr>
              <w:spacing w:after="0"/>
            </w:pPr>
            <w:r>
              <w:rPr>
                <w:sz w:val="14"/>
              </w:rPr>
              <w:t>SRS Requirement ID</w:t>
            </w:r>
          </w:p>
        </w:tc>
        <w:tc>
          <w:tcPr>
            <w:tcW w:type="dxa" w:w="7920"/>
            <w:tcMar>
              <w:top w:w="50" w:type="dxa"/>
              <w:start w:w="55" w:type="dxa"/>
              <w:bottom w:w="50" w:type="dxa"/>
              <w:end w:w="55" w:type="dxa"/>
            </w:tcMar>
            <w:vAlign w:val="top"/>
          </w:tcPr>
          <w:p>
            <w:pPr>
              <w:spacing w:after="0"/>
            </w:pPr>
            <w:r>
              <w:rPr>
                <w:sz w:val="14"/>
              </w:rPr>
              <w:t>One or more atomic, testable requirements decomposed from each DPR capability.</w:t>
            </w:r>
          </w:p>
        </w:tc>
      </w:tr>
      <w:tr>
        <w:tc>
          <w:tcPr>
            <w:tcW w:type="dxa" w:w="2880"/>
            <w:tcMar>
              <w:top w:w="50" w:type="dxa"/>
              <w:start w:w="55" w:type="dxa"/>
              <w:bottom w:w="50" w:type="dxa"/>
              <w:end w:w="55" w:type="dxa"/>
            </w:tcMar>
            <w:vAlign w:val="top"/>
          </w:tcPr>
          <w:p>
            <w:pPr>
              <w:spacing w:after="0"/>
            </w:pPr>
            <w:r>
              <w:rPr>
                <w:sz w:val="14"/>
              </w:rPr>
              <w:t>Actor/Role</w:t>
            </w:r>
          </w:p>
        </w:tc>
        <w:tc>
          <w:tcPr>
            <w:tcW w:type="dxa" w:w="7920"/>
            <w:tcMar>
              <w:top w:w="50" w:type="dxa"/>
              <w:start w:w="55" w:type="dxa"/>
              <w:bottom w:w="50" w:type="dxa"/>
              <w:end w:w="55" w:type="dxa"/>
            </w:tcMar>
            <w:vAlign w:val="top"/>
          </w:tcPr>
          <w:p>
            <w:pPr>
              <w:spacing w:after="0"/>
            </w:pPr>
            <w:r>
              <w:rPr>
                <w:sz w:val="14"/>
              </w:rPr>
              <w:t>Who initiates, approves, views or receives the outcome.</w:t>
            </w:r>
          </w:p>
        </w:tc>
      </w:tr>
      <w:tr>
        <w:tc>
          <w:tcPr>
            <w:tcW w:type="dxa" w:w="2880"/>
            <w:tcMar>
              <w:top w:w="50" w:type="dxa"/>
              <w:start w:w="55" w:type="dxa"/>
              <w:bottom w:w="50" w:type="dxa"/>
              <w:end w:w="55" w:type="dxa"/>
            </w:tcMar>
            <w:vAlign w:val="top"/>
          </w:tcPr>
          <w:p>
            <w:pPr>
              <w:spacing w:after="0"/>
            </w:pPr>
            <w:r>
              <w:rPr>
                <w:sz w:val="14"/>
              </w:rPr>
              <w:t>Preconditions/Postconditions</w:t>
            </w:r>
          </w:p>
        </w:tc>
        <w:tc>
          <w:tcPr>
            <w:tcW w:type="dxa" w:w="7920"/>
            <w:tcMar>
              <w:top w:w="50" w:type="dxa"/>
              <w:start w:w="55" w:type="dxa"/>
              <w:bottom w:w="50" w:type="dxa"/>
              <w:end w:w="55" w:type="dxa"/>
            </w:tcMar>
            <w:vAlign w:val="top"/>
          </w:tcPr>
          <w:p>
            <w:pPr>
              <w:spacing w:after="0"/>
            </w:pPr>
            <w:r>
              <w:rPr>
                <w:sz w:val="14"/>
              </w:rPr>
              <w:t>Required starting state and guaranteed resulting state.</w:t>
            </w:r>
          </w:p>
        </w:tc>
      </w:tr>
      <w:tr>
        <w:tc>
          <w:tcPr>
            <w:tcW w:type="dxa" w:w="2880"/>
            <w:tcMar>
              <w:top w:w="50" w:type="dxa"/>
              <w:start w:w="55" w:type="dxa"/>
              <w:bottom w:w="50" w:type="dxa"/>
              <w:end w:w="55" w:type="dxa"/>
            </w:tcMar>
            <w:vAlign w:val="top"/>
          </w:tcPr>
          <w:p>
            <w:pPr>
              <w:spacing w:after="0"/>
            </w:pPr>
            <w:r>
              <w:rPr>
                <w:sz w:val="14"/>
              </w:rPr>
              <w:t>UI specification</w:t>
            </w:r>
          </w:p>
        </w:tc>
        <w:tc>
          <w:tcPr>
            <w:tcW w:type="dxa" w:w="7920"/>
            <w:tcMar>
              <w:top w:w="50" w:type="dxa"/>
              <w:start w:w="55" w:type="dxa"/>
              <w:bottom w:w="50" w:type="dxa"/>
              <w:end w:w="55" w:type="dxa"/>
            </w:tcMar>
            <w:vAlign w:val="top"/>
          </w:tcPr>
          <w:p>
            <w:pPr>
              <w:spacing w:after="0"/>
            </w:pPr>
            <w:r>
              <w:rPr>
                <w:sz w:val="14"/>
              </w:rPr>
              <w:t>Svelte/Flutter route, screen, component, field, state, validation and accessibility.</w:t>
            </w:r>
          </w:p>
        </w:tc>
      </w:tr>
      <w:tr>
        <w:tc>
          <w:tcPr>
            <w:tcW w:type="dxa" w:w="2880"/>
            <w:tcMar>
              <w:top w:w="50" w:type="dxa"/>
              <w:start w:w="55" w:type="dxa"/>
              <w:bottom w:w="50" w:type="dxa"/>
              <w:end w:w="55" w:type="dxa"/>
            </w:tcMar>
            <w:vAlign w:val="top"/>
          </w:tcPr>
          <w:p>
            <w:pPr>
              <w:spacing w:after="0"/>
            </w:pPr>
            <w:r>
              <w:rPr>
                <w:sz w:val="14"/>
              </w:rPr>
              <w:t>RPC/API</w:t>
            </w:r>
          </w:p>
        </w:tc>
        <w:tc>
          <w:tcPr>
            <w:tcW w:type="dxa" w:w="7920"/>
            <w:tcMar>
              <w:top w:w="50" w:type="dxa"/>
              <w:start w:w="55" w:type="dxa"/>
              <w:bottom w:w="50" w:type="dxa"/>
              <w:end w:w="55" w:type="dxa"/>
            </w:tcMar>
            <w:vAlign w:val="top"/>
          </w:tcPr>
          <w:p>
            <w:pPr>
              <w:spacing w:after="0"/>
            </w:pPr>
            <w:r>
              <w:rPr>
                <w:sz w:val="14"/>
              </w:rPr>
              <w:t>Protobuf service/method, request/response, error codes, idempotency and authorization.</w:t>
            </w:r>
          </w:p>
        </w:tc>
      </w:tr>
      <w:tr>
        <w:tc>
          <w:tcPr>
            <w:tcW w:type="dxa" w:w="2880"/>
            <w:tcMar>
              <w:top w:w="50" w:type="dxa"/>
              <w:start w:w="55" w:type="dxa"/>
              <w:bottom w:w="50" w:type="dxa"/>
              <w:end w:w="55" w:type="dxa"/>
            </w:tcMar>
            <w:vAlign w:val="top"/>
          </w:tcPr>
          <w:p>
            <w:pPr>
              <w:spacing w:after="0"/>
            </w:pPr>
            <w:r>
              <w:rPr>
                <w:sz w:val="14"/>
              </w:rPr>
              <w:t>Domain/state machine</w:t>
            </w:r>
          </w:p>
        </w:tc>
        <w:tc>
          <w:tcPr>
            <w:tcW w:type="dxa" w:w="7920"/>
            <w:tcMar>
              <w:top w:w="50" w:type="dxa"/>
              <w:start w:w="55" w:type="dxa"/>
              <w:bottom w:w="50" w:type="dxa"/>
              <w:end w:w="55" w:type="dxa"/>
            </w:tcMar>
            <w:vAlign w:val="top"/>
          </w:tcPr>
          <w:p>
            <w:pPr>
              <w:spacing w:after="0"/>
            </w:pPr>
            <w:r>
              <w:rPr>
                <w:sz w:val="14"/>
              </w:rPr>
              <w:t>Allowed transitions, invariants, timers, escalation and compensations.</w:t>
            </w:r>
          </w:p>
        </w:tc>
      </w:tr>
      <w:tr>
        <w:tc>
          <w:tcPr>
            <w:tcW w:type="dxa" w:w="2880"/>
            <w:tcMar>
              <w:top w:w="50" w:type="dxa"/>
              <w:start w:w="55" w:type="dxa"/>
              <w:bottom w:w="50" w:type="dxa"/>
              <w:end w:w="55" w:type="dxa"/>
            </w:tcMar>
            <w:vAlign w:val="top"/>
          </w:tcPr>
          <w:p>
            <w:pPr>
              <w:spacing w:after="0"/>
            </w:pPr>
            <w:r>
              <w:rPr>
                <w:sz w:val="14"/>
              </w:rPr>
              <w:t>Persistence</w:t>
            </w:r>
          </w:p>
        </w:tc>
        <w:tc>
          <w:tcPr>
            <w:tcW w:type="dxa" w:w="7920"/>
            <w:tcMar>
              <w:top w:w="50" w:type="dxa"/>
              <w:start w:w="55" w:type="dxa"/>
              <w:bottom w:w="50" w:type="dxa"/>
              <w:end w:w="55" w:type="dxa"/>
            </w:tcMar>
            <w:vAlign w:val="top"/>
          </w:tcPr>
          <w:p>
            <w:pPr>
              <w:spacing w:after="0"/>
            </w:pPr>
            <w:r>
              <w:rPr>
                <w:sz w:val="14"/>
              </w:rPr>
              <w:t>Owned aggregates/tables, indexes, audit/versioning and retention.</w:t>
            </w:r>
          </w:p>
        </w:tc>
      </w:tr>
      <w:tr>
        <w:tc>
          <w:tcPr>
            <w:tcW w:type="dxa" w:w="2880"/>
            <w:tcMar>
              <w:top w:w="50" w:type="dxa"/>
              <w:start w:w="55" w:type="dxa"/>
              <w:bottom w:w="50" w:type="dxa"/>
              <w:end w:w="55" w:type="dxa"/>
            </w:tcMar>
            <w:vAlign w:val="top"/>
          </w:tcPr>
          <w:p>
            <w:pPr>
              <w:spacing w:after="0"/>
            </w:pPr>
            <w:r>
              <w:rPr>
                <w:sz w:val="14"/>
              </w:rPr>
              <w:t>Events</w:t>
            </w:r>
          </w:p>
        </w:tc>
        <w:tc>
          <w:tcPr>
            <w:tcW w:type="dxa" w:w="7920"/>
            <w:tcMar>
              <w:top w:w="50" w:type="dxa"/>
              <w:start w:w="55" w:type="dxa"/>
              <w:bottom w:w="50" w:type="dxa"/>
              <w:end w:w="55" w:type="dxa"/>
            </w:tcMar>
            <w:vAlign w:val="top"/>
          </w:tcPr>
          <w:p>
            <w:pPr>
              <w:spacing w:after="0"/>
            </w:pPr>
            <w:r>
              <w:rPr>
                <w:sz w:val="14"/>
              </w:rPr>
              <w:t>Domain/integration events emitted/consumed and schema version.</w:t>
            </w:r>
          </w:p>
        </w:tc>
      </w:tr>
      <w:tr>
        <w:tc>
          <w:tcPr>
            <w:tcW w:type="dxa" w:w="2880"/>
            <w:tcMar>
              <w:top w:w="50" w:type="dxa"/>
              <w:start w:w="55" w:type="dxa"/>
              <w:bottom w:w="50" w:type="dxa"/>
              <w:end w:w="55" w:type="dxa"/>
            </w:tcMar>
            <w:vAlign w:val="top"/>
          </w:tcPr>
          <w:p>
            <w:pPr>
              <w:spacing w:after="0"/>
            </w:pPr>
            <w:r>
              <w:rPr>
                <w:sz w:val="14"/>
              </w:rPr>
              <w:t>Security/privacy</w:t>
            </w:r>
          </w:p>
        </w:tc>
        <w:tc>
          <w:tcPr>
            <w:tcW w:type="dxa" w:w="7920"/>
            <w:tcMar>
              <w:top w:w="50" w:type="dxa"/>
              <w:start w:w="55" w:type="dxa"/>
              <w:bottom w:w="50" w:type="dxa"/>
              <w:end w:w="55" w:type="dxa"/>
            </w:tcMar>
            <w:vAlign w:val="top"/>
          </w:tcPr>
          <w:p>
            <w:pPr>
              <w:spacing w:after="0"/>
            </w:pPr>
            <w:r>
              <w:rPr>
                <w:sz w:val="14"/>
              </w:rPr>
              <w:t>Permission, purpose, consent, masking, break-glass and audit.</w:t>
            </w:r>
          </w:p>
        </w:tc>
      </w:tr>
      <w:tr>
        <w:tc>
          <w:tcPr>
            <w:tcW w:type="dxa" w:w="2880"/>
            <w:tcMar>
              <w:top w:w="50" w:type="dxa"/>
              <w:start w:w="55" w:type="dxa"/>
              <w:bottom w:w="50" w:type="dxa"/>
              <w:end w:w="55" w:type="dxa"/>
            </w:tcMar>
            <w:vAlign w:val="top"/>
          </w:tcPr>
          <w:p>
            <w:pPr>
              <w:spacing w:after="0"/>
            </w:pPr>
            <w:r>
              <w:rPr>
                <w:sz w:val="14"/>
              </w:rPr>
              <w:t>Acceptance tests</w:t>
            </w:r>
          </w:p>
        </w:tc>
        <w:tc>
          <w:tcPr>
            <w:tcW w:type="dxa" w:w="7920"/>
            <w:tcMar>
              <w:top w:w="50" w:type="dxa"/>
              <w:start w:w="55" w:type="dxa"/>
              <w:bottom w:w="50" w:type="dxa"/>
              <w:end w:w="55" w:type="dxa"/>
            </w:tcMar>
            <w:vAlign w:val="top"/>
          </w:tcPr>
          <w:p>
            <w:pPr>
              <w:spacing w:after="0"/>
            </w:pPr>
            <w:r>
              <w:rPr>
                <w:sz w:val="14"/>
              </w:rPr>
              <w:t>Positive/negative/boundary/concurrency/failure/safety scenarios.</w:t>
            </w:r>
          </w:p>
        </w:tc>
      </w:tr>
      <w:tr>
        <w:tc>
          <w:tcPr>
            <w:tcW w:type="dxa" w:w="2880"/>
            <w:tcMar>
              <w:top w:w="50" w:type="dxa"/>
              <w:start w:w="55" w:type="dxa"/>
              <w:bottom w:w="50" w:type="dxa"/>
              <w:end w:w="55" w:type="dxa"/>
            </w:tcMar>
            <w:vAlign w:val="top"/>
          </w:tcPr>
          <w:p>
            <w:pPr>
              <w:spacing w:after="0"/>
            </w:pPr>
            <w:r>
              <w:rPr>
                <w:sz w:val="14"/>
              </w:rPr>
              <w:t>Regulatory/standard mapping</w:t>
            </w:r>
          </w:p>
        </w:tc>
        <w:tc>
          <w:tcPr>
            <w:tcW w:type="dxa" w:w="7920"/>
            <w:tcMar>
              <w:top w:w="50" w:type="dxa"/>
              <w:start w:w="55" w:type="dxa"/>
              <w:bottom w:w="50" w:type="dxa"/>
              <w:end w:w="55" w:type="dxa"/>
            </w:tcMar>
            <w:vAlign w:val="top"/>
          </w:tcPr>
          <w:p>
            <w:pPr>
              <w:spacing w:after="0"/>
            </w:pPr>
            <w:r>
              <w:rPr>
                <w:sz w:val="14"/>
              </w:rPr>
              <w:t>Applicable NABH/ABDM/NHCX/DPDP/lab/pharmacy/customer policy references where required.</w:t>
            </w:r>
          </w:p>
        </w:tc>
      </w:tr>
    </w:tbl>
    <w:p>
      <w:pPr>
        <w:spacing w:after="20"/>
      </w:pPr>
    </w:p>
    <w:p>
      <w:pPr>
        <w:pStyle w:val="Heading1"/>
      </w:pPr>
      <w:r>
        <w:t>66. Updated Master Product Positioning</w:t>
      </w:r>
    </w:p>
    <w:p>
      <w:r>
        <w:t>The proposed product is best defined as a Unified Healthcare Operating System and Transaction Network. It combines a Hospital Operating System, Specialty Clinical Platform, Patient Health Platform, Pharmaceutical Commerce Network, Diagnostic Network, Insurance/Revenue Cycle Platform and Smart-Hospital/SCADA Command Center on one identity, workflow, interoperability, data and intelligence foundation.</w:t>
      </w:r>
    </w:p>
    <w:p>
      <w:r>
        <w:t>The architecture deliberately separates clinical authority, deterministic commercial transactions, AI assistance and OT safety. This allows the platform to become broad without becoming unsafe or technically ungovernable. The product should be sold and implemented modularly, but engineered as one coherent platform.</w:t>
      </w:r>
    </w:p>
    <w:p>
      <w:pPr>
        <w:pStyle w:val="Heading1"/>
      </w:pPr>
      <w:r>
        <w:t>67. Updated Standards and Compliance Notes - September 2026</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50" w:type="dxa"/>
              <w:start w:w="55" w:type="dxa"/>
              <w:bottom w:w="50" w:type="dxa"/>
              <w:end w:w="55" w:type="dxa"/>
            </w:tcMar>
          </w:tcPr>
          <w:p>
            <w:pPr>
              <w:spacing w:after="0"/>
            </w:pPr>
            <w:r>
              <w:rPr>
                <w:b/>
                <w:sz w:val="14"/>
              </w:rPr>
              <w:t>Area</w:t>
            </w:r>
          </w:p>
        </w:tc>
        <w:tc>
          <w:tcPr>
            <w:tcW w:type="dxa" w:w="5083"/>
            <w:shd w:fill="D9EAF7"/>
            <w:tcMar>
              <w:top w:w="50" w:type="dxa"/>
              <w:start w:w="55" w:type="dxa"/>
              <w:bottom w:w="50" w:type="dxa"/>
              <w:end w:w="55" w:type="dxa"/>
            </w:tcMar>
          </w:tcPr>
          <w:p>
            <w:pPr>
              <w:spacing w:after="0"/>
            </w:pPr>
            <w:r>
              <w:rPr>
                <w:b/>
                <w:sz w:val="14"/>
              </w:rPr>
              <w:t>DPR position</w:t>
            </w:r>
          </w:p>
        </w:tc>
      </w:tr>
      <w:tr>
        <w:tc>
          <w:tcPr>
            <w:tcW w:type="dxa" w:w="2160"/>
            <w:tcMar>
              <w:top w:w="50" w:type="dxa"/>
              <w:start w:w="55" w:type="dxa"/>
              <w:bottom w:w="50" w:type="dxa"/>
              <w:end w:w="55" w:type="dxa"/>
            </w:tcMar>
            <w:vAlign w:val="top"/>
          </w:tcPr>
          <w:p>
            <w:pPr>
              <w:spacing w:after="0"/>
            </w:pPr>
            <w:r>
              <w:rPr>
                <w:sz w:val="14"/>
              </w:rPr>
              <w:t>NABH</w:t>
            </w:r>
          </w:p>
        </w:tc>
        <w:tc>
          <w:tcPr>
            <w:tcW w:type="dxa" w:w="8640"/>
            <w:tcMar>
              <w:top w:w="50" w:type="dxa"/>
              <w:start w:w="55" w:type="dxa"/>
              <w:bottom w:w="50" w:type="dxa"/>
              <w:end w:w="55" w:type="dxa"/>
            </w:tcMar>
            <w:vAlign w:val="top"/>
          </w:tcPr>
          <w:p>
            <w:pPr>
              <w:spacing w:after="0"/>
            </w:pPr>
            <w:r>
              <w:rPr>
                <w:sz w:val="14"/>
              </w:rPr>
              <w:t>Hospital quality/accreditation features shall be designed against the current NABH Hospital Accreditation Standards 6th Edition and customer-selected objective elements. Evidence/configuration must be versionable because accreditation criteria evolve.</w:t>
            </w:r>
          </w:p>
        </w:tc>
      </w:tr>
      <w:tr>
        <w:tc>
          <w:tcPr>
            <w:tcW w:type="dxa" w:w="2160"/>
            <w:tcMar>
              <w:top w:w="50" w:type="dxa"/>
              <w:start w:w="55" w:type="dxa"/>
              <w:bottom w:w="50" w:type="dxa"/>
              <w:end w:w="55" w:type="dxa"/>
            </w:tcMar>
            <w:vAlign w:val="top"/>
          </w:tcPr>
          <w:p>
            <w:pPr>
              <w:spacing w:after="0"/>
            </w:pPr>
            <w:r>
              <w:rPr>
                <w:sz w:val="14"/>
              </w:rPr>
              <w:t>NABL / ISO 15189</w:t>
            </w:r>
          </w:p>
        </w:tc>
        <w:tc>
          <w:tcPr>
            <w:tcW w:type="dxa" w:w="8640"/>
            <w:tcMar>
              <w:top w:w="50" w:type="dxa"/>
              <w:start w:w="55" w:type="dxa"/>
              <w:bottom w:w="50" w:type="dxa"/>
              <w:end w:w="55" w:type="dxa"/>
            </w:tcMar>
            <w:vAlign w:val="top"/>
          </w:tcPr>
          <w:p>
            <w:pPr>
              <w:spacing w:after="0"/>
            </w:pPr>
            <w:r>
              <w:rPr>
                <w:sz w:val="14"/>
              </w:rPr>
              <w:t>Laboratory functions support quality, sample traceability, QC, equipment, competency and evidence needed by organizations working toward NABL accreditation to ISO 15189 scope; accreditation remains laboratory-specific.</w:t>
            </w:r>
          </w:p>
        </w:tc>
      </w:tr>
      <w:tr>
        <w:tc>
          <w:tcPr>
            <w:tcW w:type="dxa" w:w="2160"/>
            <w:tcMar>
              <w:top w:w="50" w:type="dxa"/>
              <w:start w:w="55" w:type="dxa"/>
              <w:bottom w:w="50" w:type="dxa"/>
              <w:end w:w="55" w:type="dxa"/>
            </w:tcMar>
            <w:vAlign w:val="top"/>
          </w:tcPr>
          <w:p>
            <w:pPr>
              <w:spacing w:after="0"/>
            </w:pPr>
            <w:r>
              <w:rPr>
                <w:sz w:val="14"/>
              </w:rPr>
              <w:t>DPDP</w:t>
            </w:r>
          </w:p>
        </w:tc>
        <w:tc>
          <w:tcPr>
            <w:tcW w:type="dxa" w:w="8640"/>
            <w:tcMar>
              <w:top w:w="50" w:type="dxa"/>
              <w:start w:w="55" w:type="dxa"/>
              <w:bottom w:w="50" w:type="dxa"/>
              <w:end w:w="55" w:type="dxa"/>
            </w:tcMar>
            <w:vAlign w:val="top"/>
          </w:tcPr>
          <w:p>
            <w:pPr>
              <w:spacing w:after="0"/>
            </w:pPr>
            <w:r>
              <w:rPr>
                <w:sz w:val="14"/>
              </w:rPr>
              <w:t>Privacy architecture tracks the Digital Personal Data Protection Act, 2023 and the Digital Personal Data Protection Rules, 2025, including their phased commencement. Configuration/effective-date controls are required rather than hard-coded assumptions.</w:t>
            </w:r>
          </w:p>
        </w:tc>
      </w:tr>
      <w:tr>
        <w:tc>
          <w:tcPr>
            <w:tcW w:type="dxa" w:w="2160"/>
            <w:tcMar>
              <w:top w:w="50" w:type="dxa"/>
              <w:start w:w="55" w:type="dxa"/>
              <w:bottom w:w="50" w:type="dxa"/>
              <w:end w:w="55" w:type="dxa"/>
            </w:tcMar>
            <w:vAlign w:val="top"/>
          </w:tcPr>
          <w:p>
            <w:pPr>
              <w:spacing w:after="0"/>
            </w:pPr>
            <w:r>
              <w:rPr>
                <w:sz w:val="14"/>
              </w:rPr>
              <w:t>ABDM/FHIR</w:t>
            </w:r>
          </w:p>
        </w:tc>
        <w:tc>
          <w:tcPr>
            <w:tcW w:type="dxa" w:w="8640"/>
            <w:tcMar>
              <w:top w:w="50" w:type="dxa"/>
              <w:start w:w="55" w:type="dxa"/>
              <w:bottom w:w="50" w:type="dxa"/>
              <w:end w:w="55" w:type="dxa"/>
            </w:tcMar>
            <w:vAlign w:val="top"/>
          </w:tcPr>
          <w:p>
            <w:pPr>
              <w:spacing w:after="0"/>
            </w:pPr>
            <w:r>
              <w:rPr>
                <w:sz w:val="14"/>
              </w:rPr>
              <w:t>ABDM/FHIR integration remains behind a versioned adapter and conformance test suite so national profile/API changes do not contaminate core domain models.</w:t>
            </w:r>
          </w:p>
        </w:tc>
      </w:tr>
      <w:tr>
        <w:tc>
          <w:tcPr>
            <w:tcW w:type="dxa" w:w="2160"/>
            <w:tcMar>
              <w:top w:w="50" w:type="dxa"/>
              <w:start w:w="55" w:type="dxa"/>
              <w:bottom w:w="50" w:type="dxa"/>
              <w:end w:w="55" w:type="dxa"/>
            </w:tcMar>
            <w:vAlign w:val="top"/>
          </w:tcPr>
          <w:p>
            <w:pPr>
              <w:spacing w:after="0"/>
            </w:pPr>
            <w:r>
              <w:rPr>
                <w:sz w:val="14"/>
              </w:rPr>
              <w:t>NHCX</w:t>
            </w:r>
          </w:p>
        </w:tc>
        <w:tc>
          <w:tcPr>
            <w:tcW w:type="dxa" w:w="8640"/>
            <w:tcMar>
              <w:top w:w="50" w:type="dxa"/>
              <w:start w:w="55" w:type="dxa"/>
              <w:bottom w:w="50" w:type="dxa"/>
              <w:end w:w="55" w:type="dxa"/>
            </w:tcMar>
            <w:vAlign w:val="top"/>
          </w:tcPr>
          <w:p>
            <w:pPr>
              <w:spacing w:after="0"/>
            </w:pPr>
            <w:r>
              <w:rPr>
                <w:sz w:val="14"/>
              </w:rPr>
              <w:t>Insurance/claims integration supports NHCX plus legacy insurer/TPA channels during industry transition.</w:t>
            </w:r>
          </w:p>
        </w:tc>
      </w:tr>
      <w:tr>
        <w:tc>
          <w:tcPr>
            <w:tcW w:type="dxa" w:w="2160"/>
            <w:tcMar>
              <w:top w:w="50" w:type="dxa"/>
              <w:start w:w="55" w:type="dxa"/>
              <w:bottom w:w="50" w:type="dxa"/>
              <w:end w:w="55" w:type="dxa"/>
            </w:tcMar>
            <w:vAlign w:val="top"/>
          </w:tcPr>
          <w:p>
            <w:pPr>
              <w:spacing w:after="0"/>
            </w:pPr>
            <w:r>
              <w:rPr>
                <w:sz w:val="14"/>
              </w:rPr>
              <w:t>DICOM</w:t>
            </w:r>
          </w:p>
        </w:tc>
        <w:tc>
          <w:tcPr>
            <w:tcW w:type="dxa" w:w="8640"/>
            <w:tcMar>
              <w:top w:w="50" w:type="dxa"/>
              <w:start w:w="55" w:type="dxa"/>
              <w:bottom w:w="50" w:type="dxa"/>
              <w:end w:w="55" w:type="dxa"/>
            </w:tcMar>
            <w:vAlign w:val="top"/>
          </w:tcPr>
          <w:p>
            <w:pPr>
              <w:spacing w:after="0"/>
            </w:pPr>
            <w:r>
              <w:rPr>
                <w:sz w:val="14"/>
              </w:rPr>
              <w:t>Imaging integration uses DICOM/DICOMweb patterns with PACS/VNA/vendor adapters.</w:t>
            </w:r>
          </w:p>
        </w:tc>
      </w:tr>
      <w:tr>
        <w:tc>
          <w:tcPr>
            <w:tcW w:type="dxa" w:w="2160"/>
            <w:tcMar>
              <w:top w:w="50" w:type="dxa"/>
              <w:start w:w="55" w:type="dxa"/>
              <w:bottom w:w="50" w:type="dxa"/>
              <w:end w:w="55" w:type="dxa"/>
            </w:tcMar>
            <w:vAlign w:val="top"/>
          </w:tcPr>
          <w:p>
            <w:pPr>
              <w:spacing w:after="0"/>
            </w:pPr>
            <w:r>
              <w:rPr>
                <w:sz w:val="14"/>
              </w:rPr>
              <w:t>Clinical/device regulation</w:t>
            </w:r>
          </w:p>
        </w:tc>
        <w:tc>
          <w:tcPr>
            <w:tcW w:type="dxa" w:w="8640"/>
            <w:tcMar>
              <w:top w:w="50" w:type="dxa"/>
              <w:start w:w="55" w:type="dxa"/>
              <w:bottom w:w="50" w:type="dxa"/>
              <w:end w:w="55" w:type="dxa"/>
            </w:tcMar>
            <w:vAlign w:val="top"/>
          </w:tcPr>
          <w:p>
            <w:pPr>
              <w:spacing w:after="0"/>
            </w:pPr>
            <w:r>
              <w:rPr>
                <w:sz w:val="14"/>
              </w:rPr>
              <w:t>Any AI/CDS or device-connected function that may qualify as regulated software/medical-device functionality must undergo intended-use classification and regulatory review before commercialization.</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 DPR v2.0 | September 2026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Unified Healthcare &amp; Life-Sciences SaaS Platform — Detailed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64C7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5A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0505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sz w:val="16"/>
    </w:rPr>
  </w:style>
  <w:style w:type="paragraph" w:customStyle="1" w:styleId="Req">
    <w:name w:val="Req"/>
    <w:rPr>
      <w:rFonts w:ascii="Aptos" w:hAnsi="Aptos"/>
      <w:b w:val="0"/>
      <w:sz w:val="16"/>
    </w:rPr>
  </w:style>
  <w:style w:type="paragraph" w:customStyle="1" w:styleId="CaptionSmall">
    <w:name w:val="CaptionSmall"/>
    <w:rPr>
      <w:rFonts w:ascii="Aptos" w:hAnsi="Aptos"/>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Healthcare &amp; Life-Sciences SaaS Platform - Expanded Master DPR v2.0</dc:title>
  <dc:subject>Expanded master DPR covering hospital operations, specialties, pharma, diagnostics, insurance, smart hospital, patient platform and AI</dc:subject>
  <dc:creator>P9e Microsystems Private Limited</dc:creator>
  <cp:keywords>HMS, HMIS, EMR, EHR, SCADA, Pharmacy, Pharma, LIS, RIS, PACS, NHCX, ABDM, Svelte, Go, Rust, Flutter</cp:keywords>
  <dc:description>Expanded master scope baseline before detailed SRS decomposition.</dc:description>
  <cp:lastModifiedBy/>
  <cp:revision>1</cp:revision>
  <dcterms:created xsi:type="dcterms:W3CDTF">2013-12-23T23:15:00Z</dcterms:created>
  <dcterms:modified xsi:type="dcterms:W3CDTF">2013-12-23T23:15:00Z</dcterms:modified>
  <cp:category/>
</cp:coreProperties>
</file>