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85A"/>
          <w:sz w:val="46"/>
        </w:rPr>
        <w:br/>
        <w:br/>
        <w:t>UNIFIED HEALTHCARE SaaS PLATFORM</w:t>
        <w:br/>
        <w:t>DOMAIN, DATA, API, EVENT &amp; SECURITY ARCHITECTURE SPECIFICATION</w:t>
      </w:r>
    </w:p>
    <w:p>
      <w:pPr>
        <w:jc w:val="center"/>
      </w:pPr>
      <w:r>
        <w:rPr>
          <w:b/>
          <w:sz w:val="24"/>
        </w:rPr>
        <w:br/>
        <w:t>Combined Backend Engineering Contract</w:t>
      </w:r>
    </w:p>
    <w:p>
      <w:pPr>
        <w:jc w:val="center"/>
      </w:pPr>
      <w:r>
        <w:br/>
        <w:t>Go | Protobuf/ConnectRPC | PostgreSQL/sqlc | Svelte/SvelteKit | Flutter | Rust AI/ML</w:t>
        <w:br/>
        <w:t>Version 1.0 — September 2026</w:t>
      </w:r>
    </w:p>
    <w:p>
      <w:r>
        <w:br w:type="page"/>
      </w:r>
    </w:p>
    <w:p>
      <w:pPr>
        <w:pStyle w:val="Heading1"/>
      </w:pPr>
      <w:r>
        <w:t>1. Purpose and Relationship to the Architecture Blueprint</w:t>
      </w:r>
    </w:p>
    <w:p>
      <w:r>
        <w:t>This specification defines the engineering contracts beneath the high-level Engineering Architecture Blueprint. It establishes canonical domain ownership, core healthcare entities, persistence rules, API and event conventions, authorization/security context, audit requirements and integration boundaries. Feature teams may extend domain models, but may not violate these contracts without an approved ADR and traceability change.</w:t>
      </w:r>
    </w:p>
    <w:p>
      <w:pPr>
        <w:pStyle w:val="ListBullet"/>
        <w:spacing w:after="20"/>
      </w:pPr>
      <w:r>
        <w:t>Domain ownership answers: which bounded context is authoritative for a mutable fact?</w:t>
      </w:r>
    </w:p>
    <w:p>
      <w:pPr>
        <w:pStyle w:val="ListBullet"/>
        <w:spacing w:after="20"/>
      </w:pPr>
      <w:r>
        <w:t>Data architecture answers: how is that fact persisted, versioned, queried, audited and shared?</w:t>
      </w:r>
    </w:p>
    <w:p>
      <w:pPr>
        <w:pStyle w:val="ListBullet"/>
        <w:spacing w:after="20"/>
      </w:pPr>
      <w:r>
        <w:t>API architecture answers: how do clients and other contexts request behavior?</w:t>
      </w:r>
    </w:p>
    <w:p>
      <w:pPr>
        <w:pStyle w:val="ListBullet"/>
        <w:spacing w:after="20"/>
      </w:pPr>
      <w:r>
        <w:t>Event architecture answers: how are committed facts propagated asynchronously?</w:t>
      </w:r>
    </w:p>
    <w:p>
      <w:pPr>
        <w:pStyle w:val="ListBullet"/>
        <w:spacing w:after="20"/>
      </w:pPr>
      <w:r>
        <w:t>Security architecture answers: who may perform or observe the behavior, under which tenant/purpose/context?</w:t>
      </w:r>
    </w:p>
    <w:p>
      <w:pPr>
        <w:pStyle w:val="Heading1"/>
      </w:pPr>
      <w:r>
        <w:t>2. Domain Architecture and Bounded Contexts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819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19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1. Major bounded-context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Bounded context</w:t>
            </w:r>
          </w:p>
        </w:tc>
        <w:tc>
          <w:tcPr>
            <w:tcW w:type="dxa" w:w="648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Authoritative state</w:t>
            </w:r>
          </w:p>
        </w:tc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Primary service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identity.access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Users, credentials/federation links, roles, privileges, service identities.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IdentityService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organization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Tenant, legal entity, facility, department, location, bed/resource hierarchy.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OrganizationService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patient.identity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Person/patient, identifiers, demographics, EMPI, merge/unmerge, relationships.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PatientService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scheduling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Provider/resource rosters, slots, appointments, waitlists and queues.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AppointmentService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encounter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Episodes, encounters, admission/discharge/transfer and care setting.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EncounterService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clinical.core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Problems, allergies, observations, documents, procedures, care plans.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ClinicalService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nursing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Nursing assessments, flowsheets, tasks, handover, eMAR administration records.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NursingService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orders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CPOE order lifecycle and order coordination.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OrderService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medication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Medication request/prescription/verification/reconciliation.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MedicationService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billing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Charge capture, tariffs, invoices, receipts/refunds and patient ledger.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BillingService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hospital.ops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ER, ICU, OT, anesthesia, blood, CSSD, materials and hospital support services.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HospitalOps services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diagnostics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LIS, imaging orchestration, specimens, results and diagnostic reports.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LabService / ImagingService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pharma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Pharmacy, product/channel, warehouse, distribution, logistics and inventory.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Pharmacy/PharmaOrder/Inventory services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insurance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Coverage, eligibility, preauthorization, claim, denial, remittance.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Coverage/Preauth/Claim services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patient.ecosystem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PHR, telehealth, home care, RPM, patient journey and delegated access.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PatientApp/PHR/HomeCare/RPM services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platform.workflow_rules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Workflow, rules, forms, terminology, knowledge, templates.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Platform services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scada.iot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OT assets, telemetry, alarms, historian and command center.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Scada/Telemetry/Alarm services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enterprise.business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Finance, CRM, legal/GRC, research, academics and foundation.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Enterprise services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saas.control</w:t>
            </w:r>
          </w:p>
        </w:tc>
        <w:tc>
          <w:tcPr>
            <w:tcW w:type="dxa" w:w="648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Commercial account, subscription, implementation, migration, support, release.</w:t>
            </w:r>
          </w:p>
        </w:tc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SaaS control services</w:t>
            </w:r>
          </w:p>
        </w:tc>
      </w:tr>
    </w:tbl>
    <w:p>
      <w:pPr>
        <w:pStyle w:val="Heading2"/>
      </w:pPr>
      <w:r>
        <w:t>2.1 Ownership Rules</w:t>
      </w:r>
    </w:p>
    <w:p>
      <w:pPr>
        <w:pStyle w:val="ListBullet"/>
        <w:spacing w:after="20"/>
      </w:pPr>
      <w:r>
        <w:t>A mutable aggregate has exactly one authoritative context. Other contexts store references or projections, not competing master copies.</w:t>
      </w:r>
    </w:p>
    <w:p>
      <w:pPr>
        <w:pStyle w:val="ListBullet"/>
        <w:spacing w:after="20"/>
      </w:pPr>
      <w:r>
        <w:t>Cross-context queries use API composition, read models or analytics; cross-context mutations use service calls/events/workflows.</w:t>
      </w:r>
    </w:p>
    <w:p>
      <w:pPr>
        <w:pStyle w:val="ListBullet"/>
        <w:spacing w:after="20"/>
      </w:pPr>
      <w:r>
        <w:t>Shared identifiers are references, not permission to update another context’s tables.</w:t>
      </w:r>
    </w:p>
    <w:p>
      <w:pPr>
        <w:pStyle w:val="ListBullet"/>
        <w:spacing w:after="20"/>
      </w:pPr>
      <w:r>
        <w:t>Specialty packs extend clinical concepts through configured schemas/knowledge artifacts; they do not fork the Patient, Encounter or Order models.</w:t>
      </w:r>
    </w:p>
    <w:p>
      <w:pPr>
        <w:pStyle w:val="ListBullet"/>
        <w:spacing w:after="20"/>
      </w:pPr>
      <w:r>
        <w:t>External systems may be authoritative for selected objects (e.g., PACS image pixels, payment gateway transaction, national exchange identifiers); internal records retain stable correlation and provenance.</w:t>
      </w:r>
    </w:p>
    <w:p>
      <w:pPr>
        <w:pStyle w:val="Heading1"/>
      </w:pPr>
      <w:r>
        <w:t>3. Canonical Healthcare Entity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2203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i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2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2. Representative canonical entity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Entity</w:t>
            </w:r>
          </w:p>
        </w:tc>
        <w:tc>
          <w:tcPr>
            <w:tcW w:type="dxa" w:w="705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Canonical meaning</w:t>
            </w:r>
          </w:p>
        </w:tc>
        <w:tc>
          <w:tcPr>
            <w:tcW w:type="dxa" w:w="14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Stable identifier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Person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Real-world individual independent of care status.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person_id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Patient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Healthcare identity within platform; links one Person to tenant/facility identifiers.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patient_id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PatientIdentifier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MRN, ABHA or external identifier with system, issuer, validity and status.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identifier_id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RelatedPerson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Caregiver/guardian/family relationship with authority scope.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relationship_id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Practitioner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Clinician/healthcare professional identity.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practitioner_id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Organization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Hospital group, facility, department, payer, lab, pharmacy, supplier or partner.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organization_id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Location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Physical/virtual service location, room, bed, counter, collection point.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location_id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EpisodeOfCare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Longitudinal program/episode grouping related encounters.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episode_id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Encounter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One care interaction/admission/visit.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encounter_id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Appointment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Scheduled allocation of patient/provider/resource.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appointment_id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ClinicalDocument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Authored/signed clinical note/report with version/amendment semantics.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document_id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Observation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Measured/asserted clinical value with code, value, unit, reference and provenance.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observation_id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Problem/Condition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Problem-list or diagnosis assertion.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condition_id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AllergyIntolerance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Allergy/intolerance with substance, reaction, severity and verification.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allergy_id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Order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Generic clinical/service request with type-specific detail.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order_id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MedicationRequest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Medication intent/order.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medication_request_id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Prescription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Dispensable prescription artifact derived from clinician intent.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prescription_id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Dispense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Pharmacy fulfilment of prescription.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dispense_id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Specimen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Collected material with accession/chain-of-custody.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specimen_id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DiagnosticReport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Validated lab/radiology/pathology report.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report_id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Invoice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Financial charge document.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invoice_id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Payment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Receipt/payment/refund transaction.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payment_id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Coverage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Insurance/corporate coverage record.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coverage_id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Preauthorization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Payer authorization case.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preauth_id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Claim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Submitted claim/adjudication lifecycle.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claim_id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Item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Drug/device/consumable/service stock identity.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item_id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Batch/Lot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Batch/lot/expiry/manufacture trace unit.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batch_id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InventoryMovement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Append-only movement ledger.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movement_id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ConsentAuthorization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Consent or other authorization object.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consent_id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Disclosure</w:t>
            </w:r>
          </w:p>
        </w:tc>
        <w:tc>
          <w:tcPr>
            <w:tcW w:type="dxa" w:w="70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Recorded data disclosure transaction.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disclosure_id</w:t>
            </w:r>
          </w:p>
        </w:tc>
      </w:tr>
    </w:tbl>
    <w:p>
      <w:pPr>
        <w:pStyle w:val="Heading2"/>
      </w:pPr>
      <w:r>
        <w:t>3.1 Identifier Rules</w:t>
      </w:r>
    </w:p>
    <w:p>
      <w:pPr>
        <w:pStyle w:val="ListBullet"/>
        <w:spacing w:after="20"/>
      </w:pPr>
      <w:r>
        <w:t>Internal identifiers are opaque globally unique values (UUID-compatible). Business identifiers such as MRN, accession, invoice or claim number are separate attributes with issuer/scope.</w:t>
      </w:r>
    </w:p>
    <w:p>
      <w:pPr>
        <w:pStyle w:val="ListBullet"/>
        <w:spacing w:after="20"/>
      </w:pPr>
      <w:r>
        <w:t>Never encode tenant, patient DOB, department or business meaning into primary keys.</w:t>
      </w:r>
    </w:p>
    <w:p>
      <w:pPr>
        <w:pStyle w:val="ListBullet"/>
        <w:spacing w:after="20"/>
      </w:pPr>
      <w:r>
        <w:t>External identifiers are stored with namespace/system, issuer, value, status, validity and verification/provenance.</w:t>
      </w:r>
    </w:p>
    <w:p>
      <w:pPr>
        <w:pStyle w:val="ListBullet"/>
        <w:spacing w:after="20"/>
      </w:pPr>
      <w:r>
        <w:t>Merge/unmerge never reuses IDs; alias/cross-reference tables preserve history.</w:t>
      </w:r>
    </w:p>
    <w:p>
      <w:pPr>
        <w:pStyle w:val="ListBullet"/>
        <w:spacing w:after="20"/>
      </w:pPr>
      <w:r>
        <w:t>Client-generated IDs may be allowed for offline/idempotent workflows only under an explicit contract.</w:t>
      </w:r>
    </w:p>
    <w:p>
      <w:pPr>
        <w:pStyle w:val="Heading1"/>
      </w:pPr>
      <w:r>
        <w:t>4. Aggregate and Lifecycle Design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Rule</w:t>
            </w:r>
          </w:p>
        </w:tc>
        <w:tc>
          <w:tcPr>
            <w:tcW w:type="dxa" w:w="849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Standard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Aggregate boundary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Transactionally consistent set small enough to load/change safely; avoid “patient as one giant aggregate”.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State machine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Explicit allowed transitions with actor/prerequisite/reason and event emission.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Finalized records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Use addendum/amendment/correction/reversal; do not destructive-update signed clinical or posted financial history.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Optimistic concurrency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Use version/revision for user-edited aggregates where concurrent updates are possible.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Pessimistic locking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Use only for short high-contention allocation/stock/payment operations where necessary.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Effective dating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Rules, tariffs, coverage, configuration, terminology and privileges carry effective periods.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Soft delete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Not a default. Use status/retirement for regulated records; true delete only for eligible ephemeral/config data.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Audit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Material changes record actor/service, time, tenant, reason/context and correlation.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Idempotency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Create/submit/payment/claim/order/fulfilment endpoints accept stable idempotency key where retries are expected.</w:t>
            </w:r>
          </w:p>
        </w:tc>
      </w:tr>
    </w:tbl>
    <w:p>
      <w:pPr>
        <w:pStyle w:val="Heading1"/>
      </w:pPr>
      <w:r>
        <w:t>5. PostgreSQL and sqlc Data Architecture</w:t>
      </w:r>
    </w:p>
    <w:p>
      <w:pPr>
        <w:pStyle w:val="Heading2"/>
      </w:pPr>
      <w:r>
        <w:t>5.1 Schema and Table Ownership</w:t>
      </w:r>
    </w:p>
    <w:p>
      <w:r>
        <w:t>Each bounded context owns its SQL migrations, sqlc queries and repository implementations. Physical deployment may use one PostgreSQL cluster/database initially, but logical schema ownership is enforced as if services were independent.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Convention</w:t>
            </w:r>
          </w:p>
        </w:tc>
        <w:tc>
          <w:tcPr>
            <w:tcW w:type="dxa" w:w="86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Requirement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Schema naming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Use context schema where practical: patient.*, encounter.*, clinical.*, orders.*, billing.*, inventory.* etc.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Primary key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UUID-compatible opaque ID, generated by application/database standard helper.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 scope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tenant_id mandatory for tenant-owned rows; facility_id added where operational scope matters.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Audit columns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created_at, created_by; updated_at/updated_by where mutable; version/revision where concurrency matters.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Status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Typed enum/check constraint or governed lookup; never free-text workflow state.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Timestamps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UTC timestamptz; preserve source timezone metadata where clinically/operationally material.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Money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Integer minor units or exact numeric with currency; never float.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Clinical numeric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Exact numeric/decimal appropriate to measurement plus explicit unit/code.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JSONB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Allowed for versioned flexible payloads/extensions, not as substitute for core queryable relational model.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FKs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Enforce within owning schema/context; cross-context references may use logical IDs without cross-schema cascading.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Indexes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Driven by query plan/volume; include tenant leading keys for tenant-scoped access patterns.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Partitioning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Use for high-volume audit/event/observation/telemetry tables after measured need.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Migrations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Forward-only production migration packages with expand/contract for rolling deployments.</w:t>
            </w:r>
          </w:p>
        </w:tc>
      </w:tr>
    </w:tbl>
    <w:p>
      <w:pPr>
        <w:pStyle w:val="Heading2"/>
      </w:pPr>
      <w:r>
        <w:t>5.2 sqlc Rules</w:t>
      </w:r>
    </w:p>
    <w:p>
      <w:pPr>
        <w:pStyle w:val="ListBullet"/>
        <w:spacing w:after="20"/>
      </w:pPr>
      <w:r>
        <w:t>SQL lives with the owning adapter; named queries expose domain-oriented repository methods rather than generic CRUD.</w:t>
      </w:r>
    </w:p>
    <w:p>
      <w:pPr>
        <w:pStyle w:val="ListBullet"/>
        <w:spacing w:after="20"/>
      </w:pPr>
      <w:r>
        <w:t>Every tenant-owned query either accepts tenant scope explicitly or executes inside a verified tenant-bound repository context.</w:t>
      </w:r>
    </w:p>
    <w:p>
      <w:pPr>
        <w:pStyle w:val="ListBullet"/>
        <w:spacing w:after="20"/>
      </w:pPr>
      <w:r>
        <w:t>Dynamic filtering uses reviewed query builders/limited patterns; never concatenate untrusted SQL fragments.</w:t>
      </w:r>
    </w:p>
    <w:p>
      <w:pPr>
        <w:pStyle w:val="ListBullet"/>
        <w:spacing w:after="20"/>
      </w:pPr>
      <w:r>
        <w:t>Repository integration tests run against real PostgreSQL, not mocked SQL.</w:t>
      </w:r>
    </w:p>
    <w:p>
      <w:pPr>
        <w:pStyle w:val="Heading1"/>
      </w:pPr>
      <w:r>
        <w:t>6. Protobuf and ConnectRPC Contract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Area</w:t>
            </w:r>
          </w:p>
        </w:tc>
        <w:tc>
          <w:tcPr>
            <w:tcW w:type="dxa" w:w="878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Package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healthcare.&lt;bounded_context&gt;.v1; external/public package may differ but maps to canonical domain.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Service naming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Noun/domain service: PatientService, EncounterService, ClaimService.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RPC naming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Business action/query: CreatePatient, SearchPatients, VerifyEligibility; avoid generic Execute/Process.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Messages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Stable field numbers; use wrapper/message types where presence matters; never reuse removed field numbers.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Enums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Unspecified = 0; names prefixed/scoped; preserve backward compatibility.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Pagination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page_size + page_token; response next_page_token. Avoid page-number semantics for unstable datasets.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Filtering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Typed filter messages for governed APIs; generic text search only where supported by search semantics.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Sorting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Explicit allowed fields and direction.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Errors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Connect/RPC status + structured ErrorDetail with code, field violations, retryability and correlation_id.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Idempotency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Request metadata/idempotency_key on retryable commands.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Metadata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Tenant/user/service context comes from authenticated transport metadata, never trusted solely from body.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Compatibility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Buf/protobuf breaking-change checks in CI; new fields additive by default.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HTTP/REST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Gateway only when needed externally; canonical implementation remains protobuf use case.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FHIR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Adapter maps canonical model to profile/resource; internal business logic does not accept arbitrary FHIR resource as domain object.</w:t>
            </w:r>
          </w:p>
        </w:tc>
      </w:tr>
    </w:tbl>
    <w:p>
      <w:pPr>
        <w:pStyle w:val="Heading2"/>
      </w:pPr>
      <w:r>
        <w:t>6.1 Command/Query Example</w:t>
      </w:r>
    </w:p>
    <w:p>
      <w:r>
        <w:t>CreatePatient is a command that validates authorization and identity rules, writes the patient aggregate, writes an outbox event and returns the canonical patient. SearchPatients is a query that enforces tenant/facility/purpose scope and uses a read-optimized query path. Neither handler directly owns business rules.</w:t>
      </w:r>
    </w:p>
    <w:p>
      <w:pPr>
        <w:pStyle w:val="Heading1"/>
      </w:pPr>
      <w:r>
        <w:t>7. API Request Context and Error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Context field</w:t>
            </w:r>
          </w:p>
        </w:tc>
        <w:tc>
          <w:tcPr>
            <w:tcW w:type="dxa" w:w="849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Meaning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request_id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Unique request identifier at gateway/client boundary.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correlation_id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Stable business trace across RPC/event/workflow/external calls.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causation_id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Immediate parent command/event when relevant.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tenant_id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Resolved authenticated tenant scope.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subject_id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User/patient/service identity.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facility_id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Operational facility scope when selected.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purpose_of_use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Treatment, payment, operations, support, research etc. where required.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break_glass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Emergency override context with reason/reference.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client_version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Web/mobile/partner client version for support/compatibility.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locale/timezone</w:t>
            </w:r>
          </w:p>
        </w:tc>
        <w:tc>
          <w:tcPr>
            <w:tcW w:type="dxa" w:w="84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Presentation/localization only; never security authority.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Error category</w:t>
            </w:r>
          </w:p>
        </w:tc>
        <w:tc>
          <w:tcPr>
            <w:tcW w:type="dxa" w:w="432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Examples</w:t>
            </w:r>
          </w:p>
        </w:tc>
        <w:tc>
          <w:tcPr>
            <w:tcW w:type="dxa" w:w="417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Client behavior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INVALID_ARGUMENT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Field validation, malformed transition input.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Correct request; no blind retry.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UNAUTHENTICATED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Expired/invalid identity.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Refresh/re-authenticate.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PERMISSION_DENIED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Authorization/purpose/tenant denied.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Do not retry without changed authority.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NOT_FOUND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Resource absent or intentionally concealed.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Display safe not-found state.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ALREADY_EXISTS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Duplicate business/idempotency conflict.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Resolve or return existing result where contract allows.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FAILED_PRECONDITION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State transition blocked, missing prerequisite.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Show actionable prerequisite.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ABORTED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Concurrency/transaction conflict.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Retry only under defined policy.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RESOURCE_EXHAUSTED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Rate/quota/capacity limit.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Backoff or surface limit.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UNAVAILABLE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Transient dependency/service outage.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Bounded retry if idempotent.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INTERNAL</w:t>
            </w:r>
          </w:p>
        </w:tc>
        <w:tc>
          <w:tcPr>
            <w:tcW w:type="dxa" w:w="432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Unexpected fault.</w:t>
            </w:r>
          </w:p>
        </w:tc>
        <w:tc>
          <w:tcPr>
            <w:tcW w:type="dxa" w:w="417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Show correlation ID; no sensitive detail.</w:t>
            </w:r>
          </w:p>
        </w:tc>
      </w:tr>
    </w:tbl>
    <w:p>
      <w:pPr>
        <w:pStyle w:val="Heading1"/>
      </w:pPr>
      <w:r>
        <w:t>8. Event Architecture</w:t>
      </w:r>
    </w:p>
    <w:p>
      <w:pPr>
        <w:pStyle w:val="Heading2"/>
      </w:pPr>
      <w:r>
        <w:t>8.1 Canonical Event Envelope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Field</w:t>
            </w:r>
          </w:p>
        </w:tc>
        <w:tc>
          <w:tcPr>
            <w:tcW w:type="dxa" w:w="86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event_id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Globally unique immutable event ID.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event_type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Namespaced fact: encounter.admitted, claim.submitted.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schema_version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Explicit event payload version.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occurred_at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Business/domain occurrence time.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published_at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Publisher/broker publication time.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tenant_id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 scope.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aggregate_type/id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Source aggregate identity.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source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Producing service/context.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correlation_id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End-to-end business trace.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causation_id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Command/event that caused this event.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actor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User/service where appropriate.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payload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Minimum data required by subscribers; references preferred for PHI-heavy content.</w:t>
            </w:r>
          </w:p>
        </w:tc>
      </w:tr>
    </w:tbl>
    <w:p>
      <w:pPr>
        <w:pStyle w:val="Heading2"/>
      </w:pPr>
      <w:r>
        <w:t>8.2 Event Semantics</w:t>
      </w:r>
    </w:p>
    <w:p>
      <w:pPr>
        <w:pStyle w:val="ListBullet"/>
        <w:spacing w:after="20"/>
      </w:pPr>
      <w:r>
        <w:t>Producer commits aggregate state + outbox record in one PostgreSQL transaction.</w:t>
      </w:r>
    </w:p>
    <w:p>
      <w:pPr>
        <w:pStyle w:val="ListBullet"/>
        <w:spacing w:after="20"/>
      </w:pPr>
      <w:r>
        <w:t>Outbox publisher may deliver more than once; every side-effecting consumer deduplicates using event_id/inbox.</w:t>
      </w:r>
    </w:p>
    <w:p>
      <w:pPr>
        <w:pStyle w:val="ListBullet"/>
        <w:spacing w:after="20"/>
      </w:pPr>
      <w:r>
        <w:t>Ordering is guaranteed only within an explicitly selected partition/aggregate key; consumers must tolerate unrelated reordering.</w:t>
      </w:r>
    </w:p>
    <w:p>
      <w:pPr>
        <w:pStyle w:val="ListBullet"/>
        <w:spacing w:after="20"/>
      </w:pPr>
      <w:r>
        <w:t>A consumer failure does not roll back the producer transaction. Retry/dead-letter/compensation is explicit.</w:t>
      </w:r>
    </w:p>
    <w:p>
      <w:pPr>
        <w:pStyle w:val="ListBullet"/>
        <w:spacing w:after="20"/>
      </w:pPr>
      <w:r>
        <w:t>Events do not expose secrets and minimize PHI/PII. Large documents/results are referenced through authorized APIs/object grants.</w:t>
      </w:r>
    </w:p>
    <w:p>
      <w:pPr>
        <w:pStyle w:val="ListBullet"/>
        <w:spacing w:after="20"/>
      </w:pPr>
      <w:r>
        <w:t>Schema evolution is additive or versioned; consumers cannot assume unknown fields are absent.</w:t>
      </w:r>
    </w:p>
    <w:p>
      <w:pPr>
        <w:pStyle w:val="Heading1"/>
      </w:pPr>
      <w:r>
        <w:t>9. Workflow and Saga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Concept</w:t>
            </w:r>
          </w:p>
        </w:tc>
        <w:tc>
          <w:tcPr>
            <w:tcW w:type="dxa" w:w="86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Standard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Workflow instance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Durable identifier + workflow definition version + tenant/business correlation.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Human task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Assigned role/team/user; due/SLA; completion payload; audit.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Service task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Idempotent command with retry/backoff/timeout.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Timer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Durable timer interpreted in business timezone/calendar where necessary.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Compensation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Explicit reverse/compensating command; not database rollback.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Migration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Running instance remains pinned to version unless controlled migration is defined.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Ownership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Workflow coordinates; source domain service remains authoritative for state.</w:t>
            </w:r>
          </w:p>
        </w:tc>
      </w:tr>
    </w:tbl>
    <w:p>
      <w:pPr>
        <w:pStyle w:val="Heading1"/>
      </w:pPr>
      <w:r>
        <w:t>10. Identity, Authentication and Authorization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7121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71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3. Authorization decision flow</w:t>
      </w:r>
    </w:p>
    <w:p>
      <w:pPr>
        <w:pStyle w:val="Heading2"/>
      </w:pPr>
      <w:r>
        <w:t>10.1 Identity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Identity</w:t>
            </w:r>
          </w:p>
        </w:tc>
        <w:tc>
          <w:tcPr>
            <w:tcW w:type="dxa" w:w="532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Authentication model</w:t>
            </w:r>
          </w:p>
        </w:tc>
        <w:tc>
          <w:tcPr>
            <w:tcW w:type="dxa" w:w="331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Examples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Workforce user</w:t>
            </w:r>
          </w:p>
        </w:tc>
        <w:tc>
          <w:tcPr>
            <w:tcW w:type="dxa" w:w="53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OIDC federation/local enterprise IdP + MFA policy.</w:t>
            </w:r>
          </w:p>
        </w:tc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Doctor, nurse, pharmacist, finance, admin.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Patient/caregiver</w:t>
            </w:r>
          </w:p>
        </w:tc>
        <w:tc>
          <w:tcPr>
            <w:tcW w:type="dxa" w:w="53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Patient identity provider / verified mobile-email / approved national identity link.</w:t>
            </w:r>
          </w:p>
        </w:tc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Patient app, dependent access.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Service/workload</w:t>
            </w:r>
          </w:p>
        </w:tc>
        <w:tc>
          <w:tcPr>
            <w:tcW w:type="dxa" w:w="53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Workload identity/mTLS/service token.</w:t>
            </w:r>
          </w:p>
        </w:tc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Go service, event consumer, edge gateway.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Partner application</w:t>
            </w:r>
          </w:p>
        </w:tc>
        <w:tc>
          <w:tcPr>
            <w:tcW w:type="dxa" w:w="53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OAuth client credentials/mTLS/signed webhook credentials.</w:t>
            </w:r>
          </w:p>
        </w:tc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Insurer, lab, pharmacy, integrator.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Device/gateway</w:t>
            </w:r>
          </w:p>
        </w:tc>
        <w:tc>
          <w:tcPr>
            <w:tcW w:type="dxa" w:w="53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Certificate/device credential and inventory registration.</w:t>
            </w:r>
          </w:p>
        </w:tc>
        <w:tc>
          <w:tcPr>
            <w:tcW w:type="dxa" w:w="331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IoMT, hospital edge, SCADA gateway.</w:t>
            </w:r>
          </w:p>
        </w:tc>
      </w:tr>
    </w:tbl>
    <w:p>
      <w:pPr>
        <w:pStyle w:val="Heading2"/>
      </w:pPr>
      <w:r>
        <w:t>10.2 RBAC + ABAC Decision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Attribute</w:t>
            </w:r>
          </w:p>
        </w:tc>
        <w:tc>
          <w:tcPr>
            <w:tcW w:type="dxa" w:w="86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Examples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Tenant/organization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Tenant, legal entity, facility, department.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Role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Doctor, nurse, pharmacist, lab technologist, billing, support.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Clinical privilege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Specialty/procedure/order/sign privileges.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Patient relationship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Current encounter/care team/referral/assigned ward.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Resource sensitivity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Psychiatry, HIV/sensitive category, VIP/restricted, research/legal.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Purpose of use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Treatment, payment, operations, support, research.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Time/context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Shift, assignment window, emergency/break-glass.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Delegation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Caregiver/guardian authority scope and validity.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Device/location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Managed device/network zone where policy requires.</w:t>
            </w:r>
          </w:p>
        </w:tc>
      </w:tr>
    </w:tbl>
    <w:p>
      <w:pPr>
        <w:pStyle w:val="ListBullet"/>
        <w:spacing w:after="20"/>
      </w:pPr>
      <w:r>
        <w:t>UI visibility is never sufficient authorization. Domain/application service enforces policy before data access or mutation.</w:t>
      </w:r>
    </w:p>
    <w:p>
      <w:pPr>
        <w:pStyle w:val="ListBullet"/>
        <w:spacing w:after="20"/>
      </w:pPr>
      <w:r>
        <w:t>Break-glass is an explicit policy path requiring reason and post-event review; it is not a superuser role.</w:t>
      </w:r>
    </w:p>
    <w:p>
      <w:pPr>
        <w:pStyle w:val="ListBullet"/>
        <w:spacing w:after="20"/>
      </w:pPr>
      <w:r>
        <w:t>Support access is ticket-bound/time-bound where feasible and carries stricter audit.</w:t>
      </w:r>
    </w:p>
    <w:p>
      <w:pPr>
        <w:pStyle w:val="ListBullet"/>
        <w:spacing w:after="20"/>
      </w:pPr>
      <w:r>
        <w:t>Research access is governed by study role/protocol/consent and should use subject IDs/pseudonymized views whenever possible.</w:t>
      </w:r>
    </w:p>
    <w:p>
      <w:pPr>
        <w:pStyle w:val="Heading1"/>
      </w:pPr>
      <w:r>
        <w:t>11. Multi-tenancy and Isolation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Layer</w:t>
            </w:r>
          </w:p>
        </w:tc>
        <w:tc>
          <w:tcPr>
            <w:tcW w:type="dxa" w:w="8784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Isolation rule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Authentication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Token/session resolves allowed tenant(s); user explicitly selects active context when multiple.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API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 context derived from authenticated authority; request body tenant_id cannot expand authority.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Application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Every use case receives verified tenant context and passes it to repositories/events/jobs.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Database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All tenant-owned queries filter tenant_id; automated negative tests verify isolation.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Cache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 and authorization context are part of keys; no shared unscoped patient cache.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Object storage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Tenant-aware prefix/bucket policy and signed access grants.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Search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 filter is mandatory server-side.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Events/jobs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Tenant_id in envelope/job; consumers execute under that scope.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Analytics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Row/column policy or separate datasets according to profile.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Support/admin</w:t>
            </w:r>
          </w:p>
        </w:tc>
        <w:tc>
          <w:tcPr>
            <w:tcW w:type="dxa" w:w="878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Cross-tenant operator roles are explicit privileged roles with JIT controls.</w:t>
            </w:r>
          </w:p>
        </w:tc>
      </w:tr>
    </w:tbl>
    <w:p>
      <w:pPr>
        <w:pStyle w:val="Heading1"/>
      </w:pPr>
      <w:r>
        <w:t>12. Audit, Provenance and Non-repudiation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Record type</w:t>
            </w:r>
          </w:p>
        </w:tc>
        <w:tc>
          <w:tcPr>
            <w:tcW w:type="dxa" w:w="864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Required provenance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document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Author, signer, encounter, created/signed/amended times, version, source/template.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Observation/result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Performer/device/source, method where relevant, timestamps, unit/reference and validation.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Medication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Prescriber, verifier, dispenser/administering user, substitutions/overrides and timestamps.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Financial posting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Source transaction, posting/reversal, approver and accounting period.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Inventory movement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Source document, batch, from/to location, quantity, actor/device and timestamp.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Consent/disclosure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Notice/version, grant/withdrawal basis, recipient, purpose, dataset and time.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AI output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Model/prompt/retrieval version, intended use, inference time and human disposition.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Admin/security</w:t>
            </w:r>
          </w:p>
        </w:tc>
        <w:tc>
          <w:tcPr>
            <w:tcW w:type="dxa" w:w="86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Actor, privilege elevation, configuration before/after, ticket/change reference.</w:t>
            </w:r>
          </w:p>
        </w:tc>
      </w:tr>
    </w:tbl>
    <w:p>
      <w:r>
        <w:t>Audit data is append-oriented and protected from ordinary application mutation. Debug/application logs are not substitutes for regulated audit records.</w:t>
      </w:r>
    </w:p>
    <w:p>
      <w:pPr>
        <w:pStyle w:val="Heading1"/>
      </w:pPr>
      <w:r>
        <w:t>13. Data Classification and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Class</w:t>
            </w:r>
          </w:p>
        </w:tc>
        <w:tc>
          <w:tcPr>
            <w:tcW w:type="dxa" w:w="388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Examples</w:t>
            </w:r>
          </w:p>
        </w:tc>
        <w:tc>
          <w:tcPr>
            <w:tcW w:type="dxa" w:w="4896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Controls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PHI / Clinical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Notes, diagnoses, results, prescriptions, images/reports.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Least privilege, encrypted, purpose-aware access, disclosure audit.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PII / Identity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Names, contact, identifiers, address.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Masking, minimization, identity access controls.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Invoices, payments, payer, bank data.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Segregation, exact accounting, PCI/payment tokenization boundary.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Regulated inventory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Drugs, controlled stock, blood, devices.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Batch/chain-of-custody, immutable movement history.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Restricted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Psychiatry/sensitive records, legal, research crosswalk, security events.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Additional role/need-to-know restriction and monitored access.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OT / Device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SCADA assets/commands, gateway credentials.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Network segmentation, device identity, command authorization.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Public/Reference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Published education/catalog data.</w:t>
            </w:r>
          </w:p>
        </w:tc>
        <w:tc>
          <w:tcPr>
            <w:tcW w:type="dxa" w:w="489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Integrity/versioning; minimal confidentiality need.</w:t>
            </w:r>
          </w:p>
        </w:tc>
      </w:tr>
    </w:tbl>
    <w:p>
      <w:pPr>
        <w:pStyle w:val="Heading2"/>
      </w:pPr>
      <w:r>
        <w:t>13.1 Encryption and Secrets</w:t>
      </w:r>
    </w:p>
    <w:p>
      <w:pPr>
        <w:pStyle w:val="ListBullet"/>
        <w:spacing w:after="20"/>
      </w:pPr>
      <w:r>
        <w:t>TLS for all client/service traffic; mTLS or workload identity for high-trust machine communication where appropriate.</w:t>
      </w:r>
    </w:p>
    <w:p>
      <w:pPr>
        <w:pStyle w:val="ListBullet"/>
        <w:spacing w:after="20"/>
      </w:pPr>
      <w:r>
        <w:t>Managed encryption at rest for databases, object stores, backups and analytics stores.</w:t>
      </w:r>
    </w:p>
    <w:p>
      <w:pPr>
        <w:pStyle w:val="ListBullet"/>
        <w:spacing w:after="20"/>
      </w:pPr>
      <w:r>
        <w:t>Central KMS/key rotation; application code never contains keys/secrets.</w:t>
      </w:r>
    </w:p>
    <w:p>
      <w:pPr>
        <w:pStyle w:val="ListBullet"/>
        <w:spacing w:after="20"/>
      </w:pPr>
      <w:r>
        <w:t>Mobile/browser bundles never receive server secrets; sensitive local mobile data uses secure encrypted storage.</w:t>
      </w:r>
    </w:p>
    <w:p>
      <w:pPr>
        <w:pStyle w:val="ListBullet"/>
        <w:spacing w:after="20"/>
      </w:pPr>
      <w:r>
        <w:t>Document/object download uses short-lived authorized grants rather than public URLs.</w:t>
      </w:r>
    </w:p>
    <w:p>
      <w:pPr>
        <w:pStyle w:val="Heading1"/>
      </w:pPr>
      <w:r>
        <w:t>14. External Integration Anti-corruption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External form</w:t>
            </w:r>
          </w:p>
        </w:tc>
        <w:tc>
          <w:tcPr>
            <w:tcW w:type="dxa" w:w="820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Internal rule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FHIR resource/profile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Map through adapter to canonical patient/clinical/order/report concepts; keep external version metadata.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NHCX/payer schema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Map into Coverage/Preauth/Claim aggregates and workflow; external status never writes database directly.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DICOM/PACS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Map identifiers/metadata; image authority remains PACS/object system.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HL7 v2/vendor message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Parse/validate/quarantine then invoke canonical application use case.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Analyzer/device telemetry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Normalize units/device identity/source quality before clinical/IoT ingestion.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ERP/accounting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Exchange postings/master mappings with source IDs and reconciliation.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Payment gateway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Use token/reference/callback; never store raw prohibited payment credentials.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SCADA protocol</w:t>
            </w:r>
          </w:p>
        </w:tc>
        <w:tc>
          <w:tcPr>
            <w:tcW w:type="dxa" w:w="820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Edge normalizes points; cloud domain does not speak raw fieldbus protocol.</w:t>
            </w:r>
          </w:p>
        </w:tc>
      </w:tr>
    </w:tbl>
    <w:p>
      <w:pPr>
        <w:pStyle w:val="Heading1"/>
      </w:pPr>
      <w:r>
        <w:t>15. Security Threat Model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Threat</w:t>
            </w:r>
          </w:p>
        </w:tc>
        <w:tc>
          <w:tcPr>
            <w:tcW w:type="dxa" w:w="388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Failure mode</w:t>
            </w:r>
          </w:p>
        </w:tc>
        <w:tc>
          <w:tcPr>
            <w:tcW w:type="dxa" w:w="475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2"/>
              </w:rPr>
              <w:t>Primary mitigations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Cross-tenant data access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IDOR, missing tenant filter, cache leakage.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Server authorization, repository tenant binding, negative tests, audit.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Account takeover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Credential theft, token replay.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MFA, short-lived sessions, device/session management, anomaly detection.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Privilege escalation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Overbroad role/support/admin.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ABAC, JIT/PAM, SoD, access reviews.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Clinical tampering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Unauthorized note/order/result modification.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Sign/finalize state, immutable audit, amendment rules.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Duplicate transaction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Retry creates duplicate payment/order/claim.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Idempotency keys, unique constraints, inbox/outbox.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Supply-chain compromise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Malicious dependency/build artifact.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SCA/SBOM/signing/provenance/protected CI.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Ransomware/data loss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Encrypted/erased production.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Immutable backups, segmented recovery, restore drills.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PHI leakage in telemetry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Logs/traces contain sensitive payloads.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Central redaction, safe logging helpers, security review.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AI leakage/hallucination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External model receives PHI or unsafe suggestion.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AI gateway policy, redaction, model governance, human confirmation.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OT compromise</w:t>
            </w:r>
          </w:p>
        </w:tc>
        <w:tc>
          <w:tcPr>
            <w:tcW w:type="dxa" w:w="388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Internet-to-controller path, unsafe remote command.</w:t>
            </w:r>
          </w:p>
        </w:tc>
        <w:tc>
          <w:tcPr>
            <w:tcW w:type="dxa" w:w="47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2"/>
              </w:rPr>
              <w:t>OT segmentation, read-only default, local interlocks, separate command approval.</w:t>
            </w:r>
          </w:p>
        </w:tc>
      </w:tr>
    </w:tbl>
    <w:p>
      <w:pPr>
        <w:pStyle w:val="Heading1"/>
      </w:pPr>
      <w:r>
        <w:t>16. Engineering Contract Checklists</w:t>
      </w:r>
    </w:p>
    <w:p>
      <w:pPr>
        <w:pStyle w:val="Heading2"/>
      </w:pPr>
      <w:r>
        <w:t>16.1 New Bounded Context Checklist</w:t>
      </w:r>
    </w:p>
    <w:p>
      <w:pPr>
        <w:pStyle w:val="ListNumber"/>
        <w:spacing w:after="20"/>
      </w:pPr>
      <w:r>
        <w:t>Name the context, owner and authoritative aggregates.</w:t>
      </w:r>
    </w:p>
    <w:p>
      <w:pPr>
        <w:pStyle w:val="ListNumber"/>
        <w:spacing w:after="20"/>
      </w:pPr>
      <w:r>
        <w:t>Define canonical IDs and external identifiers.</w:t>
      </w:r>
    </w:p>
    <w:p>
      <w:pPr>
        <w:pStyle w:val="ListNumber"/>
        <w:spacing w:after="20"/>
      </w:pPr>
      <w:r>
        <w:t>Define state machines and invariants.</w:t>
      </w:r>
    </w:p>
    <w:p>
      <w:pPr>
        <w:pStyle w:val="ListNumber"/>
        <w:spacing w:after="20"/>
      </w:pPr>
      <w:r>
        <w:t>Define PostgreSQL schema/tables and repository ports.</w:t>
      </w:r>
    </w:p>
    <w:p>
      <w:pPr>
        <w:pStyle w:val="ListNumber"/>
        <w:spacing w:after="20"/>
      </w:pPr>
      <w:r>
        <w:t>Define Protobuf service/RPCs and errors.</w:t>
      </w:r>
    </w:p>
    <w:p>
      <w:pPr>
        <w:pStyle w:val="ListNumber"/>
        <w:spacing w:after="20"/>
      </w:pPr>
      <w:r>
        <w:t>Define domain events/outbox semantics.</w:t>
      </w:r>
    </w:p>
    <w:p>
      <w:pPr>
        <w:pStyle w:val="ListNumber"/>
        <w:spacing w:after="20"/>
      </w:pPr>
      <w:r>
        <w:t>Classify data and define RBAC/ABAC policies.</w:t>
      </w:r>
    </w:p>
    <w:p>
      <w:pPr>
        <w:pStyle w:val="ListNumber"/>
        <w:spacing w:after="20"/>
      </w:pPr>
      <w:r>
        <w:t>Define external adapters and source-of-truth boundaries.</w:t>
      </w:r>
    </w:p>
    <w:p>
      <w:pPr>
        <w:pStyle w:val="ListNumber"/>
        <w:spacing w:after="20"/>
      </w:pPr>
      <w:r>
        <w:t>Define audit/provenance and retention.</w:t>
      </w:r>
    </w:p>
    <w:p>
      <w:pPr>
        <w:pStyle w:val="ListNumber"/>
        <w:spacing w:after="20"/>
      </w:pPr>
      <w:r>
        <w:t>Define test and SLO/criticality profile.</w:t>
      </w:r>
    </w:p>
    <w:p>
      <w:pPr>
        <w:pStyle w:val="Heading2"/>
      </w:pPr>
      <w:r>
        <w:t>16.2 New API Checklist</w:t>
      </w:r>
    </w:p>
    <w:p>
      <w:pPr>
        <w:pStyle w:val="ListNumber"/>
        <w:spacing w:after="20"/>
      </w:pPr>
      <w:r>
        <w:t>Trace to SRS requirement/use case.</w:t>
      </w:r>
    </w:p>
    <w:p>
      <w:pPr>
        <w:pStyle w:val="ListNumber"/>
        <w:spacing w:after="20"/>
      </w:pPr>
      <w:r>
        <w:t>Select command vs query and owning service.</w:t>
      </w:r>
    </w:p>
    <w:p>
      <w:pPr>
        <w:pStyle w:val="ListNumber"/>
        <w:spacing w:after="20"/>
      </w:pPr>
      <w:r>
        <w:t>Define authorization attributes and purpose.</w:t>
      </w:r>
    </w:p>
    <w:p>
      <w:pPr>
        <w:pStyle w:val="ListNumber"/>
        <w:spacing w:after="20"/>
      </w:pPr>
      <w:r>
        <w:t>Define idempotency/concurrency behavior.</w:t>
      </w:r>
    </w:p>
    <w:p>
      <w:pPr>
        <w:pStyle w:val="ListNumber"/>
        <w:spacing w:after="20"/>
      </w:pPr>
      <w:r>
        <w:t>Define typed validation and error details.</w:t>
      </w:r>
    </w:p>
    <w:p>
      <w:pPr>
        <w:pStyle w:val="ListNumber"/>
        <w:spacing w:after="20"/>
      </w:pPr>
      <w:r>
        <w:t>Define audit/event side effects.</w:t>
      </w:r>
    </w:p>
    <w:p>
      <w:pPr>
        <w:pStyle w:val="ListNumber"/>
        <w:spacing w:after="20"/>
      </w:pPr>
      <w:r>
        <w:t>Define compatibility/versioning and generated clients.</w:t>
      </w:r>
    </w:p>
    <w:p>
      <w:pPr>
        <w:pStyle w:val="ListNumber"/>
        <w:spacing w:after="20"/>
      </w:pPr>
      <w:r>
        <w:t>Add contract/security/tenant-isolation tests.</w:t>
      </w:r>
    </w:p>
    <w:p>
      <w:pPr>
        <w:pStyle w:val="Heading1"/>
      </w:pPr>
      <w:r>
        <w:t>17. Architecture Fitness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152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Test</w:t>
            </w:r>
          </w:p>
        </w:tc>
        <w:tc>
          <w:tcPr>
            <w:tcW w:type="dxa" w:w="9648"/>
            <w:shd w:fill="D9EAF7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4"/>
            </w:pPr>
            <w:r>
              <w:rPr>
                <w:b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FIT-01</w:t>
            </w:r>
          </w:p>
        </w:tc>
        <w:tc>
          <w:tcPr>
            <w:tcW w:type="dxa" w:w="9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Domain packages cannot import sqlc/database/network/cloud SDK packages.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FIT-02</w:t>
            </w:r>
          </w:p>
        </w:tc>
        <w:tc>
          <w:tcPr>
            <w:tcW w:type="dxa" w:w="9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Only context-owned repository package can execute SQL against its schema.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FIT-03</w:t>
            </w:r>
          </w:p>
        </w:tc>
        <w:tc>
          <w:tcPr>
            <w:tcW w:type="dxa" w:w="9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Every tenant-owned repository method requires verified tenant scope.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FIT-04</w:t>
            </w:r>
          </w:p>
        </w:tc>
        <w:tc>
          <w:tcPr>
            <w:tcW w:type="dxa" w:w="9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Proto breaking-change CI check passes.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FIT-05</w:t>
            </w:r>
          </w:p>
        </w:tc>
        <w:tc>
          <w:tcPr>
            <w:tcW w:type="dxa" w:w="9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Every state-changing use case can emit outbox within same transaction where events are required.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FIT-06</w:t>
            </w:r>
          </w:p>
        </w:tc>
        <w:tc>
          <w:tcPr>
            <w:tcW w:type="dxa" w:w="9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No production log statement serializes full request/response message by default.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FIT-07</w:t>
            </w:r>
          </w:p>
        </w:tc>
        <w:tc>
          <w:tcPr>
            <w:tcW w:type="dxa" w:w="9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External API resource families have cross-tenant negative tests.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FIT-08</w:t>
            </w:r>
          </w:p>
        </w:tc>
        <w:tc>
          <w:tcPr>
            <w:tcW w:type="dxa" w:w="9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Signed/finalized clinical records have no generic update/delete repository method.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FIT-09</w:t>
            </w:r>
          </w:p>
        </w:tc>
        <w:tc>
          <w:tcPr>
            <w:tcW w:type="dxa" w:w="9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Financial/inventory ledgers use reversal/movement semantics rather than mutable balance-only history.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FIT-10</w:t>
            </w:r>
          </w:p>
        </w:tc>
        <w:tc>
          <w:tcPr>
            <w:tcW w:type="dxa" w:w="9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AI client imports are confined to AI gateway/approved adapter modules.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FIT-11</w:t>
            </w:r>
          </w:p>
        </w:tc>
        <w:tc>
          <w:tcPr>
            <w:tcW w:type="dxa" w:w="9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Raw SCADA protocol client libraries remain in edge/OT adapter packages.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FIT-12</w:t>
            </w:r>
          </w:p>
        </w:tc>
        <w:tc>
          <w:tcPr>
            <w:tcW w:type="dxa" w:w="964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3"/>
            </w:pPr>
            <w:r>
              <w:rPr>
                <w:sz w:val="13"/>
              </w:rPr>
              <w:t>Every external adapter exposes correlation/retry/health metrics.</w:t>
            </w:r>
          </w:p>
        </w:tc>
      </w:tr>
    </w:tbl>
    <w:p>
      <w:pPr>
        <w:pStyle w:val="Heading1"/>
      </w:pPr>
      <w:r>
        <w:t>18. Definition of Done for this Specification</w:t>
      </w:r>
    </w:p>
    <w:p>
      <w:pPr>
        <w:pStyle w:val="ListBullet"/>
        <w:spacing w:after="20"/>
      </w:pPr>
      <w:r>
        <w:t>Wave-0/1 contexts have named ownership and no ambiguous source-of-truth fields.</w:t>
      </w:r>
    </w:p>
    <w:p>
      <w:pPr>
        <w:pStyle w:val="ListBullet"/>
        <w:spacing w:after="20"/>
      </w:pPr>
      <w:r>
        <w:t>Canonical entity and identifier rules are implemented in shared engineering conventions.</w:t>
      </w:r>
    </w:p>
    <w:p>
      <w:pPr>
        <w:pStyle w:val="ListBullet"/>
        <w:spacing w:after="20"/>
      </w:pPr>
      <w:r>
        <w:t>Proto/API/event/error/idempotency standards are enforced by templates and CI.</w:t>
      </w:r>
    </w:p>
    <w:p>
      <w:pPr>
        <w:pStyle w:val="ListBullet"/>
        <w:spacing w:after="20"/>
      </w:pPr>
      <w:r>
        <w:t>Tenant isolation and RBAC/ABAC context are implemented before feature teams access PHI.</w:t>
      </w:r>
    </w:p>
    <w:p>
      <w:pPr>
        <w:pStyle w:val="ListBullet"/>
        <w:spacing w:after="20"/>
      </w:pPr>
      <w:r>
        <w:t>Database migrations/sqlc repositories follow ownership and transaction rules.</w:t>
      </w:r>
    </w:p>
    <w:p>
      <w:pPr>
        <w:pStyle w:val="ListBullet"/>
        <w:spacing w:after="20"/>
      </w:pPr>
      <w:r>
        <w:t>Architecture fitness tests run continuously and deviations require ADR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| v1.0 | September 2026 | </w:t>
    </w: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Domain, Data, API, Event &amp; Security Architecture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85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4E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A5C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8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PLATFORM
DOMAIN, DATA, API, EVENT &amp; SECURITY ARCHITECTURE SPECIFICATION</dc:title>
  <dc:subject/>
  <dc:creator>P9e Microsystems Private Limited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