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ENGINEERING ARCHITECTURE BLUEPRINT</w:t>
      </w:r>
    </w:p>
    <w:p>
      <w:pPr>
        <w:jc w:val="center"/>
      </w:pPr>
      <w:r>
        <w:rPr>
          <w:b/>
          <w:sz w:val="24"/>
        </w:rPr>
        <w:br/>
        <w:t>Pre-development Architecture Baseline</w:t>
      </w:r>
    </w:p>
    <w:p>
      <w:pPr>
        <w:jc w:val="center"/>
      </w:pPr>
      <w:r>
        <w:br/>
        <w:t>Go | Protobuf/ConnectRPC |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Purpose, Scope and Architectural Baseline</w:t>
      </w:r>
    </w:p>
    <w:p>
      <w:r>
        <w:t>This blueprint converts the Master DPR, eight SRS phases and Master Index &amp; Traceability Specification into an executable technical architecture. It establishes the decisions that must be common across teams before production feature development begins, while deliberately leaving feature-level schemas and screen details to just-in-time design.</w:t>
      </w:r>
    </w:p>
    <w:p>
      <w:pPr>
        <w:pStyle w:val="ListBullet"/>
        <w:spacing w:after="20"/>
      </w:pPr>
      <w:r>
        <w:t>Primary implementation model: modular-monolith-first for transactional healthcare domains, with independently deployable services only where scale, isolation, security boundary or operational ownership justifies them.</w:t>
      </w:r>
    </w:p>
    <w:p>
      <w:pPr>
        <w:pStyle w:val="ListBullet"/>
        <w:spacing w:after="20"/>
      </w:pPr>
      <w:r>
        <w:t>Backend: Go, Protobuf-first contracts, ConnectRPC, Clean Architecture, sqlc and PostgreSQL.</w:t>
      </w:r>
    </w:p>
    <w:p>
      <w:pPr>
        <w:pStyle w:val="ListBullet"/>
        <w:spacing w:after="20"/>
      </w:pPr>
      <w:r>
        <w:t>Web: Svelte/SvelteKit + TypeScript. Mobile/field: Flutter. AI/ML: Rust services behind an AI gateway.</w:t>
      </w:r>
    </w:p>
    <w:p>
      <w:pPr>
        <w:pStyle w:val="ListBullet"/>
        <w:spacing w:after="20"/>
      </w:pPr>
      <w:r>
        <w:t>Integration: transactional outbox/inbox, durable workflow orchestration and versioned adapter layer.</w:t>
      </w:r>
    </w:p>
    <w:p>
      <w:pPr>
        <w:pStyle w:val="ListBullet"/>
        <w:spacing w:after="20"/>
      </w:pPr>
      <w:r>
        <w:t>Multi-tenancy, auditability, clinical safety, security and downtime continuity are architecture properties, not later add-ons.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Source</w:t>
            </w:r>
          </w:p>
        </w:tc>
        <w:tc>
          <w:tcPr>
            <w:tcW w:type="dxa" w:w="74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Role in this blueprint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Expanded Master DPR v2.0</w:t>
            </w:r>
          </w:p>
        </w:tc>
        <w:tc>
          <w:tcPr>
            <w:tcW w:type="dxa" w:w="74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Product/business scope, architecture principles and program outcomes.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Master SRS Phases 1–8</w:t>
            </w:r>
          </w:p>
        </w:tc>
        <w:tc>
          <w:tcPr>
            <w:tcW w:type="dxa" w:w="74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3,132 atomic functional/non-functional requirements.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Master Index &amp; Traceability v1.0</w:t>
            </w:r>
          </w:p>
        </w:tc>
        <w:tc>
          <w:tcPr>
            <w:tcW w:type="dxa" w:w="74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Canonical namespaces, bounded-context ownership and release/test traceability.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This document</w:t>
            </w:r>
          </w:p>
        </w:tc>
        <w:tc>
          <w:tcPr>
            <w:tcW w:type="dxa" w:w="74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4"/>
              </w:rPr>
              <w:t>Technical runtime/deployment architecture and engineering constraints.</w:t>
            </w:r>
          </w:p>
        </w:tc>
      </w:tr>
    </w:tbl>
    <w:p>
      <w:pPr>
        <w:pStyle w:val="Heading1"/>
      </w:pPr>
      <w:r>
        <w:t>2. Architecture Drivers and Quality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Driver</w:t>
            </w:r>
          </w:p>
        </w:tc>
        <w:tc>
          <w:tcPr>
            <w:tcW w:type="dxa" w:w="84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Architecture consequence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safety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optional platform component, AI model or external integration may become a hidden single point of clinical failure.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Correctness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Medication, billing, inventory, claims and clinical history require deterministic transaction and audit semantics.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isolation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request, event, job, cache entry, object and query must carry enforceable tenant scope.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Configurability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Specialty packs, forms, rules, workflows, tariffs, payer rules and country behavior are versioned configuration—not source-code forks.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Interoperability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FHIR/ABDM, NHCX, DICOM, HL7/device, ERP/payment and OT protocols remain isolated behind adapters.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Resilience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Core hospital workflows continue in degraded/offline modes according to service tier.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Scale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Architecture must support a clinic, a multi-hospital group and network-scale diagnostics/pharma without redesigning identity or contracts.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Operability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service exposes telemetry, health, SLO ownership, runbook links and release provenance.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Evolution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Boundaries and contracts support later extraction to services without premature distributed complexity.</w:t>
            </w:r>
          </w:p>
        </w:tc>
      </w:tr>
    </w:tbl>
    <w:p>
      <w:pPr>
        <w:pStyle w:val="Heading1"/>
      </w:pPr>
      <w:r>
        <w:t>3.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66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Platform logical architecture layers</w:t>
      </w:r>
    </w:p>
    <w:p>
      <w:pPr>
        <w:pStyle w:val="Heading2"/>
      </w:pPr>
      <w:r>
        <w:t>3.1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Layer</w:t>
            </w:r>
          </w:p>
        </w:tc>
        <w:tc>
          <w:tcPr>
            <w:tcW w:type="dxa" w:w="50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Responsibilities</w:t>
            </w:r>
          </w:p>
        </w:tc>
        <w:tc>
          <w:tcPr>
            <w:tcW w:type="dxa" w:w="403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Must not own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Experience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Role workspaces, patient/field apps, interaction state, accessibility, local offline UX.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Business truth, cross-tenant authorization decisions.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Edge &amp; Access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WAF, gateway, auth/session edge, hospital edge services, device/SCADA gateways.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or financial domain decisions.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Application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cases, transaction boundaries, orchestration, permissions, idempotency.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Transport-specific DTO leakage into domain.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Domain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Aggregates, invariants, value objects, policies and deterministic rules.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SQL, HTTP, RPC, cloud SDK dependencies.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Persistence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Repositories, sqlc, PostgreSQL, cache/object/search adapters.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Cross-domain writes.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Async/Data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Outbox/inbox, event bus, workflow, CDC, analytics/lakehouse.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Transactional source-of-truth mutation outside owner.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Deployment, secrets, observability, CI/CD, backup/DR, security operations.</w:t>
            </w:r>
          </w:p>
        </w:tc>
        <w:tc>
          <w:tcPr>
            <w:tcW w:type="dxa" w:w="40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Healthcare domain semantics.</w:t>
            </w:r>
          </w:p>
        </w:tc>
      </w:tr>
    </w:tbl>
    <w:p>
      <w:pPr>
        <w:pStyle w:val="Heading1"/>
      </w:pPr>
      <w:r>
        <w:t>4. Backend Architecture: Go Clean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158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5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2. Standard synchronous request path</w:t>
      </w:r>
    </w:p>
    <w:p>
      <w:pPr>
        <w:pStyle w:val="Heading2"/>
      </w:pPr>
      <w:r>
        <w:t>4.1 Standard Package Shape</w:t>
      </w:r>
    </w:p>
    <w:p>
      <w:r>
        <w:t>Every bounded context follows one predictable package structure. Teams may add subpackages, but may not invert the dependency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Package</w:t>
            </w:r>
          </w:p>
        </w:tc>
        <w:tc>
          <w:tcPr>
            <w:tcW w:type="dxa" w:w="460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Typical content</w:t>
            </w:r>
          </w:p>
        </w:tc>
        <w:tc>
          <w:tcPr>
            <w:tcW w:type="dxa" w:w="360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Dependency rule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/proto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Canonical protobuf contracts and generated code.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 domain implementation.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/internal/&lt;context&gt;/transport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ConnectRPC handlers, request validation, auth-context extraction.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Depends on application interfaces only.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/internal/&lt;context&gt;/application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Commands/queries/use cases, transactions, authorization, orchestration.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Depends on domain + repository interfaces.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/internal/&lt;context&gt;/domain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Aggregates, value objects, invariants, domain services/events.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Pure Go; no database/network/cloud imports.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/internal/&lt;context&gt;/ports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Repository, clock, event publisher and external-service interfaces.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Interfaces defined from domain/application needs.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/internal/&lt;context&gt;/adapters/postgres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sqlc repository implementations and transaction adapters.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Implements ports; owns SQL for its context.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/internal/&lt;context&gt;/adapters/external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FHIR, payment, payer, vendor/device clients.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Versioned anti-corruption layer.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/internal/platform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Shared technical primitives only.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Must not become dumping ground for domain logic.</w:t>
            </w:r>
          </w:p>
        </w:tc>
      </w:tr>
    </w:tbl>
    <w:p>
      <w:pPr>
        <w:pStyle w:val="Heading2"/>
      </w:pPr>
      <w:r>
        <w:t>4.2 Transaction Boundaries</w:t>
      </w:r>
    </w:p>
    <w:p>
      <w:pPr>
        <w:pStyle w:val="ListBullet"/>
        <w:spacing w:after="20"/>
      </w:pPr>
      <w:r>
        <w:t>Application use case owns the transaction boundary; handler never begins business transactions.</w:t>
      </w:r>
    </w:p>
    <w:p>
      <w:pPr>
        <w:pStyle w:val="ListBullet"/>
        <w:spacing w:after="20"/>
      </w:pPr>
      <w:r>
        <w:t>One database transaction may modify only aggregates/tables owned by the same bounded context unless a formally reviewed shared-kernel exception exists.</w:t>
      </w:r>
    </w:p>
    <w:p>
      <w:pPr>
        <w:pStyle w:val="ListBullet"/>
        <w:spacing w:after="20"/>
      </w:pPr>
      <w:r>
        <w:t>Cross-context work uses service calls, workflow orchestration or events; no distributed transaction coordinator.</w:t>
      </w:r>
    </w:p>
    <w:p>
      <w:pPr>
        <w:pStyle w:val="ListBullet"/>
        <w:spacing w:after="20"/>
      </w:pPr>
      <w:r>
        <w:t>State change and outbox event are committed atomically.</w:t>
      </w:r>
    </w:p>
    <w:p>
      <w:pPr>
        <w:pStyle w:val="ListBullet"/>
        <w:spacing w:after="20"/>
      </w:pPr>
      <w:r>
        <w:t>Retries require idempotency keys for create/payment/order/claim/fulfilment operations.</w:t>
      </w:r>
    </w:p>
    <w:p>
      <w:pPr>
        <w:pStyle w:val="Heading1"/>
      </w:pPr>
      <w:r>
        <w:t>5. Service Decomposition Strategy</w:t>
      </w:r>
    </w:p>
    <w:p>
      <w:r>
        <w:t>The platform begins as a small number of deployable Go applications containing multiple strongly separated bounded-context modules. Extraction into independent services occurs only when a measurable driver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Initial deployable</w:t>
            </w:r>
          </w:p>
        </w:tc>
        <w:tc>
          <w:tcPr>
            <w:tcW w:type="dxa" w:w="518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Contained contexts</w:t>
            </w:r>
          </w:p>
        </w:tc>
        <w:tc>
          <w:tcPr>
            <w:tcW w:type="dxa" w:w="345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Extraction triggers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core-hospital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Identity, patient/EMPI, scheduling, encounter, clinical core, nursing, orders, medication, billing.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Independent scale, compliance boundary, team ownership or failure isolation.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hospital-ops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ER, ICU, OT, anesthesia, blood, CSSD, materials, biomedical, QMS, IPC, HIM and support services.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High-volume device/ops load or operational ownership.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diagnostics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LIS, microbiology, histopathology, molecular, imaging orchestration.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Analyzer/PACS isolation, throughput, regulated validation boundary.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pharma-network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Pharmacy, pharma commerce, warehouse, distribution, logistics.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Network scale and independent release cadence.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payer-patient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Insurance/TPA, patient app APIs, PHR, telehealth, home care, RPM.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Internet-facing scale and external ecosystem isolation.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enterprise-platform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Workflow, rules, forms, terminology, AI gateway, analytics control, developer platform.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Platform-wide scaling and distinct SRE ownership.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enterprise-business</w:t>
            </w:r>
          </w:p>
        </w:tc>
        <w:tc>
          <w:tcPr>
            <w:tcW w:type="dxa" w:w="51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Finance, CRM, legal/GRC, research, academics, SaaS control plane.</w:t>
            </w:r>
          </w:p>
        </w:tc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Commercial/administrative ownership.</w:t>
            </w:r>
          </w:p>
        </w:tc>
      </w:tr>
    </w:tbl>
    <w:p>
      <w:pPr>
        <w:pStyle w:val="Heading2"/>
      </w:pPr>
      <w:r>
        <w:t>5.1 Extraction Rule</w:t>
      </w:r>
    </w:p>
    <w:p>
      <w:r>
        <w:t>A module is not extracted because it “sounds like a microservice.” Extraction requires at least one documented driver: incompatible scale profile, independent security/compliance boundary, high blast radius, separate data residency requirement, operational ownership, or release-cadence conflict. The canonical Protobuf contract and outbox/event boundary should make extraction possible later.</w:t>
      </w:r>
    </w:p>
    <w:p>
      <w:pPr>
        <w:pStyle w:val="Heading1"/>
      </w:pPr>
      <w:r>
        <w:t>6. Svelte/SvelteKit Web Architecture</w:t>
      </w:r>
    </w:p>
    <w:p>
      <w:pPr>
        <w:pStyle w:val="ListBullet"/>
        <w:spacing w:after="20"/>
      </w:pPr>
      <w:r>
        <w:t>SvelteKit is the standard for all browser applications and role workspaces; TypeScript strict mode is mandatory.</w:t>
      </w:r>
    </w:p>
    <w:p>
      <w:pPr>
        <w:pStyle w:val="ListBullet"/>
        <w:spacing w:after="20"/>
      </w:pPr>
      <w:r>
        <w:t>Workspace shells are role/context aware, but authorization is always enforced server-side.</w:t>
      </w:r>
    </w:p>
    <w:p>
      <w:pPr>
        <w:pStyle w:val="ListBullet"/>
        <w:spacing w:after="20"/>
      </w:pPr>
      <w:r>
        <w:t>Generated ConnectRPC/Protobuf TypeScript clients are the default domain API client; direct ad-hoc REST calls are restricted to approved external gateways.</w:t>
      </w:r>
    </w:p>
    <w:p>
      <w:pPr>
        <w:pStyle w:val="ListBullet"/>
        <w:spacing w:after="20"/>
      </w:pPr>
      <w:r>
        <w:t>UI feature modules align with bounded contexts and shared design-system primitives.</w:t>
      </w:r>
    </w:p>
    <w:p>
      <w:pPr>
        <w:pStyle w:val="ListBullet"/>
        <w:spacing w:after="20"/>
      </w:pPr>
      <w:r>
        <w:t>Server load functions/actions may handle session bootstrap and safe BFF-like composition, but must not duplicate domain rules.</w:t>
      </w:r>
    </w:p>
    <w:p>
      <w:pPr>
        <w:pStyle w:val="ListBullet"/>
        <w:spacing w:after="20"/>
      </w:pPr>
      <w:r>
        <w:t>Query caching must include tenant/user/context keys and explicit freshness/invalidation semantics.</w:t>
      </w:r>
    </w:p>
    <w:p>
      <w:pPr>
        <w:pStyle w:val="ListBullet"/>
        <w:spacing w:after="20"/>
      </w:pPr>
      <w:r>
        <w:t>Clinical forms use governed schema-renderer components when configured through the low-code form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Web layer</w:t>
            </w:r>
          </w:p>
        </w:tc>
        <w:tc>
          <w:tcPr>
            <w:tcW w:type="dxa" w:w="432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Examples</w:t>
            </w:r>
          </w:p>
        </w:tc>
        <w:tc>
          <w:tcPr>
            <w:tcW w:type="dxa" w:w="446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 shell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Navigation, patient/context banner, notifications, task tray.</w:t>
            </w:r>
          </w:p>
        </w:tc>
        <w:tc>
          <w:tcPr>
            <w:tcW w:type="dxa" w:w="44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domain-specific persistence.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feature routes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/patients, /encounters, /lab, /pharmacy, /claims, /scada.</w:t>
            </w:r>
          </w:p>
        </w:tc>
        <w:tc>
          <w:tcPr>
            <w:tcW w:type="dxa" w:w="44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Own presentation and feature composition.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generated clients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ConnectRPC clients and DTO adapters.</w:t>
            </w:r>
          </w:p>
        </w:tc>
        <w:tc>
          <w:tcPr>
            <w:tcW w:type="dxa" w:w="44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Version controlled; no handwritten wire types.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design system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Form, grid, timeline, status, command palette, modal, alerts.</w:t>
            </w:r>
          </w:p>
        </w:tc>
        <w:tc>
          <w:tcPr>
            <w:tcW w:type="dxa" w:w="44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Accessible and shared.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state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Local UI state + approved server/query cache.</w:t>
            </w:r>
          </w:p>
        </w:tc>
        <w:tc>
          <w:tcPr>
            <w:tcW w:type="dxa" w:w="44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hidden authoritative business state.</w:t>
            </w:r>
          </w:p>
        </w:tc>
      </w:tr>
    </w:tbl>
    <w:p>
      <w:pPr>
        <w:pStyle w:val="Heading1"/>
      </w:pPr>
      <w:r>
        <w:t>7. Flutter Mobile and Field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Application</w:t>
            </w:r>
          </w:p>
        </w:tc>
        <w:tc>
          <w:tcPr>
            <w:tcW w:type="dxa" w:w="48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Primary functions</w:t>
            </w:r>
          </w:p>
        </w:tc>
        <w:tc>
          <w:tcPr>
            <w:tcW w:type="dxa" w:w="38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Offline posture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app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Appointments, journey, PHR, pharmacy/diagnostics, insurance, payments, telehealth, RPM.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Read cache + explicitly supported queued actions only.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Home-care app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Assigned visits, identity verification, observations, procedures, consumables, handover.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Encrypted offline visit package + conflict-aware sync.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Collection/field app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Home diagnostic collection, barcode chain-of-custody.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 manifest and scan queue.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Delivery app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Pickup/handoff/POD, cold-chain exceptions.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 job status queue with server reconciliation.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Optional staff app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Tasks/alerts/approvals where mobile adds value.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unrestricted bulk clinical cache.</w:t>
            </w:r>
          </w:p>
        </w:tc>
      </w:tr>
    </w:tbl>
    <w:p>
      <w:pPr>
        <w:pStyle w:val="ListBullet"/>
        <w:spacing w:after="20"/>
      </w:pPr>
      <w:r>
        <w:t>Flutter clients use generated API models/clients and shared auth/session SDK.</w:t>
      </w:r>
    </w:p>
    <w:p>
      <w:pPr>
        <w:pStyle w:val="ListBullet"/>
        <w:spacing w:after="20"/>
      </w:pPr>
      <w:r>
        <w:t>Sensitive local storage uses platform secure storage and encrypted databases where necessary.</w:t>
      </w:r>
    </w:p>
    <w:p>
      <w:pPr>
        <w:pStyle w:val="ListBullet"/>
        <w:spacing w:after="20"/>
      </w:pPr>
      <w:r>
        <w:t>Offline mutations are supported only when server reconciliation semantics are specified in the feature design.</w:t>
      </w:r>
    </w:p>
    <w:p>
      <w:pPr>
        <w:pStyle w:val="ListBullet"/>
        <w:spacing w:after="20"/>
      </w:pPr>
      <w:r>
        <w:t>A caregiver/patient/tenant context indicator is always visible when actions can affect another person or facility.</w:t>
      </w:r>
    </w:p>
    <w:p>
      <w:pPr>
        <w:pStyle w:val="Heading1"/>
      </w:pPr>
      <w:r>
        <w:t>8. Rust AI/ML Architecture</w:t>
      </w:r>
    </w:p>
    <w:p>
      <w:r>
        <w:t>AI is a bounded platform capability, not a library embedded across Go services. Domain services call a governed AI gateway with structured intended-use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Component</w:t>
            </w:r>
          </w:p>
        </w:tc>
        <w:tc>
          <w:tcPr>
            <w:tcW w:type="dxa" w:w="792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Responsibility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AI Gateway (Go)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Authorization, minimization, model routing, timeout/fallback, provenance, policy enforcement.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Rust inference services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Low-latency inference, feature transformations, model runtime, deterministic preprocessing/postprocessing.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Model registry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Version, intended use, evaluation, approval, deployment, rollback and model cards.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Feature/data pipelines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 feature computation and curated training/evaluation datasets.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RAG/knowledge service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Access-aware retrieval from governed clinical/operational knowledge where applicable.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Human-review capture</w:t>
            </w:r>
          </w:p>
        </w:tc>
        <w:tc>
          <w:tcPr>
            <w:tcW w:type="dxa" w:w="79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Accept/reject/edit disposition to evaluate model quality and safety.</w:t>
            </w:r>
          </w:p>
        </w:tc>
      </w:tr>
    </w:tbl>
    <w:p>
      <w:pPr>
        <w:pStyle w:val="ListBullet"/>
        <w:spacing w:after="20"/>
      </w:pPr>
      <w:r>
        <w:t>No AI call is inside the atomic transaction path for core clinical/financial correctness.</w:t>
      </w:r>
    </w:p>
    <w:p>
      <w:pPr>
        <w:pStyle w:val="ListBullet"/>
        <w:spacing w:after="20"/>
      </w:pPr>
      <w:r>
        <w:t>Optional AI timeout produces deterministic fallback, not transaction failure.</w:t>
      </w:r>
    </w:p>
    <w:p>
      <w:pPr>
        <w:pStyle w:val="ListBullet"/>
        <w:spacing w:after="20"/>
      </w:pPr>
      <w:r>
        <w:t>External model providers require explicit PHI/data-processing approval; otherwise requests are redacted/tokenized or denied.</w:t>
      </w:r>
    </w:p>
    <w:p>
      <w:pPr>
        <w:pStyle w:val="ListBullet"/>
        <w:spacing w:after="20"/>
      </w:pPr>
      <w:r>
        <w:t>Generative output is draft/advisory until human confirmation for clinical, legal, financial or regulated actions.</w:t>
      </w:r>
    </w:p>
    <w:p>
      <w:pPr>
        <w:pStyle w:val="Heading1"/>
      </w:pPr>
      <w:r>
        <w:t>9. Persistence Architecture</w:t>
      </w:r>
    </w:p>
    <w:p>
      <w:pPr>
        <w:pStyle w:val="Heading2"/>
      </w:pPr>
      <w:r>
        <w:t>9.1 PostgreSQL</w:t>
      </w:r>
    </w:p>
    <w:p>
      <w:pPr>
        <w:pStyle w:val="ListBullet"/>
        <w:spacing w:after="20"/>
      </w:pPr>
      <w:r>
        <w:t>PostgreSQL is the authoritative OLTP store for core transactional domains.</w:t>
      </w:r>
    </w:p>
    <w:p>
      <w:pPr>
        <w:pStyle w:val="ListBullet"/>
        <w:spacing w:after="20"/>
      </w:pPr>
      <w:r>
        <w:t>sqlc is used for compile-time checked query generation; ORMs are not the default persistence abstraction.</w:t>
      </w:r>
    </w:p>
    <w:p>
      <w:pPr>
        <w:pStyle w:val="ListBullet"/>
        <w:spacing w:after="20"/>
      </w:pPr>
      <w:r>
        <w:t>Schema/table ownership follows bounded-context ownership. Direct cross-context writes are prohibited.</w:t>
      </w:r>
    </w:p>
    <w:p>
      <w:pPr>
        <w:pStyle w:val="ListBullet"/>
        <w:spacing w:after="20"/>
      </w:pPr>
      <w:r>
        <w:t>Tenant ID is present in all tenant-owned primary business tables and enforced in repository query patterns; selected deployments may add RLS as defense-in-depth.</w:t>
      </w:r>
    </w:p>
    <w:p>
      <w:pPr>
        <w:pStyle w:val="ListBullet"/>
        <w:spacing w:after="20"/>
      </w:pPr>
      <w:r>
        <w:t>UUID/ULID strategy, audit/version columns and status/state conventions are standardized in Document 2.</w:t>
      </w:r>
    </w:p>
    <w:p>
      <w:pPr>
        <w:pStyle w:val="ListBullet"/>
        <w:spacing w:after="20"/>
      </w:pPr>
      <w:r>
        <w:t>Append-only/immutable ledgers are used for inventory movement, financial posting, consent/disclosure, critical audit and event history where appropriate.</w:t>
      </w:r>
    </w:p>
    <w:p>
      <w:pPr>
        <w:pStyle w:val="Heading2"/>
      </w:pPr>
      <w:r>
        <w:t>9.2 Other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Store</w:t>
            </w:r>
          </w:p>
        </w:tc>
        <w:tc>
          <w:tcPr>
            <w:tcW w:type="dxa" w:w="460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Use</w:t>
            </w:r>
          </w:p>
        </w:tc>
        <w:tc>
          <w:tcPr>
            <w:tcW w:type="dxa" w:w="374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Not for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Redis-compatible cache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Ephemeral cache, locks/leases where justified, rate limits, transient session/query acceleration.</w:t>
            </w:r>
          </w:p>
        </w:tc>
        <w:tc>
          <w:tcPr>
            <w:tcW w:type="dxa" w:w="37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Clinical/financial source of truth.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S3-compatible object storage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Documents, images, exports, attachments, model artifacts.</w:t>
            </w:r>
          </w:p>
        </w:tc>
        <w:tc>
          <w:tcPr>
            <w:tcW w:type="dxa" w:w="37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Queryable transactional metadata.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OpenSearch/Elasticsearch-class search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Full-text/operational search and indexed discovery.</w:t>
            </w:r>
          </w:p>
        </w:tc>
        <w:tc>
          <w:tcPr>
            <w:tcW w:type="dxa" w:w="37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Authoritative record state.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Time-series historian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SCADA/IoT high-volume telemetry.</w:t>
            </w:r>
          </w:p>
        </w:tc>
        <w:tc>
          <w:tcPr>
            <w:tcW w:type="dxa" w:w="37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observations unless explicitly mapped to clinical domain.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Lakehouse/warehouse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Analytics, semantic metrics, ML features, research marts.</w:t>
            </w:r>
          </w:p>
        </w:tc>
        <w:tc>
          <w:tcPr>
            <w:tcW w:type="dxa" w:w="37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Transactional mutation.</w:t>
            </w:r>
          </w:p>
        </w:tc>
      </w:tr>
    </w:tbl>
    <w:p>
      <w:pPr>
        <w:pStyle w:val="Heading1"/>
      </w:pPr>
      <w:r>
        <w:t>10. Eventing, Workflow and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128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2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3. Transactional outbox and inbox event pattern</w:t>
      </w:r>
    </w:p>
    <w:p>
      <w:pPr>
        <w:pStyle w:val="Heading2"/>
      </w:pPr>
      <w:r>
        <w:t>10.1 Event Bus</w:t>
      </w:r>
    </w:p>
    <w:p>
      <w:r>
        <w:t>The baseline requires a durable event bus with partitioned ordering, consumer groups, replay and operational tooling. Kafka-compatible or NATS JetStream-class technology may be selected by ADR after benchmark/operational review. The domain contract must not depend on broker-specific APIs.</w:t>
      </w:r>
    </w:p>
    <w:p>
      <w:pPr>
        <w:pStyle w:val="ListBullet"/>
        <w:spacing w:after="20"/>
      </w:pPr>
      <w:r>
        <w:t>Events are facts in past tense, versioned and immutable after publication.</w:t>
      </w:r>
    </w:p>
    <w:p>
      <w:pPr>
        <w:pStyle w:val="ListBullet"/>
        <w:spacing w:after="20"/>
      </w:pPr>
      <w:r>
        <w:t>Event envelope includes event_id, event_type, schema_version, occurred_at, tenant_id, source, aggregate_type/id, correlation_id and causation_id.</w:t>
      </w:r>
    </w:p>
    <w:p>
      <w:pPr>
        <w:pStyle w:val="ListBullet"/>
        <w:spacing w:after="20"/>
      </w:pPr>
      <w:r>
        <w:t>Consumers use inbox/deduplication for side-effecting processing.</w:t>
      </w:r>
    </w:p>
    <w:p>
      <w:pPr>
        <w:pStyle w:val="ListBullet"/>
        <w:spacing w:after="20"/>
      </w:pPr>
      <w:r>
        <w:t>PII/PHI is minimized in event payloads; references are preferred when full content is unnecessary.</w:t>
      </w:r>
    </w:p>
    <w:p>
      <w:pPr>
        <w:pStyle w:val="Heading2"/>
      </w:pPr>
      <w:r>
        <w:t>10.2 Durable Workflow</w:t>
      </w:r>
    </w:p>
    <w:p>
      <w:r>
        <w:t>A durable workflow engine is used for long-running business processes such as claims, preauthorization, order fulfilment, onboarding, home care, delivery, migration and selected hospital operations. Workflow state never replaces the domain aggregate state.</w:t>
      </w:r>
    </w:p>
    <w:p>
      <w:pPr>
        <w:pStyle w:val="Heading2"/>
      </w:pPr>
      <w:r>
        <w:t>10.3 Rules Engine</w:t>
      </w:r>
    </w:p>
    <w:p>
      <w:r>
        <w:t>Deterministic configurable rules use versioned decision tables/expressions with simulation, approval and replay. Clinical rules require clinical ownership and evidence metadata. Commercial rules require business/finance ownership.</w:t>
      </w:r>
    </w:p>
    <w:p>
      <w:pPr>
        <w:pStyle w:val="Heading1"/>
      </w:pPr>
      <w:r>
        <w:t>11. External Integration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Integration family</w:t>
            </w:r>
          </w:p>
        </w:tc>
        <w:tc>
          <w:tcPr>
            <w:tcW w:type="dxa" w:w="360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Pattern</w:t>
            </w:r>
          </w:p>
        </w:tc>
        <w:tc>
          <w:tcPr>
            <w:tcW w:type="dxa" w:w="50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Architecture rule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FHIR/ABDM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Versioned adapter + canonical model mapper.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profile versions never become internal domain entities.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NHCX/payers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Async workflow + adapter + reconciliation.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Outage does not corrupt internal claim state.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DICOM/PACS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DICOM/DICOMweb adapter and PACS reference model.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PACS remains image authority; app stores metadata/report linkage.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HL7 v2/analyzers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Managed integration hub and message quarantine.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Every message traceable and replayable.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Payments/banks/ERP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Idempotent callbacks + reconciliation.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success is not trusted until internally correlated.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IoMT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Device gateway/vendor cloud adapter.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Device identity and patient-assignment interval mandatory.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SCADA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Edge gateway + OT DMZ.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 direct cloud connection to field controllers.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3PL/logistics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Delivery adapter and event callbacks.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Chain-of-custody remains internal source record.</w:t>
            </w:r>
          </w:p>
        </w:tc>
      </w:tr>
    </w:tbl>
    <w:p>
      <w:pPr>
        <w:pStyle w:val="Heading1"/>
      </w:pPr>
      <w:r>
        <w:t>12. SCADA, Edge and Hospital Local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65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6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4. Cloud, hospital edge and OT trust zones</w:t>
      </w:r>
    </w:p>
    <w:p>
      <w:pPr>
        <w:pStyle w:val="ListBullet"/>
        <w:spacing w:after="20"/>
      </w:pPr>
      <w:r>
        <w:t>Hospital edge is a separately deployable component for device connectivity, local buffering, printing/labeling and selected downtime functions.</w:t>
      </w:r>
    </w:p>
    <w:p>
      <w:pPr>
        <w:pStyle w:val="ListBullet"/>
        <w:spacing w:after="20"/>
      </w:pPr>
      <w:r>
        <w:t>SCADA gateways normalize BACnet, Modbus, OPC UA, MQTT and vendor protocols into a canonical telemetry/event model.</w:t>
      </w:r>
    </w:p>
    <w:p>
      <w:pPr>
        <w:pStyle w:val="ListBullet"/>
        <w:spacing w:after="20"/>
      </w:pPr>
      <w:r>
        <w:t>Cloud-to-OT control is read-only by default. Command-capable integrations require separate risk approval, authorization and local safety interlocks.</w:t>
      </w:r>
    </w:p>
    <w:p>
      <w:pPr>
        <w:pStyle w:val="ListBullet"/>
        <w:spacing w:after="20"/>
      </w:pPr>
      <w:r>
        <w:t>OT telemetry uses dedicated historian/time-series storage; selected alarms/events are projected into command-center read models.</w:t>
      </w:r>
    </w:p>
    <w:p>
      <w:pPr>
        <w:pStyle w:val="ListBullet"/>
        <w:spacing w:after="20"/>
      </w:pPr>
      <w:r>
        <w:t>WAN loss must not disable local plant safety or field controller operation.</w:t>
      </w:r>
    </w:p>
    <w:p>
      <w:pPr>
        <w:pStyle w:val="Heading1"/>
      </w:pPr>
      <w:r>
        <w:t>13. Deployment Architecture</w:t>
      </w:r>
    </w:p>
    <w:p>
      <w:pPr>
        <w:pStyle w:val="Heading2"/>
      </w:pPr>
      <w:r>
        <w:t>13.1 Kubernetes and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Runtime component</w:t>
            </w:r>
          </w:p>
        </w:tc>
        <w:tc>
          <w:tcPr>
            <w:tcW w:type="dxa" w:w="84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Baseline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Kubernetes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Managed Kubernetes for cloud deployments; namespace/environment separation; autoscaling for stateless workloads.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Ingress/API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WAF/CDN for public surfaces, internal gateway/service routing, mTLS/workload identity where appropriate.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Database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Managed PostgreSQL HA profile; PITR; read replicas for approved read workloads.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Object storage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Versioned encrypted buckets with lifecycle/retention policy.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Secrets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Central secrets/KMS; no secrets in Git, client bundles or config maps.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Event/Workflow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HA broker/workflow deployment with persistence and operational dashboards.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Observability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OpenTelemetry collector pipeline, metrics, logs, traces and alerting.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Edge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Containerized/local service bundle with secure enrollment and store-and-forward.</w:t>
            </w:r>
          </w:p>
        </w:tc>
      </w:tr>
    </w:tbl>
    <w:p>
      <w:pPr>
        <w:pStyle w:val="Heading2"/>
      </w:pPr>
      <w:r>
        <w:t>13.2 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Environment</w:t>
            </w:r>
          </w:p>
        </w:tc>
        <w:tc>
          <w:tcPr>
            <w:tcW w:type="dxa" w:w="38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Purpose</w:t>
            </w:r>
          </w:p>
        </w:tc>
        <w:tc>
          <w:tcPr>
            <w:tcW w:type="dxa" w:w="48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Data policy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Local developer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Unit/domain work, local dependencies.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Synthetic only.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Shared integration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Service integration and generated contracts.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Synthetic/anonymized.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QA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Functional/regression automation.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Synthetic curated datasets.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UAT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Customer/domain validation.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Masked/synthetic unless approved migration trial.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Performance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Load/soak/resilience.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Generated scale data.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Pre-production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Production-like release verification.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uncontrolled production PHI.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Production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Live tenant workloads.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Strict production controls.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DR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Recovery environment/profile.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Encrypted replicated/backup data per DR design.</w:t>
            </w:r>
          </w:p>
        </w:tc>
      </w:tr>
    </w:tbl>
    <w:p>
      <w:pPr>
        <w:pStyle w:val="Heading1"/>
      </w:pPr>
      <w:r>
        <w:t>14. Observability and SRE Architecture</w:t>
      </w:r>
    </w:p>
    <w:p>
      <w:pPr>
        <w:pStyle w:val="ListBullet"/>
        <w:spacing w:after="20"/>
      </w:pPr>
      <w:r>
        <w:t>OpenTelemetry is the standard instrumentation model for traces, metrics and structured logs.</w:t>
      </w:r>
    </w:p>
    <w:p>
      <w:pPr>
        <w:pStyle w:val="ListBullet"/>
        <w:spacing w:after="20"/>
      </w:pPr>
      <w:r>
        <w:t>Correlation/trace IDs propagate from browser/mobile through gateway, ConnectRPC, event, workflow and external adapter calls.</w:t>
      </w:r>
    </w:p>
    <w:p>
      <w:pPr>
        <w:pStyle w:val="ListBullet"/>
        <w:spacing w:after="20"/>
      </w:pPr>
      <w:r>
        <w:t>Routine telemetry excludes raw PHI/secrets; security/audit logs are separate from debug logs.</w:t>
      </w:r>
    </w:p>
    <w:p>
      <w:pPr>
        <w:pStyle w:val="ListBullet"/>
        <w:spacing w:after="20"/>
      </w:pPr>
      <w:r>
        <w:t>Every deployable has an owning team, health endpoint, SLI/SLO, dashboard, alerts and runbook.</w:t>
      </w:r>
    </w:p>
    <w:p>
      <w:pPr>
        <w:pStyle w:val="ListBullet"/>
        <w:spacing w:after="20"/>
      </w:pPr>
      <w:r>
        <w:t>Domain SLIs include order latency, lab TAT events, pharmacy fulfilment, claim submission/acknowledgment, workflow backlog and event lag—not only CPU/memory.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7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Criticality</w:t>
            </w:r>
          </w:p>
        </w:tc>
        <w:tc>
          <w:tcPr>
            <w:tcW w:type="dxa" w:w="892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Architecture expectation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Tier 0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Fail-safe/local continuity where applicable; shortest RTO/RPO; explicit downtime drills.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Tier 1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HA deployment, replayable queues, external dependency isolation and tested recovery.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Tier 2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Enterprise availability; scheduled maintenance and deferred processing acceptable within SLA.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Optional AI/analytics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Graceful degradation; never blocks core correctness.</w:t>
            </w:r>
          </w:p>
        </w:tc>
      </w:tr>
    </w:tbl>
    <w:p>
      <w:pPr>
        <w:pStyle w:val="Heading1"/>
      </w:pPr>
      <w:r>
        <w:t>15. Security Architecture Baseline</w:t>
      </w:r>
    </w:p>
    <w:p>
      <w:r>
        <w:t>Document 2 contains the detailed security model. The following architecture constraints apply immediately:</w:t>
      </w:r>
    </w:p>
    <w:p>
      <w:pPr>
        <w:pStyle w:val="ListBullet"/>
        <w:spacing w:after="20"/>
      </w:pPr>
      <w:r>
        <w:t>OIDC-based workforce/customer identity with MFA policy and short-lived tokens; workload identity for service-to-service authentication.</w:t>
      </w:r>
    </w:p>
    <w:p>
      <w:pPr>
        <w:pStyle w:val="ListBullet"/>
        <w:spacing w:after="20"/>
      </w:pPr>
      <w:r>
        <w:t>Authorization is RBAC + ABAC using tenant, facility, department, patient relationship/care team, role/privilege, purpose and break-glass context.</w:t>
      </w:r>
    </w:p>
    <w:p>
      <w:pPr>
        <w:pStyle w:val="ListBullet"/>
        <w:spacing w:after="20"/>
      </w:pPr>
      <w:r>
        <w:t>Every storage and message boundary is classified for PHI/PII/financial/OT/restricted data.</w:t>
      </w:r>
    </w:p>
    <w:p>
      <w:pPr>
        <w:pStyle w:val="ListBullet"/>
        <w:spacing w:after="20"/>
      </w:pPr>
      <w:r>
        <w:t>Encryption at rest and in transit; centralized KMS/secrets; signed/expiring object access.</w:t>
      </w:r>
    </w:p>
    <w:p>
      <w:pPr>
        <w:pStyle w:val="ListBullet"/>
        <w:spacing w:after="20"/>
      </w:pPr>
      <w:r>
        <w:t>Privileged administration is just-in-time/time-bound where feasible and fully audited.</w:t>
      </w:r>
    </w:p>
    <w:p>
      <w:pPr>
        <w:pStyle w:val="ListBullet"/>
        <w:spacing w:after="20"/>
      </w:pPr>
      <w:r>
        <w:t>Cross-tenant negative tests are mandatory for every external resource family.</w:t>
      </w:r>
    </w:p>
    <w:p>
      <w:pPr>
        <w:pStyle w:val="Heading1"/>
      </w:pPr>
      <w:r>
        <w:t>16. Repository and Monorepo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Path</w:t>
            </w:r>
          </w:p>
        </w:tc>
        <w:tc>
          <w:tcPr>
            <w:tcW w:type="dxa" w:w="806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/proto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Canonical protobuf APIs/events; buf config and generated SDKs.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/services/core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Core hospital Go deployable and bounded-context modules.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/services/hospital-ops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Hospital operations modules.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/services/diagnostics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Diagnostics deployable.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/services/pharma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Pharma/pharmacy/network deployable.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/services/payer-patient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Insurance and patient ecosystem APIs.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/services/platform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Workflow/rules/configuration/AI gateway/integration platform.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/ai-rust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Rust inference/runtime services and shared crates.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/apps/web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SvelteKit workspaces and shared design system.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/apps/mobile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Flutter patient and field applications.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/infra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IaC, Kubernetes, deployment and observability config.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/db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Shared migration tooling; context-owned migrations remain colocated or referenced.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/docs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ADRs, architecture, generated API/event catalogs and runbooks.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/tools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Code generation, lint, test-data and developer tooling.</w:t>
            </w:r>
          </w:p>
        </w:tc>
      </w:tr>
    </w:tbl>
    <w:p>
      <w:r>
        <w:t>CODEOWNERS maps each bounded context, proto package and infrastructure area to an accountable team. Generated code is never manually edited.</w:t>
      </w:r>
    </w:p>
    <w:p>
      <w:pPr>
        <w:pStyle w:val="Heading1"/>
      </w:pPr>
      <w:r>
        <w:t>17. CI/CD and Engineering Quality Gates</w:t>
      </w:r>
    </w:p>
    <w:p>
      <w:pPr>
        <w:pStyle w:val="ListNumber"/>
        <w:spacing w:after="20"/>
      </w:pPr>
      <w:r>
        <w:t>Format/lint and static analysis for Go, TypeScript/Svelte, Dart/Flutter, Rust, SQL/protobuf and IaC.</w:t>
      </w:r>
    </w:p>
    <w:p>
      <w:pPr>
        <w:pStyle w:val="ListNumber"/>
        <w:spacing w:after="20"/>
      </w:pPr>
      <w:r>
        <w:t>Unit/domain tests and repository integration tests.</w:t>
      </w:r>
    </w:p>
    <w:p>
      <w:pPr>
        <w:pStyle w:val="ListNumber"/>
        <w:spacing w:after="20"/>
      </w:pPr>
      <w:r>
        <w:t>Protobuf compatibility/breaking-change checks and generated-client verification.</w:t>
      </w:r>
    </w:p>
    <w:p>
      <w:pPr>
        <w:pStyle w:val="ListNumber"/>
        <w:spacing w:after="20"/>
      </w:pPr>
      <w:r>
        <w:t>Database migration validation and expand/contract compatibility checks.</w:t>
      </w:r>
    </w:p>
    <w:p>
      <w:pPr>
        <w:pStyle w:val="ListNumber"/>
        <w:spacing w:after="20"/>
      </w:pPr>
      <w:r>
        <w:t>SAST, dependency/SCA, secret, container and IaC security scans; SBOM generation.</w:t>
      </w:r>
    </w:p>
    <w:p>
      <w:pPr>
        <w:pStyle w:val="ListNumber"/>
        <w:spacing w:after="20"/>
      </w:pPr>
      <w:r>
        <w:t>Contract/integration smoke tests against ephemeral or shared test dependencies.</w:t>
      </w:r>
    </w:p>
    <w:p>
      <w:pPr>
        <w:pStyle w:val="ListNumber"/>
        <w:spacing w:after="20"/>
      </w:pPr>
      <w:r>
        <w:t>Build/sign immutable artifacts; record commit and dependency provenance.</w:t>
      </w:r>
    </w:p>
    <w:p>
      <w:pPr>
        <w:pStyle w:val="ListNumber"/>
        <w:spacing w:after="20"/>
      </w:pPr>
      <w:r>
        <w:t>Deploy to pre-production; run smoke/regression and selected performance/security tests.</w:t>
      </w:r>
    </w:p>
    <w:p>
      <w:pPr>
        <w:pStyle w:val="ListNumber"/>
        <w:spacing w:after="20"/>
      </w:pPr>
      <w:r>
        <w:t>Canary/wave production rollout with automated health/SLO gates and rollback.</w:t>
      </w:r>
    </w:p>
    <w:p>
      <w:pPr>
        <w:pStyle w:val="Heading1"/>
      </w:pPr>
      <w:r>
        <w:t>18. Architecture Decision Record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ADR</w:t>
            </w:r>
          </w:p>
        </w:tc>
        <w:tc>
          <w:tcPr>
            <w:tcW w:type="dxa" w:w="360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Decision</w:t>
            </w:r>
          </w:p>
        </w:tc>
        <w:tc>
          <w:tcPr>
            <w:tcW w:type="dxa" w:w="57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Baseline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ADR-001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Modular monolith first vs microservices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Adopt modular-monolith-first; extract only on explicit driver.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ADR-002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Canonical transport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Protobuf + ConnectRPC; adapters expose REST/FHIR externally.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ADR-003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Persistence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PostgreSQL + sqlc as core OLTP persistence.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ADR-004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Tenant isolation model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Shared platform with mandatory tenant keys; deployment-specific stronger isolation profiles.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ADR-005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Eventing technology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Select Kafka-compatible vs NATS JetStream after operational benchmark; preserve broker-neutral domain contracts.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ADR-006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Select durable workflow technology compatible with Go and long-running regulated workflows.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ADR-007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Versioned deterministic decision tables/expressions with simulation and replay.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ADR-008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Identity provider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OIDC/OAuth2 enterprise identity with federation and MFA.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ADR-009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Object/search stack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S3-compatible object store + OpenSearch/Elasticsearch-class search.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ADR-010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AI runtime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Rust inference services behind Go AI gateway.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ADR-011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Deployment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Kubernetes + IaC/GitOps-style controlled deployment.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ADR-012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Observability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OpenTelemetry end-to-end.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ADR-013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Edge/SCADA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edge + OT DMZ; read-only cloud-to-OT by default.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ADR-014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Analytics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CDC/event-fed lakehouse; analytics never source of truth.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ADR-015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Repository strategy</w:t>
            </w:r>
          </w:p>
        </w:tc>
        <w:tc>
          <w:tcPr>
            <w:tcW w:type="dxa" w:w="57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Monorepo with clear CODEOWNERS and generated contract SDKs.</w:t>
            </w:r>
          </w:p>
        </w:tc>
      </w:tr>
    </w:tbl>
    <w:p>
      <w:pPr>
        <w:pStyle w:val="Heading1"/>
      </w:pPr>
      <w:r>
        <w:t>19. Phase-0 Architecture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Item</w:t>
            </w:r>
          </w:p>
        </w:tc>
        <w:tc>
          <w:tcPr>
            <w:tcW w:type="dxa" w:w="273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Capability</w:t>
            </w:r>
          </w:p>
        </w:tc>
        <w:tc>
          <w:tcPr>
            <w:tcW w:type="dxa" w:w="698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Exit condition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P0-01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Monorepo/bootstrap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Build tooling, code owners, CI baseline, language linters.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P0-02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Proto platform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Buf/protoc toolchain, ConnectRPC stubs, common metadata/error conventions.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P0-03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Go service skeleton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Handler/application/domain/repository template, transaction/outbox helper.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P0-04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PostgreSQL platform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Migrations, sqlc, tenant/audit columns, test DB harness.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P0-05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Identity/auth context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OIDC integration, workforce/patient session context, workload identity.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P0-06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Event backbone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Broker selection PoC, outbox publisher, inbox/dedup, event envelope.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P0-07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Workflow/rules PoC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Durable workflow and deterministic rules technology selection.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P0-08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Svelte shell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Workspace shell, generated client, patient context, design-system foundation.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P0-09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Flutter shell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Auth, networking, secure storage, environment config, analytics/crash baseline.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P0-10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Observability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OpenTelemetry collector, trace/log/metric conventions and dashboards.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P0-11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DevSecOps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SAST/SCA/secrets/SBOM/container/IaC gates and artifact provenance.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P0-12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Deployment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Kubernetes namespaces, secrets/KMS, PostgreSQL, object storage, ingress/gateway.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P0-13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Edge prototype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edge enrollment/store-forward/printing/device pattern.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P0-14</w:t>
            </w:r>
          </w:p>
        </w:tc>
        <w:tc>
          <w:tcPr>
            <w:tcW w:type="dxa" w:w="27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Architecture fitness tests</w:t>
            </w:r>
          </w:p>
        </w:tc>
        <w:tc>
          <w:tcPr>
            <w:tcW w:type="dxa" w:w="69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Dependency-direction, forbidden cross-schema write and proto compatibility checks.</w:t>
            </w:r>
          </w:p>
        </w:tc>
      </w:tr>
    </w:tbl>
    <w:p>
      <w:pPr>
        <w:pStyle w:val="Heading1"/>
      </w:pPr>
      <w:r>
        <w:t>20. Architecture Acceptance Gates Before Wave-1 Feature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00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79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A1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 sample request flows Svelte → ConnectRPC → Go application/domain → sqlc/PostgreSQL with trace/audit context.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A2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A cannot read/write Tenant B data in automated negative tests.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A3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State + outbox commit and consumer inbox/dedup behavior are verified under retry/crash.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A4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Proto breaking-change protection and generated TypeScript/Dart/Go SDKs run in CI.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A5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OIDC/MFA/session/workload identity baseline works in non-production environment.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A6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OpenTelemetry trace crosses browser/gateway/RPC/database/event boundary without raw PHI in telemetry.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A7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Database migration strategy supports rolling forward/backward application compatibility.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A8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Kubernetes deployment, secret rotation, backup and restore smoke test pass.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A9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Svelte and Flutter shells consume the same canonical API contracts.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A10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Architecture fitness tests prevent domain importing database/transport packages and prevent cross-context DB write.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A11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Workflow/rules technology ADRs are approved after PoC.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A12</w:t>
            </w:r>
          </w:p>
        </w:tc>
        <w:tc>
          <w:tcPr>
            <w:tcW w:type="dxa" w:w="97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Edge/SCADA network/trust-zone pattern is approved before OT integrations begin.</w:t>
            </w:r>
          </w:p>
        </w:tc>
      </w:tr>
    </w:tbl>
    <w:p>
      <w:pPr>
        <w:pStyle w:val="Heading1"/>
      </w:pPr>
      <w:r>
        <w:t>21. Definition of Done for this Blueprint</w:t>
      </w:r>
    </w:p>
    <w:p>
      <w:pPr>
        <w:pStyle w:val="ListBullet"/>
        <w:spacing w:after="20"/>
      </w:pPr>
      <w:r>
        <w:t>Architecture decisions in Section 18 are approved or explicitly marked pending with an owner/date.</w:t>
      </w:r>
    </w:p>
    <w:p>
      <w:pPr>
        <w:pStyle w:val="ListBullet"/>
        <w:spacing w:after="20"/>
      </w:pPr>
      <w:r>
        <w:t>Phase-0 backlog is executable by a small platform team without further high-level architecture decisions.</w:t>
      </w:r>
    </w:p>
    <w:p>
      <w:pPr>
        <w:pStyle w:val="ListBullet"/>
        <w:spacing w:after="20"/>
      </w:pPr>
      <w:r>
        <w:t>All development teams adopt the package, contract, transaction, event and ownership rules in this blueprint.</w:t>
      </w:r>
    </w:p>
    <w:p>
      <w:pPr>
        <w:pStyle w:val="ListBullet"/>
        <w:spacing w:after="20"/>
      </w:pPr>
      <w:r>
        <w:t>Document 2 supplies the detailed domain/data/API/event/security specification without contradicting this blueprint.</w:t>
      </w:r>
    </w:p>
    <w:p>
      <w:pPr>
        <w:pStyle w:val="ListBullet"/>
        <w:spacing w:after="20"/>
      </w:pPr>
      <w:r>
        <w:t>Any architectural deviation requires an ADR and traceability update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Engineering Architecture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8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PLATFORM
ENGINEERING ARCHITECTURE BLUEPRINT</dc:title>
  <dc:subject/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