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385A"/>
          <w:sz w:val="44"/>
        </w:rPr>
        <w:br/>
        <w:br/>
        <w:t>UNIFIED HEALTHCARE SaaS PLATFORM</w:t>
        <w:br/>
        <w:t>DETAILED FEATURE ENGINEERING SPECIFICATION</w:t>
      </w:r>
    </w:p>
    <w:p>
      <w:pPr>
        <w:jc w:val="center"/>
      </w:pPr>
      <w:r>
        <w:rPr>
          <w:b/>
          <w:sz w:val="28"/>
        </w:rPr>
        <w:br/>
        <w:t>WAVE 0 — PLATFORM FOUNDATION</w:t>
      </w:r>
    </w:p>
    <w:p>
      <w:pPr>
        <w:jc w:val="center"/>
      </w:pPr>
      <w:r>
        <w:br/>
        <w:t>Implementation-ready elaboration for 109 foundation requirements</w:t>
        <w:br/>
        <w:t>Go | Protobuf/ConnectRPC | PostgreSQL/sqlc | Svelte/SvelteKit | Flutter | Rust AI/ML</w:t>
        <w:br/>
        <w:t>Version 1.0 — September 2026</w:t>
      </w:r>
    </w:p>
    <w:p>
      <w:r>
        <w:br w:type="page"/>
      </w:r>
    </w:p>
    <w:p>
      <w:pPr>
        <w:pStyle w:val="Heading1"/>
      </w:pPr>
      <w:r>
        <w:t>1. Purpose and Controlled Scope</w:t>
      </w:r>
    </w:p>
    <w:p>
      <w:r>
        <w:t>Wave 0 establishes the executable platform foundation required before clinical and business feature teams scale. It owns exactly 109 Phase-1 foundation requirements: SRS-PLT, SRS-IAM, SRS-WEB, SRS-API, SRS-DAT, SRS-SEC and SRS-NFR. Phase-6 enterprise-platform, cyber and SRE requirements remain canonically assigned to Wave 7 and are referenced here only where Wave 0 must provide an early implementation skeleton or proof of capability.</w:t>
      </w:r>
    </w:p>
    <w:p>
      <w:pPr>
        <w:pStyle w:val="ListBullet"/>
        <w:spacing w:after="16"/>
      </w:pPr>
      <w:r>
        <w:t>Wave 0 is not a product feature wave; its deliverables are reusable platform capabilities, engineering controls and acceptance gates.</w:t>
      </w:r>
    </w:p>
    <w:p>
      <w:pPr>
        <w:pStyle w:val="ListBullet"/>
        <w:spacing w:after="16"/>
      </w:pPr>
      <w:r>
        <w:t>No Wave-1 feature may bypass tenant, identity, API, persistence, security, observability or test-trace standards established here.</w:t>
      </w:r>
    </w:p>
    <w:p>
      <w:pPr>
        <w:pStyle w:val="ListBullet"/>
        <w:spacing w:after="16"/>
      </w:pPr>
      <w:r>
        <w:t>Every platform artifact must be replaceable/evolvable through versioned contracts; feature code may not bind directly to broker/vendor/cloud-specific APIs where an approved platform abstraction exists.</w:t>
      </w:r>
    </w:p>
    <w:p>
      <w:pPr>
        <w:pStyle w:val="ListBullet"/>
        <w:spacing w:after="16"/>
      </w:pPr>
      <w:r>
        <w:t>The Master SRS remains normative. This document supplies implementation design and traceability, not new product scope.</w:t>
      </w:r>
    </w:p>
    <w:p>
      <w:pPr>
        <w:pStyle w:val="Heading1"/>
      </w:pPr>
      <w:r>
        <w:t>2. Requirement Family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29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309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  <w:tc>
          <w:tcPr>
            <w:tcW w:type="dxa" w:w="64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Count</w:t>
            </w:r>
          </w:p>
        </w:tc>
        <w:tc>
          <w:tcPr>
            <w:tcW w:type="dxa" w:w="2232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Canonical ID range</w:t>
            </w:r>
          </w:p>
        </w:tc>
        <w:tc>
          <w:tcPr>
            <w:tcW w:type="dxa" w:w="2232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Primary service/platform</w:t>
            </w:r>
          </w:p>
        </w:tc>
        <w:tc>
          <w:tcPr>
            <w:tcW w:type="dxa" w:w="194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P0 work items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SRS-PLT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Platform, Tenancy and Organization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SRS-PLT-001 – SRS-PLT-020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OrganizationService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P0-04 / P0-05 / P0-12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SRS-IAM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Identity, Authentication and Authorization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SRS-IAM-001 – SRS-IAM-015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IdentityService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P0-05 / P0-11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SRS-WEB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Svelte/SvelteKit Web UX Requirements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16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SRS-WEB-001 – SRS-WEB-016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ExperiencePlatform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P0-08 / P0-09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SRS-API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API, ConnectRPC and Protobuf Requirements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SRS-API-001 – SRS-API-014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ApiPlatformService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P0-02 / P0-03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SRS-DAT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Data and Persistence Requirements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SRS-DAT-001 – SRS-DAT-014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DataPlatformService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P0-04 / P0-10 / P0-12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SRS-SEC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Security and Privacy Requirements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SRS-SEC-001 – SRS-SEC-014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SecurityPolicyService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P0-05 / P0-11 / P0-12</w:t>
            </w:r>
          </w:p>
        </w:tc>
      </w:tr>
      <w:tr>
        <w:trPr>
          <w:cantSplit/>
        </w:trPr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SRS-NFR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Non-Functional Requirements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16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SRS-NFR-001 – SRS-NFR-016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SrePlatformService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P0-10 / P0-12 / P0-14</w:t>
            </w:r>
          </w:p>
        </w:tc>
      </w:tr>
    </w:tbl>
    <w:p>
      <w:r>
        <w:t>Coverage total: 109 atomic requirements. These requirements are included in the Master Engineering Registry and Master RTM generated with this specification.</w:t>
      </w:r>
    </w:p>
    <w:p>
      <w:pPr>
        <w:pStyle w:val="Heading1"/>
      </w:pPr>
      <w:r>
        <w:t>3. Wave-0 Implementation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93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ID</w:t>
            </w:r>
          </w:p>
        </w:tc>
        <w:tc>
          <w:tcPr>
            <w:tcW w:type="dxa" w:w="208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Capability</w:t>
            </w:r>
          </w:p>
        </w:tc>
        <w:tc>
          <w:tcPr>
            <w:tcW w:type="dxa" w:w="504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Engineering content</w:t>
            </w:r>
          </w:p>
        </w:tc>
        <w:tc>
          <w:tcPr>
            <w:tcW w:type="dxa" w:w="302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Exit criterion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P0-01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Monorepo/bootstrap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Repository structure, CODEOWNERS, local-dev bootstrap, CI baseline and language tooling.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Build/lint/test executes for Go, TS/Svelte, Dart/Flutter, Rust, Proto, SQL and IaC.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P0-02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Proto/ConnectRPC platform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Buf/protoc toolchain, common metadata/error messages, generated Go/TS/Dart clients.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Compatibility checks and deterministic generation run in CI.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P0-03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Go service skeleton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Clean Architecture template, request context, transaction helper, repository ports, outbox hook.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Reference service demonstrates handler → application → domain → sqlc path.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P0-04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PostgreSQL/sqlc platform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Migration tooling, tenant/audit conventions, sqlc harness, transaction/outbox schema and DB test harness.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Real-PostgreSQL repository tests pass; cross-context write controls enforced.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P0-05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Identity/auth context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OIDC integration, workforce/patient/service identities, MFA hooks, RBAC+ABAC context, break-glass/JIT hooks.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Authenticated context reaches every use case; deny-by-default tests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P0-06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Event backbone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Broker PoC/selection, outbox publisher, event envelope, inbox/dedup, retry/DLQ, telemetry.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Crash/retry test proves no lost committed events and no duplicate side effects.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P0-07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Workflow/rules PoC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Durable workflow and deterministic rules technology evaluation with one long-running reference workflow.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ADR closes technology selection; versioning/retry/compensation demonstrated.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P0-08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SvelteKit shell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AppShell, tenant/facility context, auth bootstrap, generated RPC client, error/loading/permission patterns.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Reference registration/search screen consumes canonical API.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P0-09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Flutter shell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Auth, environment, networking, generated API client, secure storage, offline/sync scaffold.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Reference authenticated journey and queued-action pattern pass tests.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P0-10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Observability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OpenTelemetry conventions, trace/log/metric pipelines, correlation propagation, dashboards/alerts baseline.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Trace crosses browser/RPC/DB/event without raw PHI in routine telemetry.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P0-11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DevSecOps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SAST/SCA/secrets/SBOM/container/IaC/provenance gates and dependency policy.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Critical scan findings fail release pipeline; signed artifacts produced.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P0-12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Deployment platform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Kubernetes/IaC, ingress, secrets/KMS, PostgreSQL HA, object store, backup/restore, environment promotion.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Pre-prod deploy, secret rotation and restore smoke tests pass.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P0-13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Hospital edge prototype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Secure enrollment, store-and-forward, local print/label/device connector skeleton.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WAN-loss scenario retains approved local functions and reconciles safely.</w:t>
            </w:r>
          </w:p>
        </w:tc>
      </w:tr>
      <w:tr>
        <w:trPr>
          <w:cantSplit/>
        </w:trPr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P0-14</w:t>
            </w:r>
          </w:p>
        </w:tc>
        <w:tc>
          <w:tcPr>
            <w:tcW w:type="dxa" w:w="208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Architecture fitness tests</w:t>
            </w:r>
          </w:p>
        </w:tc>
        <w:tc>
          <w:tcPr>
            <w:tcW w:type="dxa" w:w="50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Automated import/dependency rules, proto compatibility, tenant isolation, safe logging and ownership checks.</w:t>
            </w:r>
          </w:p>
        </w:tc>
        <w:tc>
          <w:tcPr>
            <w:tcW w:type="dxa" w:w="30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CI prevents forbidden dependency direction/cross-schema writes and unsafe contract changes.</w:t>
            </w:r>
          </w:p>
        </w:tc>
      </w:tr>
    </w:tbl>
    <w:p>
      <w:pPr>
        <w:pStyle w:val="Heading1"/>
      </w:pPr>
      <w:r>
        <w:t>4. Platform Lifecycle and State Models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2232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Object</w:t>
            </w:r>
          </w:p>
        </w:tc>
        <w:tc>
          <w:tcPr>
            <w:tcW w:type="dxa" w:w="885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State model / invariant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Tenant</w:t>
            </w:r>
          </w:p>
        </w:tc>
        <w:tc>
          <w:tcPr>
            <w:tcW w:type="dxa" w:w="88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PROVISIONING → ACTIVE → SUSPENDED → OFFBOARDING → TERMINATED. Configuration changes are effective-dated; tenant ID is immutable.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User identity</w:t>
            </w:r>
          </w:p>
        </w:tc>
        <w:tc>
          <w:tcPr>
            <w:tcW w:type="dxa" w:w="88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INVITED/PROVISIONING → ACTIVE → LOCKED/SUSPENDED → DISABLED. Session revocation propagates on disable/risk action.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Access grant</w:t>
            </w:r>
          </w:p>
        </w:tc>
        <w:tc>
          <w:tcPr>
            <w:tcW w:type="dxa" w:w="88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REQUESTED → APPROVED → ACTIVE → EXPIRED/REVOKED. Break-glass/JIT grants are time-bound and auditable.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API contract</w:t>
            </w:r>
          </w:p>
        </w:tc>
        <w:tc>
          <w:tcPr>
            <w:tcW w:type="dxa" w:w="88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DRAFT → REVIEWED → RELEASED → DEPRECATED → RETIRED. Breaking changes require a new compatible version/migration path.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Database migration</w:t>
            </w:r>
          </w:p>
        </w:tc>
        <w:tc>
          <w:tcPr>
            <w:tcW w:type="dxa" w:w="88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AUTHORED → VALIDATED → PREPROD_APPLIED → PROD_APPLIED → VERIFIED. Production uses forward/expand-contract patterns.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Security incident</w:t>
            </w:r>
          </w:p>
        </w:tc>
        <w:tc>
          <w:tcPr>
            <w:tcW w:type="dxa" w:w="88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DETECTED → TRIAGED → CONTAINED → ERADICATED → RECOVERED → CLOSED; evidence/lessons retained.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Release artifact</w:t>
            </w:r>
          </w:p>
        </w:tc>
        <w:tc>
          <w:tcPr>
            <w:tcW w:type="dxa" w:w="88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BUILT → SCANNED → SIGNED → PROMOTED → DEPLOYED → VERIFIED/ROLLED_BACK.</w:t>
            </w:r>
          </w:p>
        </w:tc>
      </w:tr>
    </w:tbl>
    <w:p>
      <w:pPr>
        <w:pStyle w:val="Heading1"/>
      </w:pPr>
      <w:r>
        <w:t>5. Domain, Data and Ownership Design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00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Family</w:t>
            </w:r>
          </w:p>
        </w:tc>
        <w:tc>
          <w:tcPr>
            <w:tcW w:type="dxa" w:w="172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Authoritative context</w:t>
            </w:r>
          </w:p>
        </w:tc>
        <w:tc>
          <w:tcPr>
            <w:tcW w:type="dxa" w:w="230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Core aggregate/concept</w:t>
            </w:r>
          </w:p>
        </w:tc>
        <w:tc>
          <w:tcPr>
            <w:tcW w:type="dxa" w:w="194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Primary service</w:t>
            </w:r>
          </w:p>
        </w:tc>
        <w:tc>
          <w:tcPr>
            <w:tcW w:type="dxa" w:w="338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Data conventions</w:t>
            </w:r>
          </w:p>
        </w:tc>
        <w:tc>
          <w:tcPr>
            <w:tcW w:type="dxa" w:w="201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Mutation rule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</w:t>
            </w:r>
          </w:p>
        </w:tc>
        <w:tc>
          <w:tcPr>
            <w:tcW w:type="dxa" w:w="2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/ Organization / Facility / Location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 where tenant-owned; opaque IDs; UTC timestamptz; provenance/audit; version where concurrent</w:t>
            </w:r>
          </w:p>
        </w:tc>
        <w:tc>
          <w:tcPr>
            <w:tcW w:type="dxa" w:w="20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mutation; no cross-context SQL writes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identity.access</w:t>
            </w:r>
          </w:p>
        </w:tc>
        <w:tc>
          <w:tcPr>
            <w:tcW w:type="dxa" w:w="2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User / Role / Permission / AccessGrant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 where tenant-owned; opaque IDs; UTC timestamptz; provenance/audit; version where concurrent</w:t>
            </w:r>
          </w:p>
        </w:tc>
        <w:tc>
          <w:tcPr>
            <w:tcW w:type="dxa" w:w="20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mutation; no cross-context SQL writes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experience.web</w:t>
            </w:r>
          </w:p>
        </w:tc>
        <w:tc>
          <w:tcPr>
            <w:tcW w:type="dxa" w:w="2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Workspace / SessionContext / UIConfig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 where tenant-owned; opaque IDs; UTC timestamptz; provenance/audit; version where concurrent</w:t>
            </w:r>
          </w:p>
        </w:tc>
        <w:tc>
          <w:tcPr>
            <w:tcW w:type="dxa" w:w="20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mutation; no cross-context SQL writes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platform.api</w:t>
            </w:r>
          </w:p>
        </w:tc>
        <w:tc>
          <w:tcPr>
            <w:tcW w:type="dxa" w:w="2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ApiContract / RequestContext / ErrorDetail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 where tenant-owned; opaque IDs; UTC timestamptz; provenance/audit; version where concurrent</w:t>
            </w:r>
          </w:p>
        </w:tc>
        <w:tc>
          <w:tcPr>
            <w:tcW w:type="dxa" w:w="20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mutation; no cross-context SQL writes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platform.data</w:t>
            </w:r>
          </w:p>
        </w:tc>
        <w:tc>
          <w:tcPr>
            <w:tcW w:type="dxa" w:w="2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DataPolicy / AuditRecord / DataExport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 where tenant-owned; opaque IDs; UTC timestamptz; provenance/audit; version where concurrent</w:t>
            </w:r>
          </w:p>
        </w:tc>
        <w:tc>
          <w:tcPr>
            <w:tcW w:type="dxa" w:w="20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mutation; no cross-context SQL writes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security.platform</w:t>
            </w:r>
          </w:p>
        </w:tc>
        <w:tc>
          <w:tcPr>
            <w:tcW w:type="dxa" w:w="2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 / SecurityEvent / KeyReference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 where tenant-owned; opaque IDs; UTC timestamptz; provenance/audit; version where concurrent</w:t>
            </w:r>
          </w:p>
        </w:tc>
        <w:tc>
          <w:tcPr>
            <w:tcW w:type="dxa" w:w="20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mutation; no cross-context SQL writes</w:t>
            </w:r>
          </w:p>
        </w:tc>
      </w:tr>
      <w:tr>
        <w:trPr>
          <w:cantSplit/>
        </w:trPr>
        <w:tc>
          <w:tcPr>
            <w:tcW w:type="dxa" w:w="100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</w:t>
            </w:r>
          </w:p>
        </w:tc>
        <w:tc>
          <w:tcPr>
            <w:tcW w:type="dxa" w:w="17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platform.sre</w:t>
            </w:r>
          </w:p>
        </w:tc>
        <w:tc>
          <w:tcPr>
            <w:tcW w:type="dxa" w:w="23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SLO / CapacityProfile / RecoveryObjective</w:t>
            </w:r>
          </w:p>
        </w:tc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33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tenant_id where tenant-owned; opaque IDs; UTC timestamptz; provenance/audit; version where concurrent</w:t>
            </w:r>
          </w:p>
        </w:tc>
        <w:tc>
          <w:tcPr>
            <w:tcW w:type="dxa" w:w="20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Owner-only mutation; no cross-context SQL writes</w:t>
            </w:r>
          </w:p>
        </w:tc>
      </w:tr>
    </w:tbl>
    <w:p>
      <w:pPr>
        <w:pStyle w:val="ListBullet"/>
        <w:spacing w:after="16"/>
      </w:pPr>
      <w:r>
        <w:t>PostgreSQL is the authoritative Wave-0 transactional store; sqlc is the default query/code-generation path.</w:t>
      </w:r>
    </w:p>
    <w:p>
      <w:pPr>
        <w:pStyle w:val="ListBullet"/>
        <w:spacing w:after="16"/>
      </w:pPr>
      <w:r>
        <w:t>Every tenant-owned repository call requires verified tenant context. Production shared-database profiles should support RLS as defense-in-depth in addition to repository enforcement.</w:t>
      </w:r>
    </w:p>
    <w:p>
      <w:pPr>
        <w:pStyle w:val="ListBullet"/>
        <w:spacing w:after="16"/>
      </w:pPr>
      <w:r>
        <w:t>Object/search/cache/event stores are projections or supporting stores and never become the source of truth for transactional state.</w:t>
      </w:r>
    </w:p>
    <w:p>
      <w:pPr>
        <w:pStyle w:val="ListBullet"/>
        <w:spacing w:after="16"/>
      </w:pPr>
      <w:r>
        <w:t>Routine logs and traces must not serialize full requests/responses or PHI-bearing domain objects.</w:t>
      </w:r>
    </w:p>
    <w:p>
      <w:pPr>
        <w:pStyle w:val="Heading1"/>
      </w:pPr>
      <w:r>
        <w:t>6. Protobuf / ConnectRPC Foundation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672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Service/package</w:t>
            </w:r>
          </w:p>
        </w:tc>
        <w:tc>
          <w:tcPr>
            <w:tcW w:type="dxa" w:w="741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Representative foundation RPCs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healthcare.platform.v1.TenantService</w:t>
            </w:r>
          </w:p>
        </w:tc>
        <w:tc>
          <w:tcPr>
            <w:tcW w:type="dxa" w:w="74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CreateTenant; GetTenant; UpdateTenantConfiguration; ListFacilities; GetActiveContext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healthcare.identity.v1.IdentityService</w:t>
            </w:r>
          </w:p>
        </w:tc>
        <w:tc>
          <w:tcPr>
            <w:tcW w:type="dxa" w:w="74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GetSessionContext; ListRoles; EvaluateAccess; RequestBreakGlass; RevokeSession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healthcare.platform.v1.HealthService</w:t>
            </w:r>
          </w:p>
        </w:tc>
        <w:tc>
          <w:tcPr>
            <w:tcW w:type="dxa" w:w="74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CheckLiveness; CheckReadiness; GetBuildInfo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healthcare.platform.v1.ConfigurationService</w:t>
            </w:r>
          </w:p>
        </w:tc>
        <w:tc>
          <w:tcPr>
            <w:tcW w:type="dxa" w:w="74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GetEffectiveConfig; ListFeatureFlags; EvaluateFeatureFlag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healthcare.platform.v1.AuditService</w:t>
            </w:r>
          </w:p>
        </w:tc>
        <w:tc>
          <w:tcPr>
            <w:tcW w:type="dxa" w:w="74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SearchAuditTrail; GetAuditEntry</w:t>
            </w:r>
          </w:p>
        </w:tc>
      </w:tr>
      <w:tr>
        <w:trPr>
          <w:cantSplit/>
        </w:trPr>
        <w:tc>
          <w:tcPr>
            <w:tcW w:type="dxa" w:w="367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healthcare.platform.v1.ExportService</w:t>
            </w:r>
          </w:p>
        </w:tc>
        <w:tc>
          <w:tcPr>
            <w:tcW w:type="dxa" w:w="741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RequestExport; GetExportStatus; CancelExport</w:t>
            </w:r>
          </w:p>
        </w:tc>
      </w:tr>
    </w:tbl>
    <w:p>
      <w:pPr>
        <w:pStyle w:val="ListBullet"/>
        <w:spacing w:after="16"/>
      </w:pPr>
      <w:r>
        <w:t>Canonical package form: healthcare.&lt;bounded_context&gt;.v1. Stable field numbers; removed field numbers are reserved.</w:t>
      </w:r>
    </w:p>
    <w:p>
      <w:pPr>
        <w:pStyle w:val="ListBullet"/>
        <w:spacing w:after="16"/>
      </w:pPr>
      <w:r>
        <w:t>All state-changing retryable commands carry idempotency semantics. Authentication/tenant/facility/purpose context is transport-derived.</w:t>
      </w:r>
    </w:p>
    <w:p>
      <w:pPr>
        <w:pStyle w:val="ListBullet"/>
        <w:spacing w:after="16"/>
      </w:pPr>
      <w:r>
        <w:t>Errors use Connect status plus structured domain error details including stable code, field violations, retryability and correlation ID.</w:t>
      </w:r>
    </w:p>
    <w:p>
      <w:pPr>
        <w:pStyle w:val="ListBullet"/>
        <w:spacing w:after="16"/>
      </w:pPr>
      <w:r>
        <w:t>Generated Go, TypeScript and Dart clients are build artifacts; handwritten wire DTOs are prohibited for canonical APIs.</w:t>
      </w:r>
    </w:p>
    <w:p>
      <w:pPr>
        <w:pStyle w:val="Heading1"/>
      </w:pPr>
      <w:r>
        <w:t>7. Event and Asynchronous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273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Event</w:t>
            </w:r>
          </w:p>
        </w:tc>
        <w:tc>
          <w:tcPr>
            <w:tcW w:type="dxa" w:w="180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Producer</w:t>
            </w:r>
          </w:p>
        </w:tc>
        <w:tc>
          <w:tcPr>
            <w:tcW w:type="dxa" w:w="432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Minimum payload</w:t>
            </w:r>
          </w:p>
        </w:tc>
        <w:tc>
          <w:tcPr>
            <w:tcW w:type="dxa" w:w="2232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Consumer/use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tenant.provisioned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organization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tenant_id, legal_entity/facility refs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On successful tenant bootstrap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identity.user_activated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identity.access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subject_id, tenant_id, role refs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On lifecycle activation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identity.access_revoked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identity.access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subject_id, grant/session ref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On revoke/disable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security.break_glass_activated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security.platform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subject_id, patient/resource ref, reason, expiry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Privileged review trigger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platform.configuration_changed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platform.config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scope, key/version/effective_at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Cache/read-model invalidation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platform.export_completed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platform.data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export_id, object grant ref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Notification only; no raw export payload</w:t>
            </w:r>
          </w:p>
        </w:tc>
      </w:tr>
      <w:tr>
        <w:trPr>
          <w:cantSplit/>
        </w:trPr>
        <w:tc>
          <w:tcPr>
            <w:tcW w:type="dxa" w:w="27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security.event_detected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security.platform</w:t>
            </w:r>
          </w:p>
        </w:tc>
        <w:tc>
          <w:tcPr>
            <w:tcW w:type="dxa" w:w="43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event class/severity/resource refs</w:t>
            </w:r>
          </w:p>
        </w:tc>
        <w:tc>
          <w:tcPr>
            <w:tcW w:type="dxa" w:w="223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SOC processing</w:t>
            </w:r>
          </w:p>
        </w:tc>
      </w:tr>
    </w:tbl>
    <w:p>
      <w:r>
        <w:t>All events use the canonical envelope: event_id, event_type, schema_version, occurred_at, published_at, tenant_id, source, aggregate_type/id, correlation_id, causation_id and actor when applicable. Producer state + outbox commit atomically; side-effecting consumers use inbox/deduplication.</w:t>
      </w:r>
    </w:p>
    <w:p>
      <w:pPr>
        <w:pStyle w:val="Heading1"/>
      </w:pPr>
      <w:r>
        <w:t>8. Identity, Authorization and Tenant Isolation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592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Permission</w:t>
            </w:r>
          </w:p>
        </w:tc>
        <w:tc>
          <w:tcPr>
            <w:tcW w:type="dxa" w:w="352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ABAC context</w:t>
            </w:r>
          </w:p>
        </w:tc>
        <w:tc>
          <w:tcPr>
            <w:tcW w:type="dxa" w:w="5112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Rule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platform.tenant.manage</w:t>
            </w:r>
          </w:p>
        </w:tc>
        <w:tc>
          <w:tcPr>
            <w:tcW w:type="dxa" w:w="35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admin + organization scope</w:t>
            </w:r>
          </w:p>
        </w:tc>
        <w:tc>
          <w:tcPr>
            <w:tcW w:type="dxa" w:w="51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Create/update legal/facility configuration; no cross-tenant authority.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identity.role.manage</w:t>
            </w:r>
          </w:p>
        </w:tc>
        <w:tc>
          <w:tcPr>
            <w:tcW w:type="dxa" w:w="35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Security admin + separation-of-duties</w:t>
            </w:r>
          </w:p>
        </w:tc>
        <w:tc>
          <w:tcPr>
            <w:tcW w:type="dxa" w:w="51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Role/permission lifecycle and assignment.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identity.break_glass</w:t>
            </w:r>
          </w:p>
        </w:tc>
        <w:tc>
          <w:tcPr>
            <w:tcW w:type="dxa" w:w="35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Eligible clinical role + emergency context + reason</w:t>
            </w:r>
          </w:p>
        </w:tc>
        <w:tc>
          <w:tcPr>
            <w:tcW w:type="dxa" w:w="51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Time-bound elevated path; post-event review.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platform.audit.read</w:t>
            </w:r>
          </w:p>
        </w:tc>
        <w:tc>
          <w:tcPr>
            <w:tcW w:type="dxa" w:w="35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Auditor/security/privacy role + purpose</w:t>
            </w:r>
          </w:p>
        </w:tc>
        <w:tc>
          <w:tcPr>
            <w:tcW w:type="dxa" w:w="51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Read audit trail without granting underlying business mutation.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platform.export.request</w:t>
            </w:r>
          </w:p>
        </w:tc>
        <w:tc>
          <w:tcPr>
            <w:tcW w:type="dxa" w:w="35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Authorized role + data class + purpose</w:t>
            </w:r>
          </w:p>
        </w:tc>
        <w:tc>
          <w:tcPr>
            <w:tcW w:type="dxa" w:w="51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Export requires policy, minimization and auditable object grant.</w:t>
            </w:r>
          </w:p>
        </w:tc>
      </w:tr>
      <w:tr>
        <w:trPr>
          <w:cantSplit/>
        </w:trPr>
        <w:tc>
          <w:tcPr>
            <w:tcW w:type="dxa" w:w="259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platform.config.manage</w:t>
            </w:r>
          </w:p>
        </w:tc>
        <w:tc>
          <w:tcPr>
            <w:tcW w:type="dxa" w:w="352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Tenant/platform admin by scope</w:t>
            </w:r>
          </w:p>
        </w:tc>
        <w:tc>
          <w:tcPr>
            <w:tcW w:type="dxa" w:w="5112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Versioned/effective-dated change; production promotion controlled.</w:t>
            </w:r>
          </w:p>
        </w:tc>
      </w:tr>
    </w:tbl>
    <w:p>
      <w:pPr>
        <w:pStyle w:val="ListBullet"/>
        <w:spacing w:after="16"/>
      </w:pPr>
      <w:r>
        <w:t>Authorization is enforced inside application/domain use cases, never by menu visibility alone.</w:t>
      </w:r>
    </w:p>
    <w:p>
      <w:pPr>
        <w:pStyle w:val="ListBullet"/>
        <w:spacing w:after="16"/>
      </w:pPr>
      <w:r>
        <w:t>Every cache/search/object/event/job key or envelope carries tenant scope where applicable.</w:t>
      </w:r>
    </w:p>
    <w:p>
      <w:pPr>
        <w:pStyle w:val="ListBullet"/>
        <w:spacing w:after="16"/>
      </w:pPr>
      <w:r>
        <w:t>Cross-tenant ID substitution, direct-object-reference and stale-session negative tests are mandatory before Wave 1.</w:t>
      </w:r>
    </w:p>
    <w:p>
      <w:pPr>
        <w:pStyle w:val="ListBullet"/>
        <w:spacing w:after="16"/>
      </w:pPr>
      <w:r>
        <w:t>Support/platform operator cross-tenant access is explicit, ticket-bound/time-bound where feasible and fully audited.</w:t>
      </w:r>
    </w:p>
    <w:p>
      <w:pPr>
        <w:pStyle w:val="Heading1"/>
      </w:pPr>
      <w:r>
        <w:t>9. Web and Mobile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324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Foundation component</w:t>
            </w:r>
          </w:p>
        </w:tc>
        <w:tc>
          <w:tcPr>
            <w:tcW w:type="dxa" w:w="784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SvelteKit AppShell</w:t>
            </w:r>
          </w:p>
        </w:tc>
        <w:tc>
          <w:tcPr>
            <w:tcW w:type="dxa" w:w="78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Tenant/facility/environment/user context; navigation; task/notification slots; global error boundary.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Patient/context banner scaffold</w:t>
            </w:r>
          </w:p>
        </w:tc>
        <w:tc>
          <w:tcPr>
            <w:tcW w:type="dxa" w:w="78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Reusable slot for patient/encounter identity, safety flags, caregiver/delegation and staleness.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Worklist/data grid</w:t>
            </w:r>
          </w:p>
        </w:tc>
        <w:tc>
          <w:tcPr>
            <w:tcW w:type="dxa" w:w="78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Server-side pagination/filtering/sorting; saved views; stable selection semantics.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Form/validation foundation</w:t>
            </w:r>
          </w:p>
        </w:tc>
        <w:tc>
          <w:tcPr>
            <w:tcW w:type="dxa" w:w="78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Schema-compatible controls; draft/save/submit states; accessible errors.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Permission/error states</w:t>
            </w:r>
          </w:p>
        </w:tc>
        <w:tc>
          <w:tcPr>
            <w:tcW w:type="dxa" w:w="78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Loading, empty, validation, permission denied, conflict, external pending, unexpected error with correlation ID.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Flutter application shell</w:t>
            </w:r>
          </w:p>
        </w:tc>
        <w:tc>
          <w:tcPr>
            <w:tcW w:type="dxa" w:w="78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Secure auth/session, generated client, environment config, secure local storage, offline queue/sync state.</w:t>
            </w:r>
          </w:p>
        </w:tc>
      </w:tr>
    </w:tbl>
    <w:p>
      <w:pPr>
        <w:pStyle w:val="Heading1"/>
      </w:pPr>
      <w:r>
        <w:t>10. Non-functional Engineering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194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Profile</w:t>
            </w:r>
          </w:p>
        </w:tc>
        <w:tc>
          <w:tcPr>
            <w:tcW w:type="dxa" w:w="309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Applies to</w:t>
            </w:r>
          </w:p>
        </w:tc>
        <w:tc>
          <w:tcPr>
            <w:tcW w:type="dxa" w:w="604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Baseline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Tier 0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Safety/continuity-critical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Initial engineering target: RTO ≤ 15 min; RPO ≤ 5 min where centralized state is required; local fail-safe/continuity where applicable.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Tier 1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Time-critical clinical/operational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Initial engineering target: RTO ≤ 60 min; RPO ≤ 15 min; HA and replayable queues.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Tier 2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Enterprise/support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Initial engineering target: RTO ≤ 4 h; RPO ≤ 24 h unless stricter contract applies.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API latency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Interactive synchronous paths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Define per-feature SLO; platform target p95 ≤ 500 ms excluding external dependency time for simple CRUD/query paths.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Observability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All deployables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Health, SLI/SLO, dashboard, alerts, runbook, build/release provenance and correlation propagation.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Security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All production artifacts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Encryption in transit/at rest, centralized secrets/KMS, signed artifacts, SBOM, vulnerability gates.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Accessibility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Web/mobile foundation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Web targets WCAG 2.2 AA; mobile equivalent platform accessibility practices.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Scale</w:t>
            </w:r>
          </w:p>
        </w:tc>
        <w:tc>
          <w:tcPr>
            <w:tcW w:type="dxa" w:w="30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All tenant-scoped services</w:t>
            </w:r>
          </w:p>
        </w:tc>
        <w:tc>
          <w:tcPr>
            <w:tcW w:type="dxa" w:w="60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Load model must include small clinic, enterprise hospital and multi-hospital tenant profiles before contractual sizing.</w:t>
            </w:r>
          </w:p>
        </w:tc>
      </w:tr>
    </w:tbl>
    <w:p>
      <w:r>
        <w:t>RTO/RPO/latency values above are initial engineering baselines, not customer contractual SLAs; customer/country packs may tighten them through controlled configuration and capacity validation.</w:t>
      </w:r>
    </w:p>
    <w:p>
      <w:pPr>
        <w:pStyle w:val="Heading1"/>
      </w:pPr>
      <w:r>
        <w:t>11. Architecture Acceptance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86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Gate</w:t>
            </w:r>
          </w:p>
        </w:tc>
        <w:tc>
          <w:tcPr>
            <w:tcW w:type="dxa" w:w="1022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Acceptance criterion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A1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Reference Svelte request flows through ConnectRPC → Go application/domain → sqlc/PostgreSQL with trace/audit context.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A2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Tenant A cannot read/write Tenant B data across API, repository, cache, search, object and async negative tests.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A3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State + outbox commit and inbox/dedup survive retry/crash without duplicate side effects.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A4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Proto breaking-change checks and generated Go/TS/Dart clients run in CI.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A5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OIDC/MFA/session/workload identity baseline works in non-production.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A6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OpenTelemetry trace crosses client/RPC/database/event boundary without raw PHI in routine telemetry.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A7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Database migration process supports rolling expand/contract compatibility.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A8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Kubernetes deploy, secret rotation, backup and restore smoke tests pass.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A9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Svelte and Flutter shells consume the same canonical contracts.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A10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Fitness tests block domain→DB/transport imports and cross-context SQL writes.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A11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Event broker and workflow/rules ADRs are closed after PoC.</w:t>
            </w:r>
          </w:p>
        </w:tc>
      </w:tr>
      <w:tr>
        <w:trPr>
          <w:cantSplit/>
        </w:trPr>
        <w:tc>
          <w:tcPr>
            <w:tcW w:type="dxa" w:w="86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A12</w:t>
            </w:r>
          </w:p>
        </w:tc>
        <w:tc>
          <w:tcPr>
            <w:tcW w:type="dxa" w:w="102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Hospital edge/OT trust-zone pattern is approved before OT integration work.</w:t>
            </w:r>
          </w:p>
        </w:tc>
      </w:tr>
    </w:tbl>
    <w:p>
      <w:pPr>
        <w:pStyle w:val="Heading1"/>
      </w:pPr>
      <w:r>
        <w:t>12. Requirement-linked Verification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rPr>
          <w:tblHeader w:val="true"/>
        </w:trPr>
        <w:tc>
          <w:tcPr>
            <w:tcW w:type="dxa" w:w="144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Family</w:t>
            </w:r>
          </w:p>
        </w:tc>
        <w:tc>
          <w:tcPr>
            <w:tcW w:type="dxa" w:w="648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Reqs</w:t>
            </w:r>
          </w:p>
        </w:tc>
        <w:tc>
          <w:tcPr>
            <w:tcW w:type="dxa" w:w="288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Profiles</w:t>
            </w:r>
          </w:p>
        </w:tc>
        <w:tc>
          <w:tcPr>
            <w:tcW w:type="dxa" w:w="612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1"/>
              </w:rPr>
              <w:t>Test trace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SRS-PLT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20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VP-PLT:18, VP-SEC:2</w:t>
            </w:r>
          </w:p>
        </w:tc>
        <w:tc>
          <w:tcPr>
            <w:tcW w:type="dxa" w:w="61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TST-SRS-PLT-001-&lt;CLASS&gt;-01 pattern; concrete cases in Master RTM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SRS-IAM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15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VP-SEC:15</w:t>
            </w:r>
          </w:p>
        </w:tc>
        <w:tc>
          <w:tcPr>
            <w:tcW w:type="dxa" w:w="61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TST-SRS-IAM-001-&lt;CLASS&gt;-01 pattern; concrete cases in Master RTM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SRS-WEB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16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VP-UX:13, VP-SEC:3</w:t>
            </w:r>
          </w:p>
        </w:tc>
        <w:tc>
          <w:tcPr>
            <w:tcW w:type="dxa" w:w="61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TST-SRS-WEB-001-&lt;CLASS&gt;-01 pattern; concrete cases in Master RTM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SRS-API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VP-FUN:11, VP-INT:2, VP-SEC:1</w:t>
            </w:r>
          </w:p>
        </w:tc>
        <w:tc>
          <w:tcPr>
            <w:tcW w:type="dxa" w:w="61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TST-SRS-API-001-&lt;CLASS&gt;-01 pattern; concrete cases in Master RTM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SRS-DAT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VP-FUN:8, VP-SAF:2, VP-DAT:2, VP-PLT:1, VP-SEC:1</w:t>
            </w:r>
          </w:p>
        </w:tc>
        <w:tc>
          <w:tcPr>
            <w:tcW w:type="dxa" w:w="61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TST-SRS-DAT-001-&lt;CLASS&gt;-01 pattern; concrete cases in Master RTM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SRS-SEC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14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VP-SEC:14</w:t>
            </w:r>
          </w:p>
        </w:tc>
        <w:tc>
          <w:tcPr>
            <w:tcW w:type="dxa" w:w="61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TST-SRS-SEC-001-&lt;CLASS&gt;-01 pattern; concrete cases in Master RTM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SRS-NFR</w:t>
            </w:r>
          </w:p>
        </w:tc>
        <w:tc>
          <w:tcPr>
            <w:tcW w:type="dxa" w:w="648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16</w:t>
            </w:r>
          </w:p>
        </w:tc>
        <w:tc>
          <w:tcPr>
            <w:tcW w:type="dxa" w:w="288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VP-FUN:7, VP-PLT:6, VP-SAF:1, VP-UX:1, VP-SEC:1</w:t>
            </w:r>
          </w:p>
        </w:tc>
        <w:tc>
          <w:tcPr>
            <w:tcW w:type="dxa" w:w="612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1"/>
              </w:rPr>
              <w:t>TST-SRS-NFR-001-&lt;CLASS&gt;-01 pattern; concrete cases in Master RTM</w:t>
            </w:r>
          </w:p>
        </w:tc>
      </w:tr>
    </w:tbl>
    <w:p>
      <w:pPr>
        <w:pStyle w:val="ListBullet"/>
        <w:spacing w:after="16"/>
      </w:pPr>
      <w:r>
        <w:t>Every Wave-0 requirement must have concrete test cases before its implementation item can be marked Verified.</w:t>
      </w:r>
    </w:p>
    <w:p>
      <w:pPr>
        <w:pStyle w:val="ListBullet"/>
        <w:spacing w:after="16"/>
      </w:pPr>
      <w:r>
        <w:t>Mandatory classes include unit/domain, repository where persisted, contract, integration, security/tenant isolation, performance/DR where applicable, accessibility for UX requirements, and regression.</w:t>
      </w:r>
    </w:p>
    <w:p>
      <w:pPr>
        <w:pStyle w:val="ListBullet"/>
        <w:spacing w:after="16"/>
      </w:pPr>
      <w:r>
        <w:t>Platform failures are tested under retry, duplicate delivery, partial network failure, expired identity, wrong tenant, unavailable dependency and rollback/restore scenarios.</w:t>
      </w:r>
    </w:p>
    <w:p>
      <w:pPr>
        <w:pStyle w:val="Heading1"/>
      </w:pPr>
      <w:r>
        <w:t>13. Dependency Boundary with Wave 7</w:t>
      </w:r>
    </w:p>
    <w:p>
      <w:r>
        <w:t>Wave 0 establishes the minimum production-grade skeleton required by Wave 1. Wave 7 later completes the broader enterprise platform capabilities (SCADA, workflow/rules/forms, terminology/knowledge, AI, lakehouse/BI, API management/developer ecosystem, cyber/SOC, SRE/DR, integration hub, multi-country/localization/configuration). Wave-0 implementations must therefore expose stable contracts and extension points without prematurely claiming completion of those Wave-7 requirements.</w:t>
      </w:r>
    </w:p>
    <w:p>
      <w:pPr>
        <w:pStyle w:val="Heading1"/>
      </w:pPr>
      <w:r>
        <w:t>14. Atomic Requirement Implementation Register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rPr>
          <w:tblHeader w:val="true"/>
        </w:trPr>
        <w:tc>
          <w:tcPr>
            <w:tcW w:type="dxa" w:w="165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Requirement</w:t>
            </w:r>
          </w:p>
        </w:tc>
        <w:tc>
          <w:tcPr>
            <w:tcW w:type="dxa" w:w="605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Pri</w:t>
            </w:r>
          </w:p>
        </w:tc>
        <w:tc>
          <w:tcPr>
            <w:tcW w:type="dxa" w:w="129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Actor</w:t>
            </w:r>
          </w:p>
        </w:tc>
        <w:tc>
          <w:tcPr>
            <w:tcW w:type="dxa" w:w="482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Requirement intent</w:t>
            </w:r>
          </w:p>
        </w:tc>
        <w:tc>
          <w:tcPr>
            <w:tcW w:type="dxa" w:w="1800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Service/platform</w:t>
            </w:r>
          </w:p>
        </w:tc>
        <w:tc>
          <w:tcPr>
            <w:tcW w:type="dxa" w:w="129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P0 item</w:t>
            </w:r>
          </w:p>
        </w:tc>
        <w:tc>
          <w:tcPr>
            <w:tcW w:type="dxa" w:w="936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0"/>
              </w:rPr>
              <w:t>Verify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Create a tenant with immutable tenant_id, display name, legal jurisdiction, default locale, time zone and tenancy profile.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hierarchy Tenant → Legal Entity → Region → Facility → Department/Unit → Location/Room/Bed/Store.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Every tenant-owned database row shall carry tenant scope directly or through an unambiguous parent foreign key enforced by repository access patterns.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Configure facility type, address, contact, licenses, operating hours and identifiers.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Create departments, specialties, cost centers, service units and care locations with effective dates.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Maintain bed/room class, gender/isolation capability, operational status and charge mapping.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organization-scoped unique codes plus human-readable display names; avoid using names as keys.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Maker/Checker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Version master-data changes requiring approval before effective use.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SRS-PLT-009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Allow bulk import/export of master data using validated templates and dry-run mode.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Emit domain events for approved master-data changes used by downstream caches/search indexes.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Configure feature/module entitlements per tenant/facility.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Maintain correlation_id, request_id and actor context for all state-changing requests.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Provide effective-date evaluation for tariffs, roles, forms, code mappings and policies.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tenant-specific numbering sequences for MRN, encounter, invoice, receipt and other documents.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Prevent hard deletion of referenced transactional masters; use inactive/retired state.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Maintain holidays and facility calendars independent of provider rosters.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multilingual display labels and document templates.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Store configuration provenance: creator, approver, timestamps, reason and prior version.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SRS-PLT-019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Separate global reference data from tenant-owned configuration.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SRS-PLT-020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Platform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tenant suspension/read-only states with controlled emergency access policy.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OrganizationService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P0-05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All Users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Authenticate through standards-based identity provider with MFA policy configurable by role/risk.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Issue short-lived access credentials and rotate/refresh according to policy; browser must not persist long-lived secrets in local storage.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Define roles and permissions by bounded-context action, not only menu visibility.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Evaluate ABAC conditions including tenant, facility, department, assigned care team, patient relationship, encounter, purpose-of-use and time.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Clinical User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Provide break-glass access for configured emergency circumstances with reason capture, elevated audit and review notification.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joiner/mover/leaver lifecycle and immediate session revocation.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service-to-service identities using mTLS/workload identity or equivalent.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Audit successful/failed authentication, MFA changes, privilege changes, break-glass and sensitive exports.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SRS-IAM-009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SSO federation for enterprise customers.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SRS-IAM-010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Enforce idle and absolute session timeout by risk profile.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SRS-IAM-011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Show active sessions/devices and permit self-revocation where supported.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SRS-IAM-012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Require step-up authentication for privileged security, bulk export and destructive administrative actions.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SRS-IAM-013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Protect against privilege escalation through user-controlled tenant/facility identifiers.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SRS-IAM-014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Auditor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Provide read-only auditor role that cannot mutate clinical/financial records.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SRS-IAM-015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Risk-score abnormal login/session behavior and alert security team.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IdentityService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All Web Users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 all browser applications in Svelte + SvelteKit + TypeScript using shared design system.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generated ConnectRPC/Protobuf TypeScript clients as canonical API contract bindings.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Display active tenant/facility/department/patient/encounter context prominently where applicable.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Provide role-specific workspace home with worklists, tasks, alerts and quick actions.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Large worklists use server-side pagination/filter/sort and stable cursor or equivalent.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All forms expose loading, saved, validation, conflict and failure states.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optimistic UI only where server conflict semantics are defined and rollback is visible.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Prevent double-submit through disabled state plus idempotency key on eligible mutations.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SRS-WEB-009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Accessibility target WCAG 2.2 AA for patient and major staff workflows.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SRS-WEB-010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No PHI/clinical note text in client telemetry by default.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SRS-WEB-011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Client error surface includes correlation ID suitable for support without exposing stack traces/secrets.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SRS-WEB-012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Unsaved clinical draft warning on navigation/patient switch.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SRS-WEB-013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Saved views and column preferences for operational worklists.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SRS-WEB-014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Date/time display uses facility/user timezone explicitly for clinically material timestamps.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SRS-WEB-015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 headers, CSRF protections where applicable, CSP and XSS-safe rendering are enforced.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SRS-WEB-016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Clinical print/PDF views use versioned templates and preserve signed-document identity.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ExperiencePlatform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P0-08 / P0-09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Define canonical internal service contracts in Protobuf; generated clients/servers are version-controlled artifacts.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package versioning such as domain.v1; additive-compatible evolution is preferred.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Every state-changing RPC accepts request/correlation metadata and idempotency key where retry could duplicate business action.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Return structured domain error codes independent of display message.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Enforce authn/authz in shared interceptors plus domain-specific policy in use case.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Handlers perform transport mapping/validation only; business rules reside in application/domain layers.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Repository interfaces are defined by consuming domain; sqlc implementation remains infrastructure concern.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transaction boundaries in application layer and transactional outbox for externally visible domain events.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SRS-API-009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Protect PII/PHI in logs through structured allowlisted logging.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SRS-API-010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deadlines/timeouts and cancellation propagation.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SRS-API-011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asynchronous job/workflow for exports, bulk imports and long-running integrations.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VP-INT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SRS-API-012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Expose FHIR/REST/vendor gateways separately from internal domain contracts.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SRS-API-013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Contract test suite covers backward compatibility and permission/error semantics.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SRS-API-014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Propagate trace context across ConnectRPC, events and outbound adapters.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ApiPlatformService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P0-02 / P0-03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PostgreSQL is system of record for Phase-1 transactional data; each bounded context owns its tables.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sqlc-generated typed queries with reviewed SQL; dynamic SQL is limited to justified search/report patterns.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Financial, inventory and signed clinical records use append/amend/reversal semantics.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Store all timestamps in unambiguous instant form plus source timezone/local-time metadata where clinically/legal material.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database constraints for invariants that can be expressed safely: foreign keys, uniqueness, non-null, check constraints.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Schema migrations use expand/contract for rolling releases and are automated/tested.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Object/blob content is stored in encrypted object store; relational DB stores metadata, hash, classification and reference.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Search index and analytics stores are derivative/rebuildable; they are never legal source of truth.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SRS-DAT-009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Maintain retention/archival class metadata and legal hold capability.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SRS-DAT-010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Partition high-volume tables only on measured/forecast workload with documented key and retention plan.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SRS-DAT-011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Backups are encrypted and restore is tested on schedule.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SRS-DAT-012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Sensitive fields support encryption/masking strategy where threat model requires.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SRS-DAT-013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Every migration includes forward, rollback/mitigation and data-reconciliation notes.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SRS-DAT-014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CDC/event replication for analytics must exclude or tokenize fields not required downstream.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P0-04 / P0-10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VP-DAT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Encrypt external and inter-service traffic using current secure transport policy.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Encrypt databases, object storage, backups and secrets at rest using managed keys.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Use secret manager; no production secrets in source control or container images.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Audit reads of sensitive records, exports and state-changing actions with actor/purpose/context.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Rate-limit and abuse-protect public/patient-facing endpoints.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Generate SBOM and perform dependency, container, IaC, SAST and secret scans in CI/CD.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Perform threat model for each new high-risk domain/integration.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Provide secure bulk-export workflow with authorization, step-up, justification, watermarking/classification and expiring download grant.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SRS-SEC-009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Privacy Admin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Maintain privacy notice/purpose/consent artifacts independently from clinical consent.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SRS-SEC-010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configurable retention and data-subject request workflow subject to legal/clinical retention obligations.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SRS-SEC-011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Protect against insecure direct object references by server-side scope checks on every resource ID.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SRS-SEC-012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Implement tamper-evident security/event logging and centralized alerting.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SRS-SEC-013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Engineering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Penetration test before major production launch and after material security architecture change.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SRS-SEC-014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System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Define emergency/downtime access and recovery behavior that preserves audit and does not normalize bypass credentials.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SecurityPolicyService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P0-05 / P0-11 / P0-12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Availability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Core Phase-1 SaaS premium profile target 99.95% monthly availability excluding contractually defined maintenance.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Latency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Typical interactive internal RPC p95 target &lt;400 ms within deployment region excluding external dependencies.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Scalability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Architecture supports horizontal API/workflow workers and independently scalable high-load bounded contexts.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Concurrency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Appointment booking, MRN sequence, payments and finalization are concurrency-safe.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DR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Proposed core enterprise target RPO ≤5 min and RTO ≤60 min subject to contracted deployment profile.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Observability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All critical workflows expose metrics, traces, structured logs and business-state backlog indicators.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SRS-NFR-007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Accessibility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Patient and major staff journeys target WCAG 2.2 AA.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SRS-NFR-008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Localization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locale/timezone/currency/multilingual labels without duplicating business logic.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SRS-NFR-009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Recoverability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Failed async workflows are retryable/replayable with idempotent semantics and operator-visible exception queue.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SRS-NFR-010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Maintainability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Architecture boundaries enforced through package/module ownership and CI architecture tests.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SRS-NFR-011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Auditability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Clinically/financially material history is reconstructable from source records, versions and audit/event references.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VP-SAF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SRS-NFR-012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Data export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Tenant/patient authorized export uses asynchronous jobs for large scope and produces manifest/checksums.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SRS-NFR-013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SHOULD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Offline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Selected edge/mobile workflows can queue operations during transient outage with deterministic conflict resolution.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VP-UX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SRS-NFR-014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Browser support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Support current enterprise versions of major evergreen browsers per published support matrix.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VP-FUN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SRS-NFR-015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Quality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No unresolved severity-1 clinical/security/data-integrity defect at production gate.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VP-SEC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SRS-NFR-016</w:t>
            </w:r>
          </w:p>
        </w:tc>
        <w:tc>
          <w:tcPr>
            <w:tcW w:type="dxa" w:w="605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MUST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Backup</w:t>
            </w:r>
          </w:p>
        </w:tc>
        <w:tc>
          <w:tcPr>
            <w:tcW w:type="dxa" w:w="482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Backups and restore evidence are monitored; backup success alone is insufficient without restore test.</w:t>
            </w:r>
          </w:p>
        </w:tc>
        <w:tc>
          <w:tcPr>
            <w:tcW w:type="dxa" w:w="1800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SrePlatformService</w:t>
            </w:r>
          </w:p>
        </w:tc>
        <w:tc>
          <w:tcPr>
            <w:tcW w:type="dxa" w:w="129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P0-10 / P0-12 / P0-14</w:t>
            </w:r>
          </w:p>
        </w:tc>
        <w:tc>
          <w:tcPr>
            <w:tcW w:type="dxa" w:w="936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0"/>
              </w:rPr>
              <w:t>VP-PLT</w:t>
            </w:r>
          </w:p>
        </w:tc>
      </w:tr>
    </w:tbl>
    <w:p>
      <w:pPr>
        <w:pStyle w:val="Heading1"/>
      </w:pPr>
      <w:r>
        <w:t>15. Definition of Ready / Done for Wave 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tblHeader w:val="true"/>
        </w:trPr>
        <w:tc>
          <w:tcPr>
            <w:tcW w:type="dxa" w:w="158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Gate</w:t>
            </w:r>
          </w:p>
        </w:tc>
        <w:tc>
          <w:tcPr>
            <w:tcW w:type="dxa" w:w="9504"/>
            <w:shd w:fill="D9EAF7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2"/>
            </w:pPr>
            <w:r>
              <w:rPr>
                <w:b/>
                <w:sz w:val="12"/>
              </w:rPr>
              <w:t>Criterion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Ready-1</w:t>
            </w:r>
          </w:p>
        </w:tc>
        <w:tc>
          <w:tcPr>
            <w:tcW w:type="dxa" w:w="95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All 109 canonical requirements are present in Engineering Registry and RTM with family/wave ownership.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Ready-2</w:t>
            </w:r>
          </w:p>
        </w:tc>
        <w:tc>
          <w:tcPr>
            <w:tcW w:type="dxa" w:w="95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P0 item has architecture owner, implementation owner, test owner and an objective exit criterion.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Ready-3</w:t>
            </w:r>
          </w:p>
        </w:tc>
        <w:tc>
          <w:tcPr>
            <w:tcW w:type="dxa" w:w="95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Open technology ADR has PoC/decision criteria; feature teams are not forced to guess vendor-specific behavior.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Done-1</w:t>
            </w:r>
          </w:p>
        </w:tc>
        <w:tc>
          <w:tcPr>
            <w:tcW w:type="dxa" w:w="95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P0-01 through P0-14 exit criteria pass or have formally approved deferred scope.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Done-2</w:t>
            </w:r>
          </w:p>
        </w:tc>
        <w:tc>
          <w:tcPr>
            <w:tcW w:type="dxa" w:w="95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A1–A12 architecture gates pass before broad Wave-1 feature development.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Done-3</w:t>
            </w:r>
          </w:p>
        </w:tc>
        <w:tc>
          <w:tcPr>
            <w:tcW w:type="dxa" w:w="95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All 109 requirements are Verified with linked evidence; code-complete alone is insufficient.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Done-4</w:t>
            </w:r>
          </w:p>
        </w:tc>
        <w:tc>
          <w:tcPr>
            <w:tcW w:type="dxa" w:w="9504"/>
            <w:vAlign w:val="top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1"/>
            </w:pPr>
            <w:r>
              <w:rPr>
                <w:sz w:val="12"/>
              </w:rPr>
              <w:t>Runbooks, SLOs, security controls, backup/restore, CI/CD and traceability are operational, not merely documented.</w:t>
            </w:r>
          </w:p>
        </w:tc>
      </w:tr>
    </w:tbl>
    <w:p>
      <w:pPr>
        <w:pStyle w:val="Heading1"/>
      </w:pPr>
      <w:r>
        <w:t>16. Baseline Statement</w:t>
      </w:r>
    </w:p>
    <w:p>
      <w:r>
        <w:t>This Wave 0 Platform Foundation Detailed Engineering Specification closes the gap between the Engineering Architecture Blueprint and feature-wave execution. It is the developer-facing baseline for the 109 Phase-1 foundation requirements. Any change to requirement intent, canonical ownership, tenancy/security boundary, contract compatibility rule or platform acceptance gate requires controlled change and corresponding updates to the Master Engineering Registry and Master RTM.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Confidential | Wave 0 v1.0 | September 2026 | </w:t>
    </w:r>
    <w: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t>Unified Healthcare SaaS — Wave 0 Platform Foundation Detailed Engineering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4" w:line="245" w:lineRule="auto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638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84E72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3A5C7D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Aptos" w:hAnsi="Apto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Unified Healthcare SaaS Wave 0 Platform Foundation Detailed Engineering Specification</dc:title>
  <dc:subject>Wave 0 implementation-ready platform foundation baseline</dc:subject>
  <dc:creator>P9e Microsystems Private Limited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