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85A"/>
          <w:sz w:val="44"/>
        </w:rPr>
        <w:br/>
        <w:br/>
        <w:t>UNIFIED HEALTHCARE SaaS PLATFORM</w:t>
        <w:br/>
        <w:t>DETAILED FEATURE ENGINEERING SPECIFICATION</w:t>
      </w:r>
    </w:p>
    <w:p>
      <w:pPr>
        <w:jc w:val="center"/>
      </w:pPr>
      <w:r>
        <w:rPr>
          <w:b/>
          <w:sz w:val="26"/>
        </w:rPr>
        <w:br/>
        <w:t>WAVE 3 — DIAGNOSTICS</w:t>
      </w:r>
    </w:p>
    <w:p>
      <w:pPr>
        <w:jc w:val="center"/>
      </w:pPr>
      <w:r>
        <w:br/>
        <w:t>Implementation-ready elaboration for 185 atomic SRS requirements</w:t>
        <w:br/>
        <w:t>Go + Protobuf/ConnectRPC + PostgreSQL/sqlc | Svelte/SvelteKit | Flutter | Rust AI/ML</w:t>
        <w:br/>
        <w:t>Version 1.0 — September 2026</w:t>
      </w:r>
    </w:p>
    <w:p>
      <w:r>
        <w:br w:type="page"/>
      </w:r>
    </w:p>
    <w:p>
      <w:pPr>
        <w:pStyle w:val="Heading1"/>
      </w:pPr>
      <w:r>
        <w:t>1. Purpose, Scope and Engineering Baseline</w:t>
      </w:r>
    </w:p>
    <w:p>
      <w:r>
        <w:t>This document elaborates Wave 3 — Diagnostics into an implementation-ready engineering baseline. It is subordinate to the Master SRS, Master Index &amp; Traceability, Engineering Architecture Blueprint, Domain/Data/API/Event/Security Architecture, UX Architecture, Development Backlog and Testing Master Plan. It does not alter SRS intent; it converts that intent into bounded-context, workflow, API, data, UX, authorization and verification design.</w:t>
      </w:r>
    </w:p>
    <w:p>
      <w:pPr>
        <w:pStyle w:val="ListBullet"/>
        <w:spacing w:after="14"/>
      </w:pPr>
      <w:r>
        <w:t>Wave exit outcome: End-to-end laboratory/radiology/pathology diagnostics with device/PACS integration, referral/home collection and quality controls.</w:t>
      </w:r>
    </w:p>
    <w:p>
      <w:pPr>
        <w:pStyle w:val="ListBullet"/>
        <w:spacing w:after="14"/>
      </w:pPr>
      <w:r>
        <w:t>Atomic requirement coverage: 185; every source family is listed in Section 3 and remains traceable to its source SRS.</w:t>
      </w:r>
    </w:p>
    <w:p>
      <w:pPr>
        <w:pStyle w:val="ListBullet"/>
        <w:spacing w:after="14"/>
      </w:pPr>
      <w:r>
        <w:t>Feature teams may refine field-level schema and UI details just before implementation, but may not change ownership, state-machine invariants, security policy or external contracts without controlled review.</w:t>
      </w:r>
    </w:p>
    <w:p>
      <w:pPr>
        <w:pStyle w:val="ListBullet"/>
        <w:spacing w:after="14"/>
      </w:pPr>
      <w:r>
        <w:t>All state-changing operations use the shared audit/correlation/idempotency conventions and transactional outbox pattern defined in the architecture specifications.</w:t>
      </w:r>
    </w:p>
    <w:p>
      <w:pPr>
        <w:pStyle w:val="Heading1"/>
      </w:pPr>
      <w:r>
        <w:t>2. Wave Exit Criteria and Delivery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72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Area</w:t>
            </w:r>
          </w:p>
        </w:tc>
        <w:tc>
          <w:tcPr>
            <w:tcW w:type="dxa" w:w="936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Exit criterion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End-to-end laboratory/radiology/pathology diagnostics with device/PACS integration, referral/home collection and quality controls.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Architecture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All included families have named owning service/context; no cross-context database writes.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UX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Primary role workspaces and critical happy/negative states are specified and use shared design-system components.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Security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Canonical permissions exist and ABAC/tenant/patient-context rules are enforced server-side.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Verification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Every in-scope SRS ID is mapped to concrete test cases before G4; Tier-0/1 items include negative/failure-mode evidence.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Operations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Telemetry, audit, SLO/runbook and rollback expectations exist for production deployables.</w:t>
            </w:r>
          </w:p>
        </w:tc>
      </w:tr>
    </w:tbl>
    <w:p>
      <w:pPr>
        <w:pStyle w:val="Heading1"/>
      </w:pPr>
      <w:r>
        <w:t>3. Requirement Family Coverage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blHeader w:val="true"/>
        </w:trPr>
        <w:tc>
          <w:tcPr>
            <w:tcW w:type="dxa" w:w="7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Source</w:t>
            </w:r>
          </w:p>
        </w:tc>
        <w:tc>
          <w:tcPr>
            <w:tcW w:type="dxa" w:w="1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Original</w:t>
            </w:r>
          </w:p>
        </w:tc>
        <w:tc>
          <w:tcPr>
            <w:tcW w:type="dxa" w:w="12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Canonical</w:t>
            </w:r>
          </w:p>
        </w:tc>
        <w:tc>
          <w:tcPr>
            <w:tcW w:type="dxa" w:w="30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Capability</w:t>
            </w:r>
          </w:p>
        </w:tc>
        <w:tc>
          <w:tcPr>
            <w:tcW w:type="dxa" w:w="64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Reqs</w:t>
            </w:r>
          </w:p>
        </w:tc>
        <w:tc>
          <w:tcPr>
            <w:tcW w:type="dxa" w:w="187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Owner service</w:t>
            </w:r>
          </w:p>
        </w:tc>
        <w:tc>
          <w:tcPr>
            <w:tcW w:type="dxa" w:w="244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Primary aggregate</w:t>
            </w:r>
          </w:p>
        </w:tc>
        <w:tc>
          <w:tcPr>
            <w:tcW w:type="dxa" w:w="86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Verify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SRS-DIAG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SRS-DIAG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Diagnostics Core / LIS Requirements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35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LabService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DiagnosticOrder / Specimen / Result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VP-SAF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SRS-MIC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SRS-MIC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Microbiology Requirements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MicrobiologyService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Culture / Organism / AST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SRS-HIS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SRS-HIS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Histopathology, Cytology and Digital Pathology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PathologyService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PathologyCase / Block / Slide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VP-SAF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SRS-MOL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SRS-MOL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Molecular Diagnostics and Genomics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MolecularService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MolecularCase / Variant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VP-DAT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SRS-RAD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SRS-RAD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Radiology, RIS, PACS and DICOM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30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ImagingService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ImagingStudy / Report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VP-INT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SRS-DNET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SRS-DNET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Diagnostic Network, Referral and Home Collection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DiagnosticNetworkService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CollectionJob / ReferralTest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VP-SAF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SRS-DQA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SRS-DQA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Diagnostic Quality and Accreditation Support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DiagnosticQualityService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QCEvent / Calibration / CAPA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VP-SAF</w:t>
            </w:r>
          </w:p>
        </w:tc>
      </w:tr>
    </w:tbl>
    <w:p>
      <w:pPr>
        <w:pStyle w:val="Heading1"/>
      </w:pPr>
      <w:r>
        <w:t>4. Feature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4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Family</w:t>
            </w:r>
          </w:p>
        </w:tc>
        <w:tc>
          <w:tcPr>
            <w:tcW w:type="dxa" w:w="273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Capability</w:t>
            </w:r>
          </w:p>
        </w:tc>
        <w:tc>
          <w:tcPr>
            <w:tcW w:type="dxa" w:w="61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Implementation feature slices</w:t>
            </w:r>
          </w:p>
        </w:tc>
        <w:tc>
          <w:tcPr>
            <w:tcW w:type="dxa" w:w="172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Owner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SRS-DIAG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Diagnostics Core / LIS Requirements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Catalog changes are effective-dated; orders retain the exact catalog version used.; Every order records source, requester, ordering organization, encounter if applicable and cor...</w:t>
              <w:br/>
              <w:t>F2: Each aliquot can be traced back to original specimen and patient/order.; Current custody/location is queryable for every active specimen.</w:t>
              <w:br/>
              <w:t>F3: Release cannot occur until required validation stages are complete.; Critical result is not considered closed until an authorized recipient acknowledges or escalation policy com...</w:t>
              <w:br/>
              <w:t>F4: All repeated measurements are preserved; final selection is explicit.; Cancelled orders do not silently delete collected specimen history.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LabService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SRS-MIC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Microbiology Requirements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Source/site are structured and included in susceptibility interpretation context.; Preliminary results can be released independently with status and signer.</w:t>
              <w:br/>
              <w:t>F2: Conflicts generate review alerts before finalization.; Configured MDRO result emits event to infection-control worklist.</w:t>
              <w:br/>
              <w:t>F3: Analytics exclude configured duplicates and use governed methodology.; Potential clusters are flagged for human epidemiology review.</w:t>
              <w:br/>
              <w:t>F4: Template use records version and author.; Interface mapping exceptions are routed for review.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MicrobiologyService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SRS-HIS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Histopathology, Cytology and Digital Pathology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Each specimen has unique sub-identifier and chain-of-custody.; Required context is visible during grossing/reporting.</w:t>
              <w:br/>
              <w:t>F2: Frozen diagnosis communication recipient/time are mandatory.; Case templates differ by specimen category and retain standardized reporting fields.</w:t>
              <w:br/>
              <w:t>F3: Original diagnosis remains immutable and amendment recipients are tracked.; Physical material custody is queryable.</w:t>
              <w:br/>
              <w:t>F4: Access is restricted and reports are not mixed into routine pathology worklists.; Related tests appear in integrated pathology case view.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PathologyService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SRS-MOL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Molecular Diagnostics and Genomics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Order cannot proceed when required consent is absent.; Workflow varies by assay class and specimen.</w:t>
              <w:br/>
              <w:t>F2: Relative linkage is permissioned and purpose-limited.; Paired samples remain linked to one analysis episode.</w:t>
              <w:br/>
              <w:t>F3: Stored material has retention/disposal history.; Only validated active assay versions are selectable for patient testing.</w:t>
              <w:br/>
              <w:t>F4: RUO outputs cannot be released into clinical chart as final diagnostic result without governed conversion.; Quality dashboard identifies failed/late events.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MolecularService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SRS-RAD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Radiology, RIS, PACS and DICOM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Order maps to schedulable modality resource and protocol family.; Order source and clinical question are mandatory for configured studies.</w:t>
              <w:br/>
              <w:t>F2: Contrast administration can be audited to patient and product lot.; Dose data are linked to study and available for QA analytics.</w:t>
              <w:br/>
              <w:t>F3: Remote reporter privilege and assignment are validated.; Study can be routed by body part/protocol and competency.</w:t>
              <w:br/>
              <w:t>F4: Imported study is reconciled to correct patient before clinical availability.; Every share is logged and revocable.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ImagingService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SRS-DNET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Diagnostic Network, Referral and Home Collection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Orders route according to provider capability and contract.; Patient sees only services enabled for consumer ordering.</w:t>
              <w:br/>
              <w:t>F2: Payment status is reconciled before final settlement.; Settlement uses contract version effective at order date.</w:t>
              <w:br/>
              <w:t>F3: Ranking factors are transparent/configurable and do not misrepresent accreditation.; Patient receives unified status while provider-level fulfillment remains distinct.</w:t>
              <w:br/>
              <w:t>F4: Package composition/version retained per order.; Partial/final status is clear at item level.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DiagnosticNetworkService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SRS-DQA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Diagnostic Quality and Accreditation Support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Failed QC status is visible to affected test/analyzer worklist.; PT material is segregated from patient samples and evidence retained.</w:t>
              <w:br/>
              <w:t>F2: User can retrieve effective SOP version for a historical result date.; Unauthorized user cannot validate restricted test.</w:t>
              <w:br/>
              <w:t>F3: Affected records can be referenced without altering clinical result history.; Marketplace/report can distinguish accredited scope from facility-wide claims.</w:t>
              <w:br/>
              <w:t>F4: Inactive/unvalidated method cannot be selected for production orders.; Each interval version has source/approval/effective date.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DiagnosticQualityService</w:t>
            </w:r>
          </w:p>
        </w:tc>
      </w:tr>
    </w:tbl>
    <w:p>
      <w:pPr>
        <w:pStyle w:val="Heading1"/>
      </w:pPr>
      <w:r>
        <w:t>5. End-to-End Workflow Design</w:t>
      </w:r>
    </w:p>
    <w:p>
      <w:pPr>
        <w:pStyle w:val="ListNumber"/>
      </w:pPr>
      <w:r>
        <w:t>WF-3-01  Clinical order -&gt; accession -&gt; collection -&gt; receive -&gt; process -&gt; validate -&gt; release -&gt; clinician/patient delivery</w:t>
      </w:r>
    </w:p>
    <w:p>
      <w:pPr>
        <w:pStyle w:val="ListNumber"/>
      </w:pPr>
      <w:r>
        <w:t>WF-3-02  Culture -&gt; organism identification -&gt; AST -&gt; interpretation -&gt; interim/final report</w:t>
      </w:r>
    </w:p>
    <w:p>
      <w:pPr>
        <w:pStyle w:val="ListNumber"/>
      </w:pPr>
      <w:r>
        <w:t>WF-3-03  Pathology accession -&gt; grossing -&gt; blocks -&gt; slides -&gt; stains/IHC -&gt; pathologist sign-off</w:t>
      </w:r>
    </w:p>
    <w:p>
      <w:pPr>
        <w:pStyle w:val="ListNumber"/>
      </w:pPr>
      <w:r>
        <w:t>WF-3-04  Molecular sample -&gt; extraction -&gt; assay/sequencing -&gt; pipeline -&gt; interpretation -&gt; report</w:t>
      </w:r>
    </w:p>
    <w:p>
      <w:pPr>
        <w:pStyle w:val="ListNumber"/>
      </w:pPr>
      <w:r>
        <w:t>WF-3-05  Radiology scheduling -&gt; protocol -&gt; acquisition -&gt; PACS -&gt; reporting -&gt; critical finding communication</w:t>
      </w:r>
    </w:p>
    <w:p>
      <w:pPr>
        <w:pStyle w:val="ListNumber"/>
      </w:pPr>
      <w:r>
        <w:t>WF-3-06  Home/referral collection -&gt; logistics -&gt; receiving lab -&gt; result return -&gt; settlement</w:t>
      </w:r>
    </w:p>
    <w:p>
      <w:pPr>
        <w:pStyle w:val="ListNumber"/>
      </w:pPr>
      <w:r>
        <w:t>WF-3-07  QC/calibration -&gt; rule violation -&gt; hold/review -&gt; CAPA -&gt; release</w:t>
      </w:r>
    </w:p>
    <w:p>
      <w:r>
        <w:t>Workflow implementation rule: each arrow represents either a command within the owning bounded context or an explicit API/event/workflow transition. A workflow definition may coordinate the sequence, but it must never become the authoritative record for clinical, financial, inventory, payer or OT state.</w:t>
      </w:r>
    </w:p>
    <w:p>
      <w:pPr>
        <w:pStyle w:val="Heading1"/>
      </w:pPr>
      <w:r>
        <w:t>6. Canonical State Machines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5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Aggregate / process</w:t>
            </w:r>
          </w:p>
        </w:tc>
        <w:tc>
          <w:tcPr>
            <w:tcW w:type="dxa" w:w="84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State model and invariant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Specimen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ORDERED -&gt; COLLECTED -&gt; IN_TRANSIT -&gt; RECEIVED -&gt; PROCESSING -&gt; VALIDATED -&gt; ARCHIVED/DISPOSED; REJECTED possible.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Diagnostic report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DRAFT -&gt; TECHNICALLY_VALIDATED -&gt; MEDICALLY_VALIDATED -&gt; RELEASED -&gt; AMENDED.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Microbiology culture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INOCULATED -&gt; INCUBATING -&gt; POSITIVE/NEGATIVE -&gt; IDENTIFIED -&gt; AST_COMPLETE -&gt; FINAL.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Pathology case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ACCESSIONED -&gt; GROSSING -&gt; PROCESSING -&gt; SLIDE_READY -&gt; REVIEW -&gt; FINAL.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Imaging study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SCHEDULED -&gt; ARRIVED -&gt; ACQUIRED -&gt; AVAILABLE_IN_PACS -&gt; REPORTED -&gt; FINAL.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Critical result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RAISED -&gt; NOTIFICATION_ATTEMPTED -&gt; ACKNOWLEDGED -&gt; CLOSED.</w:t>
            </w:r>
          </w:p>
        </w:tc>
      </w:tr>
    </w:tbl>
    <w:p>
      <w:pPr>
        <w:pStyle w:val="Heading1"/>
      </w:pPr>
      <w:r>
        <w:t>7. Domain and Data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2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Family</w:t>
            </w:r>
          </w:p>
        </w:tc>
        <w:tc>
          <w:tcPr>
            <w:tcW w:type="dxa" w:w="295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Primary aggregate(s)</w:t>
            </w:r>
          </w:p>
        </w:tc>
        <w:tc>
          <w:tcPr>
            <w:tcW w:type="dxa" w:w="1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Logical schema</w:t>
            </w:r>
          </w:p>
        </w:tc>
        <w:tc>
          <w:tcPr>
            <w:tcW w:type="dxa" w:w="388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Required data conventions</w:t>
            </w:r>
          </w:p>
        </w:tc>
        <w:tc>
          <w:tcPr>
            <w:tcW w:type="dxa" w:w="230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Mutation rule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SRS-DIAG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DiagnosticOrder / Specimen / Result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diag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SRS-MIC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Culture / Organism / AST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mic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SRS-HIS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PathologyCase / Block / Slide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his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SRS-MOL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MolecularCase / Variant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mol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SRS-RAD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ImagingStudy / Report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rad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SRS-DNET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CollectionJob / ReferralTest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dnet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SRS-DQA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QCEvent / Calibration / CAPA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dqa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</w:tbl>
    <w:p>
      <w:pPr>
        <w:pStyle w:val="ListBullet"/>
        <w:spacing w:after="14"/>
      </w:pPr>
      <w:r>
        <w:t>No feature may model the Patient as one giant aggregate. Use identifiers and explicit references across aggregates.</w:t>
      </w:r>
    </w:p>
    <w:p>
      <w:pPr>
        <w:pStyle w:val="ListBullet"/>
        <w:spacing w:after="14"/>
      </w:pPr>
      <w:r>
        <w:t>Financial, inventory, consent/disclosure and other ledger-like histories are append-oriented; corrections use reversal/compensation.</w:t>
      </w:r>
    </w:p>
    <w:p>
      <w:pPr>
        <w:pStyle w:val="ListBullet"/>
        <w:spacing w:after="14"/>
      </w:pPr>
      <w:r>
        <w:t>Clinical signed/finalized content uses addendum/amendment semantics.</w:t>
      </w:r>
    </w:p>
    <w:p>
      <w:pPr>
        <w:pStyle w:val="ListBullet"/>
        <w:spacing w:after="14"/>
      </w:pPr>
      <w:r>
        <w:t>Cross-context reporting uses read models/analytics, never direct cross-schema mutation.</w:t>
      </w:r>
    </w:p>
    <w:p>
      <w:pPr>
        <w:pStyle w:val="ListBullet"/>
        <w:spacing w:after="14"/>
      </w:pPr>
      <w:r>
        <w:t>Indexes, partitioning and lock strategy are chosen from measured query/volume patterns but must retain tenant-leading access paths.</w:t>
      </w:r>
    </w:p>
    <w:p>
      <w:pPr>
        <w:pStyle w:val="Heading1"/>
      </w:pPr>
      <w:r>
        <w:t>8. Protobuf / ConnectRPC Contract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0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Service</w:t>
            </w:r>
          </w:p>
        </w:tc>
        <w:tc>
          <w:tcPr>
            <w:tcW w:type="dxa" w:w="806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Representative Wave RPCs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LabService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CreateAccession; CollectSpecimen; ReceiveSpecimen; RecordResult; ValidateResult; ReleaseReport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MicrobiologyService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RecordCulture; IdentifyOrganism; RecordAST; FinalizeReport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PathologyService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GrossSpecimen; CreateBlock; CreateSlide; RecordStain; FinalizeCase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MolecularService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RegisterAssay; ImportPipelineResult; InterpretVariant; FinalizeMolecularReport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ImagingService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ScheduleStudy; ProtocolStudy; CompleteAcquisition; CreateReport; FinalizeReport; RaiseCriticalFinding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DiagnosticNetworkService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BookHomeCollection; AssignCollector; CreateManifest; ReceiveReferral; ReturnResult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DiagnosticQualityService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RecordQC; RecordCalibration; CreateNonconformance; CreateCAPA</w:t>
            </w:r>
          </w:p>
        </w:tc>
      </w:tr>
    </w:tbl>
    <w:p>
      <w:pPr>
        <w:pStyle w:val="ListBullet"/>
        <w:spacing w:after="14"/>
      </w:pPr>
      <w:r>
        <w:t>Canonical package: healthcare.&lt;bounded_context&gt;.v1; stable field numbers; unspecified enum value = 0.</w:t>
      </w:r>
    </w:p>
    <w:p>
      <w:pPr>
        <w:pStyle w:val="ListBullet"/>
        <w:spacing w:after="14"/>
      </w:pPr>
      <w:r>
        <w:t>Commands that may be retried carry an idempotency key and return the prior successful result where contract allows.</w:t>
      </w:r>
    </w:p>
    <w:p>
      <w:pPr>
        <w:pStyle w:val="ListBullet"/>
        <w:spacing w:after="14"/>
      </w:pPr>
      <w:r>
        <w:t>Tenant/user/service/facility/purpose context comes from authenticated transport metadata, not an untrusted request-body tenant field.</w:t>
      </w:r>
    </w:p>
    <w:p>
      <w:pPr>
        <w:pStyle w:val="ListBullet"/>
        <w:spacing w:after="14"/>
      </w:pPr>
      <w:r>
        <w:t>All RPCs return structured error details with stable domain error code, retryability and correlation ID.</w:t>
      </w:r>
    </w:p>
    <w:p>
      <w:pPr>
        <w:pStyle w:val="ListBullet"/>
        <w:spacing w:after="14"/>
      </w:pPr>
      <w:r>
        <w:t>External FHIR/NHCX/DICOM/vendor schemas map through adapters and do not become internal domain objects.</w:t>
      </w:r>
    </w:p>
    <w:p>
      <w:pPr>
        <w:pStyle w:val="Heading1"/>
      </w:pPr>
      <w:r>
        <w:t>9. Domain Events and Asynchronous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ID</w:t>
            </w:r>
          </w:p>
        </w:tc>
        <w:tc>
          <w:tcPr>
            <w:tcW w:type="dxa" w:w="252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Event</w:t>
            </w:r>
          </w:p>
        </w:tc>
        <w:tc>
          <w:tcPr>
            <w:tcW w:type="dxa" w:w="144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Producer domain</w:t>
            </w:r>
          </w:p>
        </w:tc>
        <w:tc>
          <w:tcPr>
            <w:tcW w:type="dxa" w:w="460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Minimum envelope</w:t>
            </w:r>
          </w:p>
        </w:tc>
        <w:tc>
          <w:tcPr>
            <w:tcW w:type="dxa" w:w="201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Delivery rule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W3-EVT-001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specimen.collected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specimen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W3-EVT-002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specimen.received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specimen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W3-EVT-003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specimen.rejected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specimen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W3-EVT-004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lab.result_validated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lab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W3-EVT-005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diagnostic.report_released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diagnostic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W3-EVT-006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microbiology.organism_identified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microbiology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W3-EVT-007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pathology.case_finalized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pathology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W3-EVT-008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molecular.report_finalized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molecular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W3-EVT-009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imaging.study_completed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imaging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W3-EVT-010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imaging.report_finalized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imaging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W3-EVT-011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critical_result.raised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critical_result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W3-EVT-012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critical_result.acknowledged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critical_result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</w:tbl>
    <w:p>
      <w:pPr>
        <w:pStyle w:val="Heading1"/>
      </w:pPr>
      <w:r>
        <w:t>10. Authorization and Security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0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Permission</w:t>
            </w:r>
          </w:p>
        </w:tc>
        <w:tc>
          <w:tcPr>
            <w:tcW w:type="dxa" w:w="547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Required ABAC context</w:t>
            </w:r>
          </w:p>
        </w:tc>
        <w:tc>
          <w:tcPr>
            <w:tcW w:type="dxa" w:w="25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Audit rule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lab.collect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lab.receive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lab.result.enter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lab.result.validate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lab.report.release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microbiology.ast.validate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pathology.gross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pathology.sign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molecular.interpret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radiology.protocol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radiology.report.sign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critical_result.ack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diagnostic.qc.manage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</w:tbl>
    <w:p>
      <w:pPr>
        <w:pStyle w:val="ListBullet"/>
        <w:spacing w:after="14"/>
      </w:pPr>
      <w:r>
        <w:t>UI visibility is never authorization.</w:t>
      </w:r>
    </w:p>
    <w:p>
      <w:pPr>
        <w:pStyle w:val="ListBullet"/>
        <w:spacing w:after="14"/>
      </w:pPr>
      <w:r>
        <w:t>Break-glass is an explicit policy path with reason, time-bound elevation and post-event review.</w:t>
      </w:r>
    </w:p>
    <w:p>
      <w:pPr>
        <w:pStyle w:val="ListBullet"/>
        <w:spacing w:after="14"/>
      </w:pPr>
      <w:r>
        <w:t>Cross-tenant resource substitution must fail in automated negative tests.</w:t>
      </w:r>
    </w:p>
    <w:p>
      <w:pPr>
        <w:pStyle w:val="ListBullet"/>
        <w:spacing w:after="14"/>
      </w:pPr>
      <w:r>
        <w:t>Sensitive exports/downloads use short-lived authorized object grants; routine logs exclude raw PHI/secrets.</w:t>
      </w:r>
    </w:p>
    <w:p>
      <w:pPr>
        <w:pStyle w:val="Heading1"/>
      </w:pPr>
      <w:r>
        <w:t>11. UX / Workspace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Screen group</w:t>
            </w:r>
          </w:p>
        </w:tc>
        <w:tc>
          <w:tcPr>
            <w:tcW w:type="dxa" w:w="30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Workspace</w:t>
            </w:r>
          </w:p>
        </w:tc>
        <w:tc>
          <w:tcPr>
            <w:tcW w:type="dxa" w:w="48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Required shared patterns</w:t>
            </w:r>
          </w:p>
        </w:tc>
        <w:tc>
          <w:tcPr>
            <w:tcW w:type="dxa" w:w="244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Required states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UX-W3-01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Collection &amp; Accession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UX-W3-02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Lab Bench/Analyzer Worklist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UX-W3-03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Validation &amp; Critical Results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UX-W3-04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Microbiology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UX-W3-05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Pathology/Digital Pathology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UX-W3-06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Molecular/Genomics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UX-W3-07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Radiology RIS/PACS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UX-W3-08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Diagnostic Network/Home Collection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UX-W3-09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Quality/QC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</w:tbl>
    <w:p>
      <w:pPr>
        <w:pStyle w:val="ListBullet"/>
        <w:spacing w:after="14"/>
      </w:pPr>
      <w:r>
        <w:t>Every detailed screen produced during feature design must cite canonical SRS IDs, user/role, entry point, context, APIs, fields/actions, audit, accessibility and acceptance criteria.</w:t>
      </w:r>
    </w:p>
    <w:p>
      <w:pPr>
        <w:pStyle w:val="ListBullet"/>
        <w:spacing w:after="14"/>
      </w:pPr>
      <w:r>
        <w:t>Status, urgency, clinical interpretation, technical state and SLA state use separate semantic tokens.</w:t>
      </w:r>
    </w:p>
    <w:p>
      <w:pPr>
        <w:pStyle w:val="ListBullet"/>
        <w:spacing w:after="14"/>
      </w:pPr>
      <w:r>
        <w:t>Wrong-patient prevention and patient-context re-confirmation are mandatory in high-risk clinical workflows.</w:t>
      </w:r>
    </w:p>
    <w:p>
      <w:pPr>
        <w:pStyle w:val="ListBullet"/>
        <w:spacing w:after="14"/>
      </w:pPr>
      <w:r>
        <w:t>No feature team may create a new visual pattern when an approved design-system component fits the use case without design review.</w:t>
      </w:r>
    </w:p>
    <w:p>
      <w:pPr>
        <w:pStyle w:val="Heading1"/>
      </w:pPr>
      <w:r>
        <w:t>12. External and Cross-Wave Dependencies</w:t>
      </w:r>
    </w:p>
    <w:p>
      <w:pPr>
        <w:pStyle w:val="ListBullet"/>
        <w:spacing w:after="14"/>
      </w:pPr>
      <w:r>
        <w:t>Wave 1 orders/patient/encounter/billing</w:t>
      </w:r>
    </w:p>
    <w:p>
      <w:pPr>
        <w:pStyle w:val="ListBullet"/>
        <w:spacing w:after="14"/>
      </w:pPr>
      <w:r>
        <w:t>Terminology and unit normalization services</w:t>
      </w:r>
    </w:p>
    <w:p>
      <w:pPr>
        <w:pStyle w:val="ListBullet"/>
        <w:spacing w:after="14"/>
      </w:pPr>
      <w:r>
        <w:t>DICOM/PACS and analyzer integration hub</w:t>
      </w:r>
    </w:p>
    <w:p>
      <w:pPr>
        <w:pStyle w:val="ListBullet"/>
        <w:spacing w:after="14"/>
      </w:pPr>
      <w:r>
        <w:t>Object storage/document services</w:t>
      </w:r>
    </w:p>
    <w:p>
      <w:pPr>
        <w:pStyle w:val="ListBullet"/>
        <w:spacing w:after="14"/>
      </w:pPr>
      <w:r>
        <w:t>Patient app release rules from Wave 5 when enabled</w:t>
      </w:r>
    </w:p>
    <w:p>
      <w:r>
        <w:t>Dependency rule: unavailable optional dependencies must degrade safely. A feature may not silently reinterpret a dependency outage as a valid negative business/clinical result.</w:t>
      </w:r>
    </w:p>
    <w:p>
      <w:pPr>
        <w:pStyle w:val="Heading1"/>
      </w:pPr>
      <w:r>
        <w:t>13. Requirement-linked Verification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4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Family</w:t>
            </w:r>
          </w:p>
        </w:tc>
        <w:tc>
          <w:tcPr>
            <w:tcW w:type="dxa" w:w="223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Requirement range</w:t>
            </w:r>
          </w:p>
        </w:tc>
        <w:tc>
          <w:tcPr>
            <w:tcW w:type="dxa" w:w="93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Profile</w:t>
            </w:r>
          </w:p>
        </w:tc>
        <w:tc>
          <w:tcPr>
            <w:tcW w:type="dxa" w:w="705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Minimum evidence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SRS-DIAG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SRS-DIAG-001 … SRS-DIAG-035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VP-SAF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+ CT + IT + E2E + CST + SEC + UAT + REG; PERF/DRT when Tier 0/1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SRS-MIC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SRS-MIC-001 … SRS-MIC-025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SRS-HIS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SRS-HIS-001 … SRS-HIS-025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VP-SAF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+ CT + IT + E2E + CST + SEC + UAT + REG; PERF/DRT when Tier 0/1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SRS-MOL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SRS-MOL-001 … SRS-MOL-025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VP-DAT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+ IT + SEC + PERF + MVT/UAT as applicable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SRS-RAD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SRS-RAD-001 … SRS-RAD-030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VP-INT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CT + IT + E2E + SEC + PERF + DRT/UAT as applicable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SRS-DNET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SRS-DNET-001 … SRS-DNET-025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VP-SAF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+ CT + IT + E2E + CST + SEC + UAT + REG; PERF/DRT when Tier 0/1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SRS-DQA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SRS-DQA-001 … SRS-DQA-020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VP-SAF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+ CT + IT + E2E + CST + SEC + UAT + REG; PERF/DRT when Tier 0/1</w:t>
            </w:r>
          </w:p>
        </w:tc>
      </w:tr>
    </w:tbl>
    <w:p>
      <w:r>
        <w:t>Test ID convention: TST-&lt;canonical requirement ID&gt;-&lt;class&gt;-&lt;sequence&gt;. Before Wave 3 reaches G4 Validation, every atomic requirement in Section 15 must have concrete test IDs and objective expected results; family profiles above are minimums only.</w:t>
      </w:r>
    </w:p>
    <w:p>
      <w:pPr>
        <w:pStyle w:val="Heading1"/>
      </w:pPr>
      <w:r>
        <w:t>14. Implementation Sequence and Engineering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7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Step</w:t>
            </w:r>
          </w:p>
        </w:tc>
        <w:tc>
          <w:tcPr>
            <w:tcW w:type="dxa" w:w="10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Engineering gate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A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Confirm domain owner, requirement coverage, state model and security/data class.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B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Produce/update proto contract, aggregate/schema design and UX flow for the feature slice.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Write domain/unit tests and contract/repository test skeleton before or with implementation.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Implement vertical slice: UI -&gt; RPC -&gt; application -&gt; domain -&gt; repository -&gt; outbox/audit.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E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Run integration/security/tenant-isolation tests and failure-path scenarios.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F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Complete UAT/clinical/domain validation and operational readiness.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G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Canary/pilot release with telemetry and rollback; mark requirements Released only after verification evidence.</w:t>
            </w:r>
          </w:p>
        </w:tc>
      </w:tr>
    </w:tbl>
    <w:p>
      <w:pPr>
        <w:pStyle w:val="Heading1"/>
      </w:pPr>
      <w:r>
        <w:t>15. Atomic Requirement Coverage Appendix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93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Source</w:t>
            </w:r>
          </w:p>
        </w:tc>
        <w:tc>
          <w:tcPr>
            <w:tcW w:type="dxa" w:w="136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Original family</w:t>
            </w:r>
          </w:p>
        </w:tc>
        <w:tc>
          <w:tcPr>
            <w:tcW w:type="dxa" w:w="151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Canonical family</w:t>
            </w:r>
          </w:p>
        </w:tc>
        <w:tc>
          <w:tcPr>
            <w:tcW w:type="dxa" w:w="64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Count</w:t>
            </w:r>
          </w:p>
        </w:tc>
        <w:tc>
          <w:tcPr>
            <w:tcW w:type="dxa" w:w="237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Canonical ID range</w:t>
            </w:r>
          </w:p>
        </w:tc>
        <w:tc>
          <w:tcPr>
            <w:tcW w:type="dxa" w:w="432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Capability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SRS-DIAG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SRS-DIAG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35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SRS-DIAG-001 – SRS-DIAG-035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Diagnostics Core / LIS Requirements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SRS-MIC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SRS-MIC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SRS-MIC-001 – SRS-MIC-025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Microbiology Requirements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SRS-HIS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SRS-HIS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SRS-HIS-001 – SRS-HIS-025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Histopathology, Cytology and Digital Pathology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SRS-MOL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SRS-MOL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SRS-MOL-001 – SRS-MOL-025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Molecular Diagnostics and Genomics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SRS-RAD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SRS-RAD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30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SRS-RAD-001 – SRS-RAD-030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Radiology, RIS, PACS and DICOM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SRS-DNET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SRS-DNET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SRS-DNET-001 – SRS-DNET-025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Diagnostic Network, Referral and Home Collection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SRS-DQA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SRS-DQA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SRS-DQA-001 – SRS-DQA-020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Diagnostic Quality and Accreditation Support</w:t>
            </w:r>
          </w:p>
        </w:tc>
      </w:tr>
    </w:tbl>
    <w:p>
      <w:r>
        <w:t>Coverage total for Wave 3: 185 atomic requirements. The source SRS remains authoritative for each requirement’s full normative text. Canonical aliases preserve suffix numbers and are used in new engineering/test artifacts.</w:t>
      </w:r>
    </w:p>
    <w:p>
      <w:pPr>
        <w:pStyle w:val="Heading1"/>
      </w:pPr>
      <w:r>
        <w:t>16. Definition of Ready and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51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Gate</w:t>
            </w:r>
          </w:p>
        </w:tc>
        <w:tc>
          <w:tcPr>
            <w:tcW w:type="dxa" w:w="957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Criterion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Ready-1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SRS IDs, user/actor, workflow and source-domain owner identified.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Ready-2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State transitions, invariants and failure paths agreed.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Ready-3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UX states and API/data/authorization impact designed.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Ready-4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Test classes and critical test data/environment identified.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Done-1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Code/config merged with peer review and trace links.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Done-2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Unit/repository/contract/integration/security tests pass.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Done-3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Applicable CST/A11Y/PERF/DR/MVT/MIG/UAT evidence passes.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Done-4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Observability, audit, runbook/release/support knowledge complete.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Done-5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Every included SRS requirement is Verified; no undocumented blocker/critical defect or waiver.</w:t>
            </w:r>
          </w:p>
        </w:tc>
      </w:tr>
    </w:tbl>
    <w:p>
      <w:pPr>
        <w:pStyle w:val="Heading1"/>
      </w:pPr>
      <w:r>
        <w:t>17. Baseline Statement</w:t>
      </w:r>
    </w:p>
    <w:p>
      <w:r>
        <w:t>This Wave 3 Detailed Engineering Specification is the implementation baseline for Diagnostics. It elaborates 185 source requirements without replacing the Master SRS. Any change to requirement intent, canonical ownership, security boundary or state-machine invariant must be processed through controlled change and reflected in the Master Index/Traceability and Testing Master Plan.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| Wave 3 v1.0 | September 2026 | </w:t>
    </w:r>
    <w: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Unified Healthcare SaaS — Wave 3 Detailed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5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8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4E7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A5C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Healthcare SaaS Wave 3 Detailed Engineering Specification</dc:title>
  <dc:subject>Wave 3 Diagnostics implementation-ready elaboration</dc:subject>
  <dc:creator>P9e Microsystems Private Limited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