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85A"/>
          <w:sz w:val="44"/>
        </w:rPr>
        <w:br/>
        <w:br/>
        <w:t>UNIFIED HEALTHCARE SaaS PLATFORM</w:t>
        <w:br/>
        <w:t>DETAILED FEATURE ENGINEERING SPECIFICATION</w:t>
      </w:r>
    </w:p>
    <w:p>
      <w:pPr>
        <w:jc w:val="center"/>
      </w:pPr>
      <w:r>
        <w:rPr>
          <w:b/>
          <w:sz w:val="26"/>
        </w:rPr>
        <w:br/>
        <w:t>WAVE 4 — PHARMACY &amp; PHARMA NETWORK</w:t>
      </w:r>
    </w:p>
    <w:p>
      <w:pPr>
        <w:jc w:val="center"/>
      </w:pPr>
      <w:r>
        <w:br/>
        <w:t>Implementation-ready elaboration for 295 atomic SRS requirements</w:t>
        <w:br/>
        <w:t>Go + Protobuf/ConnectRPC + PostgreSQL/sqlc | Svelte/SvelteKit | Flutter | Rust AI/ML</w:t>
        <w:br/>
        <w:t>Version 1.0 — September 2026</w:t>
      </w:r>
    </w:p>
    <w:p>
      <w:r>
        <w:br w:type="page"/>
      </w:r>
    </w:p>
    <w:p>
      <w:pPr>
        <w:pStyle w:val="Heading1"/>
      </w:pPr>
      <w:r>
        <w:t>1. Purpose, Scope and Engineering Baseline</w:t>
      </w:r>
    </w:p>
    <w:p>
      <w:r>
        <w:t>This document elaborates Wave 4 — Pharmacy &amp; Pharma Network into an implementation-ready engineering baseline. It is subordinate to the Master SRS, Master Index &amp; Traceability, Engineering Architecture Blueprint, Domain/Data/API/Event/Security Architecture, UX Architecture, Development Backlog and Testing Master Plan. It does not alter SRS intent; it converts that intent into bounded-context, workflow, API, data, UX, authorization and verification design.</w:t>
      </w:r>
    </w:p>
    <w:p>
      <w:pPr>
        <w:pStyle w:val="ListBullet"/>
        <w:spacing w:after="14"/>
      </w:pPr>
      <w:r>
        <w:t>Wave exit outcome: Closed medication fulfilment plus B2B pharma ordering, warehousing, distribution, logistics, returns/recall and settlement.</w:t>
      </w:r>
    </w:p>
    <w:p>
      <w:pPr>
        <w:pStyle w:val="ListBullet"/>
        <w:spacing w:after="14"/>
      </w:pPr>
      <w:r>
        <w:t>Atomic requirement coverage: 295; every source family is listed in Section 3 and remains traceable to its source SRS.</w:t>
      </w:r>
    </w:p>
    <w:p>
      <w:pPr>
        <w:pStyle w:val="ListBullet"/>
        <w:spacing w:after="14"/>
      </w:pPr>
      <w:r>
        <w:t>Feature teams may refine field-level schema and UI details just before implementation, but may not change ownership, state-machine invariants, security policy or external contracts without controlled review.</w:t>
      </w:r>
    </w:p>
    <w:p>
      <w:pPr>
        <w:pStyle w:val="ListBullet"/>
        <w:spacing w:after="14"/>
      </w:pPr>
      <w:r>
        <w:t>All state-changing operations use the shared audit/correlation/idempotency conventions and transactional outbox pattern defined in the architecture specifications.</w:t>
      </w:r>
    </w:p>
    <w:p>
      <w:pPr>
        <w:pStyle w:val="Heading1"/>
      </w:pPr>
      <w:r>
        <w:t>2. Wave Exit Criteria and Delivery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72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Area</w:t>
            </w:r>
          </w:p>
        </w:tc>
        <w:tc>
          <w:tcPr>
            <w:tcW w:type="dxa" w:w="936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Exit criterion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Functional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Closed medication fulfilment plus B2B pharma ordering, warehousing, distribution, logistics, returns/recall and settlement.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Architecture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All included families have named owning service/context; no cross-context database writes.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UX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Primary role workspaces and critical happy/negative states are specified and use shared design-system components.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Security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Canonical permissions exist and ABAC/tenant/patient-context rules are enforced server-side.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Verification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Every in-scope SRS ID is mapped to concrete test cases before G4; Tier-0/1 items include negative/failure-mode evidence.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Operations</w:t>
            </w:r>
          </w:p>
        </w:tc>
        <w:tc>
          <w:tcPr>
            <w:tcW w:type="dxa" w:w="936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Telemetry, audit, SLO/runbook and rollback expectations exist for production deployables.</w:t>
            </w:r>
          </w:p>
        </w:tc>
      </w:tr>
    </w:tbl>
    <w:p>
      <w:pPr>
        <w:pStyle w:val="Heading1"/>
      </w:pPr>
      <w:r>
        <w:t>3. Requirement Family Coverage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</w:trPr>
        <w:tc>
          <w:tcPr>
            <w:tcW w:type="dxa" w:w="7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Source</w:t>
            </w:r>
          </w:p>
        </w:tc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Original</w:t>
            </w:r>
          </w:p>
        </w:tc>
        <w:tc>
          <w:tcPr>
            <w:tcW w:type="dxa" w:w="12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Canonical</w:t>
            </w:r>
          </w:p>
        </w:tc>
        <w:tc>
          <w:tcPr>
            <w:tcW w:type="dxa" w:w="30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Capability</w:t>
            </w:r>
          </w:p>
        </w:tc>
        <w:tc>
          <w:tcPr>
            <w:tcW w:type="dxa" w:w="6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Reqs</w:t>
            </w:r>
          </w:p>
        </w:tc>
        <w:tc>
          <w:tcPr>
            <w:tcW w:type="dxa" w:w="187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Owner service</w:t>
            </w:r>
          </w:p>
        </w:tc>
        <w:tc>
          <w:tcPr>
            <w:tcW w:type="dxa" w:w="24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Primary aggregate</w:t>
            </w:r>
          </w:p>
        </w:tc>
        <w:tc>
          <w:tcPr>
            <w:tcW w:type="dxa" w:w="86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Verify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SRS-PHM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SRS-PHM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Medication/Product Master and Formulary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MedicationCatalogService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MedicationProduct / FormularyEntry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VP-SAF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SRS-HPRX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SRS-HPRX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Hospital Pharmacy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HospitalPharmacyService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PharmacyVerification / Dispense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VP-SAF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SRS-RPH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SRS-RPH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Retail Pharmacy and Patient Fulfilment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RetailPharmacyService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RetailSale / Fulfilment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VP-DAT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SRS-PNET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SRS-PNET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Pharma Manufacturer–C&amp;F–Distributor–Stockist Network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30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PharmaNetworkService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TradeOrder / ChannelParty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SRS-AOP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SRS-AOP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Automated Pharmaceutical Order Processing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35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PharmaOrderAutomationService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OrderIngestion / Exception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SRS-PWH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SRS-PWH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Pharmaceutical Warehouse and Inventory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25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WarehouseService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WarehouseStock / PickWave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SRS-PLOG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SRS-PLOG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Logistics and Delivery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LogisticsService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Shipment / Delivery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SRS-PRR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SRS-PRR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Returns, Expiry, Quality Complaint and Recall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RecallReturnService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Return / Recall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VP-DAT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SRS-PCR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SRS-PCR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Credit, Receivables and Settlement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PharmaSettlementService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CreditAccount / Settlement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SRS-PANA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SRS-PANA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Pharma Analytics, Forecasting and Optimization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PharmaAnalyticsService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Forecast / Recommendation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VP-DAT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SRS-PWEB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SRS-PWEB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Svelte/SvelteKit Web Workspace Requirements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SvelteSvelteKitWebWorkspaceRequirementsService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Svelte/SvelteKit Web Workspace Requirements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SRS-PAPI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SRS-PAPI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ConnectRPC, API, Event and Integration Requirements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ConnectRPC,API,EventandIntegrationRequirementsService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ConnectRPC, API, Event and Integration Requirements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VP-INT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Phase 4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SRS-PNFR</w:t>
            </w:r>
          </w:p>
        </w:tc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SRS-PNFR</w:t>
            </w:r>
          </w:p>
        </w:tc>
        <w:tc>
          <w:tcPr>
            <w:tcW w:type="dxa" w:w="30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Cross-Domain Safety, Security and NFR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20</w:t>
            </w:r>
          </w:p>
        </w:tc>
        <w:tc>
          <w:tcPr>
            <w:tcW w:type="dxa" w:w="18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Cross-DomainSafety,SecurityandNFRService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Cross-Domain Safety, Security and NFR</w:t>
            </w:r>
          </w:p>
        </w:tc>
        <w:tc>
          <w:tcPr>
            <w:tcW w:type="dxa" w:w="8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</w:tbl>
    <w:p>
      <w:pPr>
        <w:pStyle w:val="Heading1"/>
      </w:pPr>
      <w:r>
        <w:t>4. Feature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Family</w:t>
            </w:r>
          </w:p>
        </w:tc>
        <w:tc>
          <w:tcPr>
            <w:tcW w:type="dxa" w:w="273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Capability</w:t>
            </w:r>
          </w:p>
        </w:tc>
        <w:tc>
          <w:tcPr>
            <w:tcW w:type="dxa" w:w="61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Implementation feature slices</w:t>
            </w:r>
          </w:p>
        </w:tc>
        <w:tc>
          <w:tcPr>
            <w:tcW w:type="dxa" w:w="172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Owner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SRS-PHM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Medication/Product Master and Formulary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Product versions are effective-dated and historical transactions retain prior attributes.; Order/stock quantities normalize without rounding ambiguity.</w:t>
              <w:br/>
              <w:t>F2: Suggested substitute never auto-dispenses without authorized confirmation.; Scan resolves to one active product/UOM or exception.</w:t>
              <w:br/>
              <w:t>F3: Discontinued SKU cannot be newly ordered after effective date unless policy permits.; Knowledge version is identifiable for each alert.</w:t>
              <w:br/>
              <w:t>F4: Partner code mapping has confidence/status and effective date.; Classification is versioned.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MedicationCatalogService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SRS-HPRX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Hospital Pharmacy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Prescription source and encounter are visible.; Unverified prescription cannot reach final dispense state where verification is mandatory.</w:t>
              <w:br/>
              <w:t>F2: Substitution preserves original prescription and selected product.; Inventory posting differs by configured model and remains traceable.</w:t>
              <w:br/>
              <w:t>F3: Formula/version, ingredients and verification are retained.; Returned stock is not saleable until policy checks pass.</w:t>
              <w:br/>
              <w:t>F4: Adjustment requires reason and authorization threshold.; Affected batches can be identified and blocked.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HospitalPharmacyService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SRS-RPH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Retail Pharmacy and Patient Fulfilment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Sale line records SKU, batch, quantity, price, tax and operator.; Profile access follows privacy/tenant scope.</w:t>
              <w:br/>
              <w:t>F2: Patient sees unified order but each fulfillment leg is traceable.; Order reserves stock only after configured payment/confirmation point.</w:t>
              <w:br/>
              <w:t>F3: Suggested PO is reviewable, not automatically committed unless configured.; Stock remains in transit until receiving scan.</w:t>
              <w:br/>
              <w:t>F4: Payment and order states reconcile idempotently.; Intervention is visible to authorized clinician when integrated and appropriate.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RetailPharmacyService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SRS-PNET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 Manufacturer–C&amp;F–Distributor–Stockist Network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Each party can have legal entity, locations, licenses and commercial roles.; Order routing follows active relationship/territory.</w:t>
              <w:br/>
              <w:t>F2: Order confirmation can be blocked or routed for override.; Invalid quantity is normalized only with user-visible approval.</w:t>
              <w:br/>
              <w:t>F3: Claim lines reference original invoice/lot where applicable.; Imported sell-out data is deduplicated and source-labeled.</w:t>
              <w:br/>
              <w:t>F4: Historical orders retain former relationship context.; Tax/legal documents derive from transacting entity.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PharmaNetworkService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SRS-AOP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Automated Pharmaceutical Order Processing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Every source becomes an immutable ingestion record before parsing.; Classifier confidence and disposition are stored.</w:t>
              <w:br/>
              <w:t>F2: Price discrepancy is flagged with both values.; Applied scheme IDs and free-goods lines are explainable.</w:t>
              <w:br/>
              <w:t>F3: Reviewer can trace each parsed line to source region/text where available.; Training feedback is stored separately from production transaction.</w:t>
              <w:br/>
              <w:t>F4: Acknowledgment references final accepted quantities and expected dispatch.; One bad document does not fail entire batch.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PharmaOrderAutomationService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SRS-PWH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Pharmaceutical Warehouse and Inventory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Every stock balance is location-aware.; Received quantity is reconciled to source document.</w:t>
              <w:br/>
              <w:t>F2: Pick method is configurable per warehouse/order class.; Wrong SKU/batch/quantity is blocked.</w:t>
              <w:br/>
              <w:t>F3: In-transit stock is visible separately.; ATP excludes non-eligible statuses.</w:t>
              <w:br/>
              <w:t>F4: Serialization logic is adapter-driven and versioned.; Ledger distinguishes legal ownership from physical custody.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WarehouseService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SRS-PLOG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Logistics and Delivery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Carrier choice is based on active contract.; Shipment line quantities cannot exceed packed available quantities.</w:t>
              <w:br/>
              <w:t>F2: Carrier acceptance time is auditable.; Events are deduplicated and ordered by event time.</w:t>
              <w:br/>
              <w:t>F3: Claim references shipment/package/order line.; Variance is reportable by lane/carrier.</w:t>
              <w:br/>
              <w:t>F4: Order cannot promise unsupported area/temperature lane.; Promise date derives from calendar, stock and carrier SLA.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LogisticsService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SRS-PRR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Returns, Expiry, Quality Complaint and Recall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Return authorization has status and expiry.; Reason drives eligibility and settlement rules.</w:t>
              <w:br/>
              <w:t>F2: Financial document reconciles to accepted quantity.; Claim references batch and source purchase where available.</w:t>
              <w:br/>
              <w:t>F3: Trace report states scope and data limitations.; Block propagates to eligible connected locations.</w:t>
              <w:br/>
              <w:t>F4: Drill is distinguishable from real recall and measures trace time.; Destroyed quantity posts inventory write-off.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RecallReturnService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SRS-PCR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Credit, Receivables and Settlement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Exposure calculation is consistent across open orders, invoices and receipts.; Block reason and approver are visible.</w:t>
              <w:br/>
              <w:t>F2: Each adjustment references source transaction.; Unresolved deduction remains separately aged.</w:t>
              <w:br/>
              <w:t>F3: Broken promise is measurable.; Human-authorized limit remains source of truth unless approved policy enables automation.</w:t>
              <w:br/>
              <w:t>F4: Posted journal/document IDs are stored and reconciliation identifies failures.; Core order model is independent of one statutory API.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PharmaSettlementService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SRS-PANA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 Analytics, Forecasting and Optimization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Forecast stores model/version and is compared with actuals.; System indicates lower confidence for cold-start items.</w:t>
              <w:br/>
              <w:t>F2: Anomaly flag does not autonomously reject legitimate order unless rule policy says so.; Metrics reconcile to finalized orders and human edits.</w:t>
              <w:br/>
              <w:t>F3: Protected/sensitive patient data are not used for B2B commercial segmentation.; Forecast is advisory and configurable by season/event calendar.</w:t>
              <w:br/>
              <w:t>F4: Feedback is retained for evaluation/training.; Simulation never posts inventory/order transactions.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PharmaAnalyticsService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SRS-PWEB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Svelte/SvelteKit Web Workspace Requirements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Workspace navigation is role-based and URL-deep-linkable.; Counters link to filtered worklists.</w:t>
              <w:br/>
              <w:t>F2: Clinical alerts remain visually distinct from commercial messages.; Critical scans receive immediate success/failure feedback.</w:t>
              <w:br/>
              <w:t>F3: Preferences are user-scoped and resettable.; High-risk state transitions cannot be hidden in bulk action without confirmation.</w:t>
              <w:br/>
              <w:t>F4: Automated/manual accessibility checks are part of CI/UAT.; Front-end masking is backed by server authorization.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SvelteSvelteKitWebWorkspaceRequirementsService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SRS-PAPI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ConnectRPC, API, Event and Integration Requirements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Contracts are versioned and backward-compatible within v1 policy.; Every mutation requires idempotency where repeat submission is possible.</w:t>
              <w:br/>
              <w:t>F2: Pipeline provenance fields are required for imported analysis.; Study identifiers reconcile to PACS accession.</w:t>
              <w:br/>
              <w:t>F3: Parsing and deterministic validation are separate RPC/use-case stages.; Stock ledger remains source of truth.</w:t>
              <w:br/>
              <w:t>F4: Replay does not double-post inventory/financial transaction.; Adapter layer translates without leaking vendor DTOs into domain.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ConnectRPC,API,EventandIntegrationRequirementsService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SRS-PNFR</w:t>
            </w:r>
          </w:p>
        </w:tc>
        <w:tc>
          <w:tcPr>
            <w:tcW w:type="dxa" w:w="27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Cross-Domain Safety, Security and NFR</w:t>
            </w:r>
          </w:p>
        </w:tc>
        <w:tc>
          <w:tcPr>
            <w:tcW w:type="dxa" w:w="61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F1: Unsigned/draft results are never represented as final.; Wrong-patient/wrong-specimen scenario is blocked by barcode/identity checks.</w:t>
              <w:br/>
              <w:t>F2: Historical ledger remains intact.; Blocked rule requires explicit policy-approved override.</w:t>
              <w:br/>
              <w:t>F3: Load test demonstrates queue backpressure and recovery.; Performance test passes representative scanner workflow.</w:t>
              <w:br/>
              <w:t>F4: Cross-tenant identifiers do not yield data.; Audit search can identify user/purpose/correlation/time.</w:t>
            </w:r>
          </w:p>
        </w:tc>
        <w:tc>
          <w:tcPr>
            <w:tcW w:type="dxa" w:w="172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Cross-DomainSafety,SecurityandNFRService</w:t>
            </w:r>
          </w:p>
        </w:tc>
      </w:tr>
    </w:tbl>
    <w:p>
      <w:pPr>
        <w:pStyle w:val="Heading1"/>
      </w:pPr>
      <w:r>
        <w:t>5. End-to-End Workflow Design</w:t>
      </w:r>
    </w:p>
    <w:p>
      <w:pPr>
        <w:pStyle w:val="ListNumber"/>
      </w:pPr>
      <w:r>
        <w:t>WF-4-01  Prescription -&gt; pharmacist verification -&gt; FEFO allocation -&gt; dispense -&gt; counsel -&gt; administration/supply status</w:t>
      </w:r>
    </w:p>
    <w:p>
      <w:pPr>
        <w:pStyle w:val="ListNumber"/>
      </w:pPr>
      <w:r>
        <w:t>WF-4-02  Retail prescription/order -&gt; validation -&gt; fulfilment -&gt; payment -&gt; pickup/delivery</w:t>
      </w:r>
    </w:p>
    <w:p>
      <w:pPr>
        <w:pStyle w:val="ListNumber"/>
      </w:pPr>
      <w:r>
        <w:t>WF-4-03  B2B PO ingest -&gt; OCR/extract -&gt; customer/SKU match -&gt; deterministic commercial validation -&gt; exception/STP -&gt; sales order</w:t>
      </w:r>
    </w:p>
    <w:p>
      <w:pPr>
        <w:pStyle w:val="ListNumber"/>
      </w:pPr>
      <w:r>
        <w:t>WF-4-04  Warehouse inbound -&gt; quarantine -&gt; put-away -&gt; reserve -&gt; pick -&gt; pack -&gt; dispatch</w:t>
      </w:r>
    </w:p>
    <w:p>
      <w:pPr>
        <w:pStyle w:val="ListNumber"/>
      </w:pPr>
      <w:r>
        <w:t>WF-4-05  Shipment -&gt; carrier -&gt; POD/failure/RTO -&gt; freight reconciliation</w:t>
      </w:r>
    </w:p>
    <w:p>
      <w:pPr>
        <w:pStyle w:val="ListNumber"/>
      </w:pPr>
      <w:r>
        <w:t>WF-4-06  Return/expiry/recall -&gt; identify affected stock -&gt; quarantine -&gt; partner acknowledgment -&gt; disposition</w:t>
      </w:r>
    </w:p>
    <w:p>
      <w:pPr>
        <w:pStyle w:val="ListNumber"/>
      </w:pPr>
      <w:r>
        <w:t>WF-4-07  Credit exposure -&gt; order hold/release -&gt; invoice -&gt; receipt -&gt; settlement</w:t>
      </w:r>
    </w:p>
    <w:p>
      <w:r>
        <w:t>Workflow implementation rule: each arrow represents either a command within the owning bounded context or an explicit API/event/workflow transition. A workflow definition may coordinate the sequence, but it must never become the authoritative record for clinical, financial, inventory, payer or OT state.</w:t>
      </w:r>
    </w:p>
    <w:p>
      <w:pPr>
        <w:pStyle w:val="Heading1"/>
      </w:pPr>
      <w:r>
        <w:t>6. Canonical State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5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Aggregate / process</w:t>
            </w:r>
          </w:p>
        </w:tc>
        <w:tc>
          <w:tcPr>
            <w:tcW w:type="dxa" w:w="84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State model and invariant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Prescription fulfilment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RECEIVED -&gt; VERIFIED -&gt; ALLOCATED -&gt; PICKED -&gt; DISPENSED -&gt; CLOSED; PARTIAL/ON_HOLD/CANCELLED possible.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B2B order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INGESTED -&gt; PARSED -&gt; VALIDATING -&gt; EXCEPTION/READY -&gt; CONFIRMED -&gt; ALLOCATED -&gt; DISPATCHED -&gt; CLOSED.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Warehouse receipt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EXPECTED -&gt; RECEIVING -&gt; QUARANTINE/AVAILABLE -&gt; PUTAWAY_COMPLETE.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Shipment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CREATED -&gt; PICKED_UP -&gt; IN_TRANSIT -&gt; OUT_FOR_DELIVERY -&gt; DELIVERED; FAILED/RTO possible.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Return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REQUESTED -&gt; AUTHORIZED -&gt; RECEIVED -&gt; INSPECTED -&gt; CREDIT/DISPOSITION -&gt; CLOSED.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Recall</w:t>
            </w:r>
          </w:p>
        </w:tc>
        <w:tc>
          <w:tcPr>
            <w:tcW w:type="dxa" w:w="84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DRAFT -&gt; ACTIVE -&gt; STOCK_BLOCKED -&gt; PARTNER_ACK -&gt; RECOVERED/DESTROYED -&gt; CLOSED.</w:t>
            </w:r>
          </w:p>
        </w:tc>
      </w:tr>
    </w:tbl>
    <w:p>
      <w:pPr>
        <w:pStyle w:val="Heading1"/>
      </w:pPr>
      <w:r>
        <w:t>7. Domain and Data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2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Family</w:t>
            </w:r>
          </w:p>
        </w:tc>
        <w:tc>
          <w:tcPr>
            <w:tcW w:type="dxa" w:w="295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Primary aggregate(s)</w:t>
            </w:r>
          </w:p>
        </w:tc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Logical schema</w:t>
            </w:r>
          </w:p>
        </w:tc>
        <w:tc>
          <w:tcPr>
            <w:tcW w:type="dxa" w:w="388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Required data conventions</w:t>
            </w:r>
          </w:p>
        </w:tc>
        <w:tc>
          <w:tcPr>
            <w:tcW w:type="dxa" w:w="230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Mutation rule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SRS-PHM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MedicationProduct / FormularyEntry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phm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SRS-HPRX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PharmacyVerification / Dispense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hprx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SRS-RPH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RetailSale / Fulfilment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rph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SRS-PNET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TradeOrder / ChannelParty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pnet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SRS-AOP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OrderIngestion / Exception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aop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SRS-PWH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WarehouseStock / PickWave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pwh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SRS-PLOG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Shipment / Delivery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plog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SRS-PRR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Return / Recall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prr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SRS-PCR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CreditAccount / Settlement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pcr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SRS-PANA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Forecast / Recommendation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pana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SRS-PWEB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Svelte/SvelteKit Web Workspace Requirements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pweb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SRS-PAPI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ConnectRPC, API, Event and Integration Requirements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papi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SRS-PNFR</w:t>
            </w:r>
          </w:p>
        </w:tc>
        <w:tc>
          <w:tcPr>
            <w:tcW w:type="dxa" w:w="295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Cross-Domain Safety, Security and NFR</w:t>
            </w:r>
          </w:p>
        </w:tc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pnfr</w:t>
            </w:r>
          </w:p>
        </w:tc>
        <w:tc>
          <w:tcPr>
            <w:tcW w:type="dxa" w:w="388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tenant_id; opaque UUID; created/audit provenance; explicit state; effective dating where applicable</w:t>
            </w:r>
          </w:p>
        </w:tc>
        <w:tc>
          <w:tcPr>
            <w:tcW w:type="dxa" w:w="230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writes; amendment/reversal for finalized/posted history</w:t>
            </w:r>
          </w:p>
        </w:tc>
      </w:tr>
    </w:tbl>
    <w:p>
      <w:pPr>
        <w:pStyle w:val="ListBullet"/>
        <w:spacing w:after="14"/>
      </w:pPr>
      <w:r>
        <w:t>No feature may model the Patient as one giant aggregate. Use identifiers and explicit references across aggregates.</w:t>
      </w:r>
    </w:p>
    <w:p>
      <w:pPr>
        <w:pStyle w:val="ListBullet"/>
        <w:spacing w:after="14"/>
      </w:pPr>
      <w:r>
        <w:t>Financial, inventory, consent/disclosure and other ledger-like histories are append-oriented; corrections use reversal/compensation.</w:t>
      </w:r>
    </w:p>
    <w:p>
      <w:pPr>
        <w:pStyle w:val="ListBullet"/>
        <w:spacing w:after="14"/>
      </w:pPr>
      <w:r>
        <w:t>Clinical signed/finalized content uses addendum/amendment semantics.</w:t>
      </w:r>
    </w:p>
    <w:p>
      <w:pPr>
        <w:pStyle w:val="ListBullet"/>
        <w:spacing w:after="14"/>
      </w:pPr>
      <w:r>
        <w:t>Cross-context reporting uses read models/analytics, never direct cross-schema mutation.</w:t>
      </w:r>
    </w:p>
    <w:p>
      <w:pPr>
        <w:pStyle w:val="ListBullet"/>
        <w:spacing w:after="14"/>
      </w:pPr>
      <w:r>
        <w:t>Indexes, partitioning and lock strategy are chosen from measured query/volume patterns but must retain tenant-leading access paths.</w:t>
      </w:r>
    </w:p>
    <w:p>
      <w:pPr>
        <w:pStyle w:val="Heading1"/>
      </w:pPr>
      <w:r>
        <w:t>8. Protobuf / ConnectRPC Contract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30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Service</w:t>
            </w:r>
          </w:p>
        </w:tc>
        <w:tc>
          <w:tcPr>
            <w:tcW w:type="dxa" w:w="806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Representative Wave RPCs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MedicationCatalogService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CreateProduct; UpdateFormulary; MapPartnerSKU; FlagRecall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HospitalPharmacyService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QueuePrescription; Verify; Allocate; Dispense; ReturnDispense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RetailPharmacyService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CreateOrder; ValidatePrescription; Fulfil; Cancel; Refund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PharmaNetworkService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CreateParty; PriceOrder; ApplyScheme; CheckCredit; ConfirmSalesOrder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PharmaOrderAutomationService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IngestDocument; Extract; Validate; CreateException; Confirm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WarehouseService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Receive; Quarantine; PutAway; Reserve; Pick; Pack; Adjust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LogisticsService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CreateShipment; Dispatch; UpdateTracking; RecordPOD; RecordFailure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RecallReturnService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AuthorizeReturn; InspectReturn; ActivateRecall; AcknowledgeRecall; Dispose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PharmaSettlementService</w:t>
            </w:r>
          </w:p>
        </w:tc>
        <w:tc>
          <w:tcPr>
            <w:tcW w:type="dxa" w:w="806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PostInvoice; RecordReceipt; Reconcile; Settle</w:t>
            </w:r>
          </w:p>
        </w:tc>
      </w:tr>
    </w:tbl>
    <w:p>
      <w:pPr>
        <w:pStyle w:val="ListBullet"/>
        <w:spacing w:after="14"/>
      </w:pPr>
      <w:r>
        <w:t>Canonical package: healthcare.&lt;bounded_context&gt;.v1; stable field numbers; unspecified enum value = 0.</w:t>
      </w:r>
    </w:p>
    <w:p>
      <w:pPr>
        <w:pStyle w:val="ListBullet"/>
        <w:spacing w:after="14"/>
      </w:pPr>
      <w:r>
        <w:t>Commands that may be retried carry an idempotency key and return the prior successful result where contract allows.</w:t>
      </w:r>
    </w:p>
    <w:p>
      <w:pPr>
        <w:pStyle w:val="ListBullet"/>
        <w:spacing w:after="14"/>
      </w:pPr>
      <w:r>
        <w:t>Tenant/user/service/facility/purpose context comes from authenticated transport metadata, not an untrusted request-body tenant field.</w:t>
      </w:r>
    </w:p>
    <w:p>
      <w:pPr>
        <w:pStyle w:val="ListBullet"/>
        <w:spacing w:after="14"/>
      </w:pPr>
      <w:r>
        <w:t>All RPCs return structured error details with stable domain error code, retryability and correlation ID.</w:t>
      </w:r>
    </w:p>
    <w:p>
      <w:pPr>
        <w:pStyle w:val="ListBullet"/>
        <w:spacing w:after="14"/>
      </w:pPr>
      <w:r>
        <w:t>External FHIR/NHCX/DICOM/vendor schemas map through adapters and do not become internal domain objects.</w:t>
      </w:r>
    </w:p>
    <w:p>
      <w:pPr>
        <w:pStyle w:val="Heading1"/>
      </w:pPr>
      <w:r>
        <w:t>9. Domain Events and Asynchronous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</w:trPr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ID</w:t>
            </w:r>
          </w:p>
        </w:tc>
        <w:tc>
          <w:tcPr>
            <w:tcW w:type="dxa" w:w="252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Event</w:t>
            </w:r>
          </w:p>
        </w:tc>
        <w:tc>
          <w:tcPr>
            <w:tcW w:type="dxa" w:w="144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Producer domain</w:t>
            </w:r>
          </w:p>
        </w:tc>
        <w:tc>
          <w:tcPr>
            <w:tcW w:type="dxa" w:w="460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Minimum envelope</w:t>
            </w:r>
          </w:p>
        </w:tc>
        <w:tc>
          <w:tcPr>
            <w:tcW w:type="dxa" w:w="201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Delivery rule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W4-EVT-001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pharmacy.prescription_verified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pharmacy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W4-EVT-002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pharmacy.dispensed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pharmacy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W4-EVT-003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pharma.order_ingested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W4-EVT-004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pharma.order_confirmed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W4-EVT-005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inventory.reserved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inventory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W4-EVT-006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inventory.quarantined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inventory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W4-EVT-007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warehouse.pick_completed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warehouse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W4-EVT-008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shipment.dispatched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shipment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W4-EVT-009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shipment.delivered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shipment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W4-EVT-010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return.authorized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return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W4-EVT-011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recall.activated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recall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W4-EVT-012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recall.partner_acknowledged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recall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W4-EVT-013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credit.hold_applied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credit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W4-EVT-014</w:t>
            </w:r>
          </w:p>
        </w:tc>
        <w:tc>
          <w:tcPr>
            <w:tcW w:type="dxa" w:w="25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settlement.completed</w:t>
            </w:r>
          </w:p>
        </w:tc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settlement</w:t>
            </w:r>
          </w:p>
        </w:tc>
        <w:tc>
          <w:tcPr>
            <w:tcW w:type="dxa" w:w="460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event_id, schema_version, tenant_id, aggregate_id, occurred_at, correlation_id, causation_id</w:t>
            </w:r>
          </w:p>
        </w:tc>
        <w:tc>
          <w:tcPr>
            <w:tcW w:type="dxa" w:w="201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Outbox + idempotent consumers</w:t>
            </w:r>
          </w:p>
        </w:tc>
      </w:tr>
    </w:tbl>
    <w:p>
      <w:pPr>
        <w:pStyle w:val="Heading1"/>
      </w:pPr>
      <w:r>
        <w:t>10. Authorization and Security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0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Permission</w:t>
            </w:r>
          </w:p>
        </w:tc>
        <w:tc>
          <w:tcPr>
            <w:tcW w:type="dxa" w:w="547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ABAC context</w:t>
            </w:r>
          </w:p>
        </w:tc>
        <w:tc>
          <w:tcPr>
            <w:tcW w:type="dxa" w:w="25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Audit rule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pharmacy.verify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pharmacy.dispense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pharmacy.substitute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inventory.receive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inventory.quarantine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inventory.adjust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warehouse.pick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warehouse.dispatch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pharma.order.confirm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 + patient/care relationship + purpose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pharma.credit.override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returns.inspect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recall.activate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settlement.post</w:t>
            </w:r>
          </w:p>
        </w:tc>
        <w:tc>
          <w:tcPr>
            <w:tcW w:type="dxa" w:w="547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+ facility + role/privilege</w:t>
            </w:r>
          </w:p>
        </w:tc>
        <w:tc>
          <w:tcPr>
            <w:tcW w:type="dxa" w:w="25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Audit success/denial for material or privileged actions</w:t>
            </w:r>
          </w:p>
        </w:tc>
      </w:tr>
    </w:tbl>
    <w:p>
      <w:pPr>
        <w:pStyle w:val="ListBullet"/>
        <w:spacing w:after="14"/>
      </w:pPr>
      <w:r>
        <w:t>UI visibility is never authorization.</w:t>
      </w:r>
    </w:p>
    <w:p>
      <w:pPr>
        <w:pStyle w:val="ListBullet"/>
        <w:spacing w:after="14"/>
      </w:pPr>
      <w:r>
        <w:t>Break-glass is an explicit policy path with reason, time-bound elevation and post-event review.</w:t>
      </w:r>
    </w:p>
    <w:p>
      <w:pPr>
        <w:pStyle w:val="ListBullet"/>
        <w:spacing w:after="14"/>
      </w:pPr>
      <w:r>
        <w:t>Cross-tenant resource substitution must fail in automated negative tests.</w:t>
      </w:r>
    </w:p>
    <w:p>
      <w:pPr>
        <w:pStyle w:val="ListBullet"/>
        <w:spacing w:after="14"/>
      </w:pPr>
      <w:r>
        <w:t>Sensitive exports/downloads use short-lived authorized object grants; routine logs exclude raw PHI/secrets.</w:t>
      </w:r>
    </w:p>
    <w:p>
      <w:pPr>
        <w:pStyle w:val="Heading1"/>
      </w:pPr>
      <w:r>
        <w:t>11. UX / Workspace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Screen group</w:t>
            </w:r>
          </w:p>
        </w:tc>
        <w:tc>
          <w:tcPr>
            <w:tcW w:type="dxa" w:w="30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Workspace</w:t>
            </w:r>
          </w:p>
        </w:tc>
        <w:tc>
          <w:tcPr>
            <w:tcW w:type="dxa" w:w="489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shared patterns</w:t>
            </w:r>
          </w:p>
        </w:tc>
        <w:tc>
          <w:tcPr>
            <w:tcW w:type="dxa" w:w="24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states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UX-W4-01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Hospital Pharmacy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UX-W4-02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Retail Pharmacy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UX-W4-03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Pharma Sales/Order Desk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UX-W4-04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Automated Order Exception Queue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UX-W4-05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Warehouse/WMS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UX-W4-06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Logistics/Dispatch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UX-W4-07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Returns/Recall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UX-W4-08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Credit/Settlement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UX-W4-09</w:t>
            </w:r>
          </w:p>
        </w:tc>
        <w:tc>
          <w:tcPr>
            <w:tcW w:type="dxa" w:w="30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Pharma Analytics</w:t>
            </w:r>
          </w:p>
        </w:tc>
        <w:tc>
          <w:tcPr>
            <w:tcW w:type="dxa" w:w="489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AppShell/PatientBanner where applicable; Worklist/Board; Detail; Task/Action panel; Audit/Timeline</w:t>
            </w:r>
          </w:p>
        </w:tc>
        <w:tc>
          <w:tcPr>
            <w:tcW w:type="dxa" w:w="24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2"/>
              </w:rPr>
              <w:t>Default, loading, empty, error, permission, conflict; offline/stale when applicable</w:t>
            </w:r>
          </w:p>
        </w:tc>
      </w:tr>
    </w:tbl>
    <w:p>
      <w:pPr>
        <w:pStyle w:val="ListBullet"/>
        <w:spacing w:after="14"/>
      </w:pPr>
      <w:r>
        <w:t>Every detailed screen produced during feature design must cite canonical SRS IDs, user/role, entry point, context, APIs, fields/actions, audit, accessibility and acceptance criteria.</w:t>
      </w:r>
    </w:p>
    <w:p>
      <w:pPr>
        <w:pStyle w:val="ListBullet"/>
        <w:spacing w:after="14"/>
      </w:pPr>
      <w:r>
        <w:t>Status, urgency, clinical interpretation, technical state and SLA state use separate semantic tokens.</w:t>
      </w:r>
    </w:p>
    <w:p>
      <w:pPr>
        <w:pStyle w:val="ListBullet"/>
        <w:spacing w:after="14"/>
      </w:pPr>
      <w:r>
        <w:t>Wrong-patient prevention and patient-context re-confirmation are mandatory in high-risk clinical workflows.</w:t>
      </w:r>
    </w:p>
    <w:p>
      <w:pPr>
        <w:pStyle w:val="ListBullet"/>
        <w:spacing w:after="14"/>
      </w:pPr>
      <w:r>
        <w:t>No feature team may create a new visual pattern when an approved design-system component fits the use case without design review.</w:t>
      </w:r>
    </w:p>
    <w:p>
      <w:pPr>
        <w:pStyle w:val="Heading1"/>
      </w:pPr>
      <w:r>
        <w:t>12. External and Cross-Wave Dependencies</w:t>
      </w:r>
    </w:p>
    <w:p>
      <w:pPr>
        <w:pStyle w:val="ListBullet"/>
        <w:spacing w:after="14"/>
      </w:pPr>
      <w:r>
        <w:t>Wave 1 medication/orders/billing</w:t>
      </w:r>
    </w:p>
    <w:p>
      <w:pPr>
        <w:pStyle w:val="ListBullet"/>
        <w:spacing w:after="14"/>
      </w:pPr>
      <w:r>
        <w:t>Wave 2 materials/inventory primitives where reused</w:t>
      </w:r>
    </w:p>
    <w:p>
      <w:pPr>
        <w:pStyle w:val="ListBullet"/>
        <w:spacing w:after="14"/>
      </w:pPr>
      <w:r>
        <w:t>Wave 3 diagnostic logistics patterns where shared</w:t>
      </w:r>
    </w:p>
    <w:p>
      <w:pPr>
        <w:pStyle w:val="ListBullet"/>
        <w:spacing w:after="14"/>
      </w:pPr>
      <w:r>
        <w:t>Rules engine for commercial pricing/schemes</w:t>
      </w:r>
    </w:p>
    <w:p>
      <w:pPr>
        <w:pStyle w:val="ListBullet"/>
        <w:spacing w:after="14"/>
      </w:pPr>
      <w:r>
        <w:t>AI gateway only for advisory/extraction functions</w:t>
      </w:r>
    </w:p>
    <w:p>
      <w:r>
        <w:t>Dependency rule: unavailable optional dependencies must degrade safely. A feature may not silently reinterpret a dependency outage as a valid negative business/clinical result.</w:t>
      </w:r>
    </w:p>
    <w:p>
      <w:pPr>
        <w:pStyle w:val="Heading1"/>
      </w:pPr>
      <w:r>
        <w:t>13. Requirement-linked Verification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144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Family</w:t>
            </w:r>
          </w:p>
        </w:tc>
        <w:tc>
          <w:tcPr>
            <w:tcW w:type="dxa" w:w="223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Requirement range</w:t>
            </w:r>
          </w:p>
        </w:tc>
        <w:tc>
          <w:tcPr>
            <w:tcW w:type="dxa" w:w="93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Profile</w:t>
            </w:r>
          </w:p>
        </w:tc>
        <w:tc>
          <w:tcPr>
            <w:tcW w:type="dxa" w:w="705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Minimum evidence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SRS-PHM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SRS-PHM-001 … SRS-PHM-020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VP-SAF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CT + IT + E2E + CST + SEC + UAT + REG; PERF/DRT when Tier 0/1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SRS-HPRX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SRS-HPRX-001 … SRS-HPRX-025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VP-SAF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CT + IT + E2E + CST + SEC + UAT + REG; PERF/DRT when Tier 0/1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SRS-RPH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SRS-RPH-001 … SRS-RPH-020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VP-DAT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IT + SEC + PERF + MVT/UAT as applicable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SRS-PNET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SRS-PNET-001 … SRS-PNET-030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SRS-AOP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SRS-AOP-001 … SRS-AOP-035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SRS-PWH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SRS-PWH-001 … SRS-PWH-025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SRS-PLOG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SRS-PLOG-001 … SRS-PLOG-020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VP-UX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UI + IT + E2E + SEC + A11Y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SRS-PRR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SRS-PRR-001 … SRS-PRR-020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VP-DAT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IT + SEC + PERF + MVT/UAT as applicable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SRS-PCR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SRS-PCR-001 … SRS-PCR-020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VP-FUN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where persisted + CT + IT + E2E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SRS-PANA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SRS-PANA-001 … SRS-PANA-020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VP-DAT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RIT + IT + SEC + PERF + MVT/UAT as applicable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SRS-PWEB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SRS-PWEB-001 … SRS-PWEB-020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VP-UX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UI + IT + E2E + SEC + A11Y + UAT + REG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SRS-PAPI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SRS-PAPI-001 … SRS-PAPI-020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VP-INT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CT + IT + E2E + SEC + PERF + DRT/UAT as applicable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SRS-PNFR</w:t>
            </w:r>
          </w:p>
        </w:tc>
        <w:tc>
          <w:tcPr>
            <w:tcW w:type="dxa" w:w="223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SRS-PNFR-001 … SRS-PNFR-020</w:t>
            </w:r>
          </w:p>
        </w:tc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VP-SEC</w:t>
            </w:r>
          </w:p>
        </w:tc>
        <w:tc>
          <w:tcPr>
            <w:tcW w:type="dxa" w:w="705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UT + CT + IT + SEC + E2E + REG</w:t>
            </w:r>
          </w:p>
        </w:tc>
      </w:tr>
    </w:tbl>
    <w:p>
      <w:r>
        <w:t>Test ID convention: TST-&lt;canonical requirement ID&gt;-&lt;class&gt;-&lt;sequence&gt;. Before Wave 4 reaches G4 Validation, every atomic requirement in Section 15 must have concrete test IDs and objective expected results; family profiles above are minimums only.</w:t>
      </w:r>
    </w:p>
    <w:p>
      <w:pPr>
        <w:pStyle w:val="Heading1"/>
      </w:pPr>
      <w:r>
        <w:t>14. Implementation Sequence and Engineering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79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Step</w:t>
            </w:r>
          </w:p>
        </w:tc>
        <w:tc>
          <w:tcPr>
            <w:tcW w:type="dxa" w:w="10224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Engineering gate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Confirm domain owner, requirement coverage, state model and security/data class.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B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Produce/update proto contract, aggregate/schema design and UX flow for the feature slice.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Write domain/unit tests and contract/repository test skeleton before or with implementation.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Implement vertical slice: UI -&gt; RPC -&gt; application -&gt; domain -&gt; repository -&gt; outbox/audit.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Run integration/security/tenant-isolation tests and failure-path scenarios.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F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Complete UAT/clinical/domain validation and operational readiness.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G</w:t>
            </w:r>
          </w:p>
        </w:tc>
        <w:tc>
          <w:tcPr>
            <w:tcW w:type="dxa" w:w="10224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Canary/pilot release with telemetry and rollback; mark requirements Released only after verification evidence.</w:t>
            </w:r>
          </w:p>
        </w:tc>
      </w:tr>
    </w:tbl>
    <w:p>
      <w:pPr>
        <w:pStyle w:val="Heading1"/>
      </w:pPr>
      <w:r>
        <w:t>15. Atomic Requirement Coverage 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93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Source</w:t>
            </w:r>
          </w:p>
        </w:tc>
        <w:tc>
          <w:tcPr>
            <w:tcW w:type="dxa" w:w="136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Original family</w:t>
            </w:r>
          </w:p>
        </w:tc>
        <w:tc>
          <w:tcPr>
            <w:tcW w:type="dxa" w:w="151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Canonical family</w:t>
            </w:r>
          </w:p>
        </w:tc>
        <w:tc>
          <w:tcPr>
            <w:tcW w:type="dxa" w:w="648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Count</w:t>
            </w:r>
          </w:p>
        </w:tc>
        <w:tc>
          <w:tcPr>
            <w:tcW w:type="dxa" w:w="237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Canonical ID range</w:t>
            </w:r>
          </w:p>
        </w:tc>
        <w:tc>
          <w:tcPr>
            <w:tcW w:type="dxa" w:w="4320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Capability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SRS-PHM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SRS-PHM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SRS-PHM-001 – SRS-PHM-020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Medication/Product Master and Formulary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SRS-HPRX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SRS-HPRX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SRS-HPRX-001 – SRS-HPRX-025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Hospital Pharmacy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SRS-RPH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SRS-RPH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SRS-RPH-001 – SRS-RPH-020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Retail Pharmacy and Patient Fulfilment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SRS-PNET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SRS-PNET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30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SRS-PNET-001 – SRS-PNET-030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 Manufacturer–C&amp;F–Distributor–Stockist Network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SRS-AOP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SRS-AOP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35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SRS-AOP-001 – SRS-AOP-035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Automated Pharmaceutical Order Processing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SRS-PWH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SRS-PWH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25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SRS-PWH-001 – SRS-PWH-025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Pharmaceutical Warehouse and Inventory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SRS-PLOG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SRS-PLOG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SRS-PLOG-001 – SRS-PLOG-020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Logistics and Delivery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SRS-PRR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SRS-PRR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SRS-PRR-001 – SRS-PRR-020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Returns, Expiry, Quality Complaint and Recall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SRS-PCR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SRS-PCR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SRS-PCR-001 – SRS-PCR-020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Credit, Receivables and Settlement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SRS-PANA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SRS-PANA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SRS-PANA-001 – SRS-PANA-020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Pharma Analytics, Forecasting and Optimization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SRS-PWEB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SRS-PWEB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SRS-PWEB-001 – SRS-PWEB-020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Svelte/SvelteKit Web Workspace Requirements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SRS-PAPI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SRS-PAPI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SRS-PAPI-001 – SRS-PAPI-020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ConnectRPC, API, Event and Integration Requirements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Phase 4</w:t>
            </w:r>
          </w:p>
        </w:tc>
        <w:tc>
          <w:tcPr>
            <w:tcW w:type="dxa" w:w="136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SRS-PNFR</w:t>
            </w:r>
          </w:p>
        </w:tc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SRS-PNFR</w:t>
            </w:r>
          </w:p>
        </w:tc>
        <w:tc>
          <w:tcPr>
            <w:tcW w:type="dxa" w:w="648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3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SRS-PNFR-001 – SRS-PNFR-020</w:t>
            </w:r>
          </w:p>
        </w:tc>
        <w:tc>
          <w:tcPr>
            <w:tcW w:type="dxa" w:w="4320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1"/>
              </w:rPr>
              <w:t>Cross-Domain Safety, Security and NFR</w:t>
            </w:r>
          </w:p>
        </w:tc>
      </w:tr>
    </w:tbl>
    <w:p>
      <w:r>
        <w:t>Coverage total for Wave 4: 295 atomic requirements. The source SRS remains authoritative for each requirement’s full normative text. Canonical aliases preserve suffix numbers and are used in new engineering/test artifacts.</w:t>
      </w:r>
    </w:p>
    <w:p>
      <w:pPr>
        <w:pStyle w:val="Heading1"/>
      </w:pPr>
      <w:r>
        <w:t>16. Definition of Ready and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512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Gate</w:t>
            </w:r>
          </w:p>
        </w:tc>
        <w:tc>
          <w:tcPr>
            <w:tcW w:type="dxa" w:w="9576"/>
            <w:shd w:fill="D9EAF7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2"/>
            </w:pPr>
            <w:r>
              <w:rPr>
                <w:b/>
                <w:sz w:val="13"/>
              </w:rPr>
              <w:t>Criterion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Ready-1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SRS IDs, user/actor, workflow and source-domain owner identified.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Ready-2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State transitions, invariants and failure paths agreed.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Ready-3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UX states and API/data/authorization impact designed.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Ready-4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Test classes and critical test data/environment identified.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Done-1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Code/config merged with peer review and trace links.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Done-2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Unit/repository/contract/integration/security tests pass.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Done-3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Applicable CST/A11Y/PERF/DR/MVT/MIG/UAT evidence passes.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Done-4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Observability, audit, runbook/release/support knowledge complete.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Done-5</w:t>
            </w:r>
          </w:p>
        </w:tc>
        <w:tc>
          <w:tcPr>
            <w:tcW w:type="dxa" w:w="9576"/>
            <w:vAlign w:val="top"/>
            <w:tcMar>
              <w:top w:w="34" w:type="dxa"/>
              <w:start w:w="34" w:type="dxa"/>
              <w:bottom w:w="34" w:type="dxa"/>
              <w:end w:w="34" w:type="dxa"/>
            </w:tcMar>
          </w:tcPr>
          <w:p>
            <w:pPr>
              <w:spacing w:after="1"/>
            </w:pPr>
            <w:r>
              <w:rPr>
                <w:sz w:val="13"/>
              </w:rPr>
              <w:t>Every included SRS requirement is Verified; no undocumented blocker/critical defect or waiver.</w:t>
            </w:r>
          </w:p>
        </w:tc>
      </w:tr>
    </w:tbl>
    <w:p>
      <w:pPr>
        <w:pStyle w:val="Heading1"/>
      </w:pPr>
      <w:r>
        <w:t>17. Baseline Statement</w:t>
      </w:r>
    </w:p>
    <w:p>
      <w:r>
        <w:t>This Wave 4 Detailed Engineering Specification is the implementation baseline for Pharmacy &amp; Pharma Network. It elaborates 295 source requirements without replacing the Master SRS. Any change to requirement intent, canonical ownership, security boundary or state-machine invariant must be processed through controlled change and reflected in the Master Index/Traceability and Testing Master Plan.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Wave 4 v1.0 | September 2026 |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Unified Healthcare SaaS — Wave 4 Detailed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8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4E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A5C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Wave 4 Detailed Engineering Specification</dc:title>
  <dc:subject>Wave 4 Pharmacy &amp; Pharma Network implementation-ready elaboration</dc:subject>
  <dc:creator>P9e Microsystems Private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