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4"/>
        </w:rPr>
        <w:br/>
        <w:br/>
        <w:t>UNIFIED HEALTHCARE SaaS PLATFORM</w:t>
        <w:br/>
        <w:t>DETAILED FEATURE ENGINEERING SPECIFICATION</w:t>
      </w:r>
    </w:p>
    <w:p>
      <w:pPr>
        <w:jc w:val="center"/>
      </w:pPr>
      <w:r>
        <w:rPr>
          <w:b/>
          <w:sz w:val="26"/>
        </w:rPr>
        <w:br/>
        <w:t>WAVE 9 — SAAS COMMERCIAL &amp; ROLLOUT CONTROL</w:t>
      </w:r>
    </w:p>
    <w:p>
      <w:pPr>
        <w:jc w:val="center"/>
      </w:pPr>
      <w:r>
        <w:br/>
        <w:t>Implementation-ready elaboration for 298 atomic SRS requirements</w:t>
        <w:br/>
        <w:t>Go + Protobuf/ConnectRPC + PostgreSQL/sqlc | Svelte/SvelteKit | Flutter | Rust AI/ML</w:t>
        <w:br/>
        <w:t>Version 1.0 — September 2026</w:t>
      </w:r>
    </w:p>
    <w:p>
      <w:r>
        <w:br w:type="page"/>
      </w:r>
    </w:p>
    <w:p>
      <w:pPr>
        <w:pStyle w:val="Heading1"/>
      </w:pPr>
      <w:r>
        <w:t>1. Purpose, Scope and Engineering Baseline</w:t>
      </w:r>
    </w:p>
    <w:p>
      <w:r>
        <w:t>This document elaborates Wave 9 — SaaS Commercial &amp; Rollout Control into an implementation-ready engineering baseline. It is subordinate to the Master SRS, Master Index &amp; Traceability, Engineering Architecture Blueprint, Domain/Data/API/Event/Security Architecture, UX Architecture, Development Backlog and Testing Master Plan. It does not alter SRS intent; it converts that intent into bounded-context, workflow, API, data, UX, authorization and verification design.</w:t>
      </w:r>
    </w:p>
    <w:p>
      <w:pPr>
        <w:pStyle w:val="ListBullet"/>
        <w:spacing w:after="14"/>
      </w:pPr>
      <w:r>
        <w:t>Wave exit outcome: Repeatable commercial onboarding, migration, implementation, training, support, release/change, partner governance and offboarding.</w:t>
      </w:r>
    </w:p>
    <w:p>
      <w:pPr>
        <w:pStyle w:val="ListBullet"/>
        <w:spacing w:after="14"/>
      </w:pPr>
      <w:r>
        <w:t>Atomic requirement coverage: 298; every source family is listed in Section 3 and remains traceable to its source SRS.</w:t>
      </w:r>
    </w:p>
    <w:p>
      <w:pPr>
        <w:pStyle w:val="ListBullet"/>
        <w:spacing w:after="14"/>
      </w:pPr>
      <w:r>
        <w:t>Feature teams may refine field-level schema and UI details just before implementation, but may not change ownership, state-machine invariants, security policy or external contracts without controlled review.</w:t>
      </w:r>
    </w:p>
    <w:p>
      <w:pPr>
        <w:pStyle w:val="ListBullet"/>
        <w:spacing w:after="14"/>
      </w:pPr>
      <w:r>
        <w:t>All state-changing operations use the shared audit/correlation/idempotency conventions and transactional outbox pattern defined in the architecture specifications.</w:t>
      </w:r>
    </w:p>
    <w:p>
      <w:pPr>
        <w:pStyle w:val="Heading1"/>
      </w:pPr>
      <w:r>
        <w:t>2. Wave Exit Criteria and Delivery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72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Area</w:t>
            </w:r>
          </w:p>
        </w:tc>
        <w:tc>
          <w:tcPr>
            <w:tcW w:type="dxa" w:w="936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Exit criterion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Repeatable commercial onboarding, migration, implementation, training, support, release/change, partner governance and offboarding.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Architecture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All included families have named owning service/context; no cross-context database writes.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UX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Primary role workspaces and critical happy/negative states are specified and use shared design-system components.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Security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Canonical permissions exist and ABAC/tenant/patient-context rules are enforced server-side.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Verification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Every in-scope SRS ID is mapped to concrete test cases before G4; Tier-0/1 items include negative/failure-mode evidence.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Operations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Telemetry, audit, SLO/runbook and rollback expectations exist for production deployables.</w:t>
            </w:r>
          </w:p>
        </w:tc>
      </w:tr>
    </w:tbl>
    <w:p>
      <w:pPr>
        <w:pStyle w:val="Heading1"/>
      </w:pPr>
      <w:r>
        <w:t>3. Requirement Family Coverage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7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Source</w:t>
            </w:r>
          </w:p>
        </w:tc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Original</w:t>
            </w:r>
          </w:p>
        </w:tc>
        <w:tc>
          <w:tcPr>
            <w:tcW w:type="dxa" w:w="12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Canonical</w:t>
            </w:r>
          </w:p>
        </w:tc>
        <w:tc>
          <w:tcPr>
            <w:tcW w:type="dxa" w:w="30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Capability</w:t>
            </w:r>
          </w:p>
        </w:tc>
        <w:tc>
          <w:tcPr>
            <w:tcW w:type="dxa" w:w="6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Reqs</w:t>
            </w:r>
          </w:p>
        </w:tc>
        <w:tc>
          <w:tcPr>
            <w:tcW w:type="dxa" w:w="187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Owner service</w:t>
            </w:r>
          </w:p>
        </w:tc>
        <w:tc>
          <w:tcPr>
            <w:tcW w:type="dxa" w:w="24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Primary aggregate</w:t>
            </w:r>
          </w:p>
        </w:tc>
        <w:tc>
          <w:tcPr>
            <w:tcW w:type="dxa" w:w="86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Verify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SRS-SAAS-ACC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SRS-SAAS-ACC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 and Account Master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12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SubscriptionService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CustomerAccount / TenantLink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SRS-SAAS-SUB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SRS-SAAS-SUB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Product Catalog, Subscription and Entitlements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SubscriptionService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Subscription / Entitlement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SRS-SAAS-MTR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SRS-SAAS-MTR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SaaS Metering and Customer Billing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SubscriptionService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UsageMeter / Statement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SRS-IMP-PRJ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SRS-IMP-PRJ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Implementation Project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14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ImplementationService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ImplementationProject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SRS-IMP-DIS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SRS-IMP-DIS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Discovery and Solution Blueprint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13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ImplementationService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SolutionBlueprint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SRS-IMP-ENV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SRS-IMP-ENV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Environment and Tenant Provisioning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12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ImplementationService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EnvironmentProvisioning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SRS-MIG-MAP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SRS-MIG-MAP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Migration Source and Mapping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12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MigrationService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MigrationMapping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SRS-MIG-RUN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SRS-MIG-RUN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Migration Execution and Reconciliation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16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MigrationService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MigrationRun / Reconciliation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SRS-MIG-ARC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SRS-MIG-ARC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Legacy Archive and Read-only Access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9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MigrationService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LegacyArchiveRecord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SRS-ONB-INT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SRS-ONB-INT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Interface Onboarding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14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OnboardingService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InterfaceOnboarding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VP-INT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SRS-ONB-DEV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SRS-ONB-DEV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Device / Analyzer / SCADA Commissioning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12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OnboardingService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DeviceCommissioning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VP-INT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SRS-TRN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SRS-TRAIN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Training Management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12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TrainingService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TrainingAssignment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VP-DAT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SRS-ADOPT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SRS-ADOPT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Adoption and Change Management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12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AdoptionService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AdoptionMetric / Intervention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SRS-SUP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SRS-SUP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Service Desk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SupportCase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SRS-PRB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SRS-PRB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Problem and Known Error Management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ProblemService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Problem / KnownError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SRS-SUP-ACC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SRS-SUP-ACC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 Support Access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SupportAccessGrant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SRS-SLA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SRS-SLA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SLA Management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SlaService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SlaContract / Measurement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SRS-CSM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SRS-CSM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 Success and Health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CustomerSuccessService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CustomerHealth / SuccessPlan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SRS-REL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SRS-REL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Release Management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14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ReleaseService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Release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SRS-CHG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SRS-CHG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 Change Management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12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ChangeService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ChangeRequest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SRS-CFG-PRO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SRS-CFG-PRO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Configuration Promotion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11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ConfigurationService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ConfigurationPackage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SRS-PART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SRS-PART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Partner Onboarding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12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PartnerService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Partner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SRS-MKT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SRS-MKT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Marketplace Governance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12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MarketplaceAdminService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MarketplaceListing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8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SRS-OFF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SRS-OFF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 Offboarding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14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OffboardingService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OffboardingPlan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</w:tbl>
    <w:p>
      <w:pPr>
        <w:pStyle w:val="Heading1"/>
      </w:pPr>
      <w:r>
        <w:t>4. Feature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27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  <w:tc>
          <w:tcPr>
            <w:tcW w:type="dxa" w:w="61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Implementation feature slices</w:t>
            </w:r>
          </w:p>
        </w:tc>
        <w:tc>
          <w:tcPr>
            <w:tcW w:type="dxa" w:w="172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Owner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SRS-SAAS-ACC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and Account Master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commercial customer/account separately from healthcare tenant and legal entity.; Support hospital group, independent hospital, clinic, lab, pharmacy, manufacturer, dist...</w:t>
              <w:br/>
              <w:t>F2: Maintain account status: prospect, contracting, onboarding, active, suspended, offboarding, terminated.; Support account owner and customer-success owner.</w:t>
              <w:br/>
              <w:t>F3: Support parent/child customer account hierarchy.; Maintain data residency/region and deployment constraints.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SubscriptionService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SRS-SAAS-SUB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Product Catalog, Subscription and Entitlements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product/module/SKU catalog with versioned commercial packages.; Support subscription by tenant, facility, bed band, user band, transaction volume, device/point band or ...</w:t>
              <w:br/>
              <w:t>F2: Support add-on modules and usage-based components.; Support enterprise/custom contracted entitlement overrides.</w:t>
              <w:br/>
              <w:t>F3: Support entitlement change preview before activation.; Audit entitlement grants/revocations.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SubscriptionService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SRS-SAAS-MTR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SaaS Metering and Customer Billing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Define billable usage meters with unit, source event and aggregation period.; Support active bed, active user, API transaction, diagnostic order, pharmacy order, SCADA point, st...</w:t>
              <w:br/>
              <w:t>F2: Support minimum commitment and overage.; Support prepaid credits where commercial model uses them.</w:t>
              <w:br/>
              <w:t>F3: Support billing adjustment/credit with approval.; Allow customer to view usage and forecast.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SubscriptionService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SRS-IMP-PRJ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Implementation Project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implementation project linked to customer, tenant, sites and contracted scope.; Maintain project phase, milestones, owners and target go-live.</w:t>
              <w:br/>
              <w:t>F2: Support scope baseline and controlled change request.; Track customer and vendor responsibilities.</w:t>
              <w:br/>
              <w:t>F3: Support site-by-site rollout waves.; Track pilot/UAT/go-live/hypercare dates.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ImplementationService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SRS-IMP-DIS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Discovery and Solution Blueprint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Capture current-state systems, workflows, sites, volumes and interfaces.; Capture licensed departments/specialties and target modules.</w:t>
              <w:br/>
              <w:t>F2: Capture device/analyzer/PACS/SCADA vendor inventory.; Capture network/security/identity architecture.</w:t>
              <w:br/>
              <w:t>F3: Require sign-off of solution blueprint.; Link blueprint decisions to configuration/backlog items.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ImplementationService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SRS-IMP-ENV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Environment and Tenant Provisioning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Provision tenant using approved infrastructure template.; Support sandbox, training, UAT and production tenant/environment profiles.</w:t>
              <w:br/>
              <w:t>F2: Provision default roles and baseline configuration.; Provision integration endpoints/secrets separately per environment.</w:t>
              <w:br/>
              <w:t>F3: Run automated tenant smoke test.; Prevent production PHI seeding into training/sandbox.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ImplementationService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SRS-MIG-MAP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 Source and Mapping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Register migration source system, extract version and owner.; Define source-to-canonical mapping by entity and field.</w:t>
              <w:br/>
              <w:t>F2: Support patient identity/MRN crosswalk.; Support provider, facility, service, drug, test, payer and employee crosswalks.</w:t>
              <w:br/>
              <w:t>F3: Quarantine unmapped/invalid source values.; Track source record key and provenance for every migrated record.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SRS-MIG-RUN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 Execution and Reconciliation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Support full initial load and incremental/delta load.; Use idempotent migration keys to prevent duplicate records on rerun.</w:t>
              <w:br/>
              <w:t>F2: Provide document/file count and hash reconciliation.; Support trial migrations repeatedly without contaminating production.</w:t>
              <w:br/>
              <w:t>F3: Support delta migration after source freeze window.; Generate sign-off report.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SRS-MIG-ARC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Legacy Archive and Read-only Access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Support read-only legacy archive strategy when full structured migration is not justified.; Maintain index by patient/source/document/date.</w:t>
              <w:br/>
              <w:t>F2: Prevent legacy archive from appearing as newly authored clinical data.; Apply retention/legal-hold requirements.</w:t>
              <w:br/>
              <w:t>F3: Support secure document retrieval.; Support decommission checklist for legacy source after acceptance.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SRS-ONB-INT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Interface Onboarding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interface onboarding record with partner/vendor, protocol, endpoint, owner and data scope.; Define canonical contract and mapping.</w:t>
              <w:br/>
              <w:t>F2: Support sample-message validation.; Support volume/performance test where needed.</w:t>
              <w:br/>
              <w:t>F3: Require business/clinical owner sign-off before production activation.; Provide go-live monitoring window.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OnboardingService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SRS-ONB-DEV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Device / Analyzer / SCADA Commissioning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Register device/interface inventory for commissioning.; Capture make/model/serial/software version/network address where permitted.</w:t>
              <w:br/>
              <w:t>F2: Test normal, error and disconnected conditions.; Validate time synchronization.</w:t>
              <w:br/>
              <w:t>F3: Record calibration/validation evidence where required.; Require technical and clinical/operational sign-off.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OnboardingService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SRS-TRAIN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Training Management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role-based training curricula by module and workflow.; Link training to site/go-live wave.</w:t>
              <w:br/>
              <w:t>F2: Support competency assessment for configured critical roles.; Issue training completion record/certificate.</w:t>
              <w:br/>
              <w:t>F3: Support new-hire learning assignment from workforce module.; Provide training compliance dashboard.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TrainingService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SRS-ADOPT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Adoption and Change Management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Define adoption KPIs by workflow and role.; Measure active usage and task completion without using surveillance beyond approved policy.</w:t>
              <w:br/>
              <w:t>F2: Collect structured user feedback.; Route usability/safety issues to product/support.</w:t>
              <w:br/>
              <w:t>F3: Provide go-live readiness survey/checklist.; Provide adoption dashboard by site/department.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AdoptionService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Service Desk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support case from portal, email, phone, monitoring alert or internal escalation.; Classify incident, service request, problem, question and change request.</w:t>
              <w:br/>
              <w:t>F2: Route to support queue/owner.; Track SLA response and resolution timers.</w:t>
              <w:br/>
              <w:t>F3: Support duplicate/related case linking.; Support workaround and resolution knowledge capture.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SupportService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SRS-PRB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Problem and Known Error Management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problem record from recurring incidents.; Link affected incidents/customers/releases.</w:t>
              <w:br/>
              <w:t>F2: Track permanent corrective action.; Link defect/backlog item.</w:t>
              <w:br/>
              <w:t>F3: Close problem only after verification.; Provide recurrence analytics.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ProblemService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SRS-SUP-ACC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Support Access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Require customer-approved support-access policy per tenant.; Use time-bound just-in-time access for support where possible.</w:t>
              <w:br/>
              <w:t>F2: Mask sensitive records not required for case.; Audit support record access.</w:t>
              <w:br/>
              <w:t>F3: Revoke access automatically at expiry/case closure.; Require enhanced approval for production database/infrastructure intervention.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SupportService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SRS-SLA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SLA Management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contracted availability/support SLA tier by customer.; Define severity response/resolution targets.</w:t>
              <w:br/>
              <w:t>F2: Measure support SLA independently from uptime.; Track SLA breach and reason.</w:t>
              <w:br/>
              <w:t>F3: Provide customer-visible SLO/SLA dashboard at agreed granularity.; Retain SLA calculation evidence for dispute.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SlaService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SRS-CSM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Success and Health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customer success plan and objectives.; Track implementation/adoption/value KPIs.</w:t>
              <w:br/>
              <w:t>F2: Maintain QBR/service-review record.; Track executive sponsor and key stakeholders.</w:t>
              <w:br/>
              <w:t>F3: Track reference/case-study consent.; Support expansion opportunity workflow without exposing clinical PHI.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CustomerSuccessService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SRS-REL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Release Management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release train/version and target environments.; Maintain release scope, dependencies and known issues.</w:t>
              <w:br/>
              <w:t>F2: Require release readiness approval.; Support canary/pilot tenant wave.</w:t>
              <w:br/>
              <w:t>F3: Record production artifact hashes/versions.; Support emergency hotfix process with retrospective review.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ReleaseService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SRS-CHG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Change Management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customer change request with business reason and scope.; Classify configuration, integration, migration, report, feature or infrastructure change.</w:t>
              <w:br/>
              <w:t>F2: Link to implementation/release item.; Schedule change window.</w:t>
              <w:br/>
              <w:t>F3: Record implementation result.; Close with customer acceptance where required.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ChangeService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SRS-CFG-PRO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Configuration Promotion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Package tenant configuration with dependency manifest.; Compare configuration between environments.</w:t>
              <w:br/>
              <w:t>F2: Support controlled dev/test/UAT/production promotion.; Require approval for critical production configuration.</w:t>
              <w:br/>
              <w:t>F3: Prevent environment-specific identifiers from accidental promotion.; Run post-promotion smoke validation.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ConfigurationService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SRS-PART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Partner Onboarding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Maintain partner organization and category: lab, pharmacy, logistics, device vendor, integrator, insurer, API developer or service provider.; Collect required licenses/certifica...</w:t>
              <w:br/>
              <w:t>F2: Track API/integration credentials separately.; Track commercial terms/commission references.</w:t>
              <w:br/>
              <w:t>F3: Track quality/SLA metrics.; Provide partner portal access scoped to partner resources.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PartnerService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SRS-MKT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Marketplace Governance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Define listing eligibility by partner/license/service.; Support catalog/listing review before publication.</w:t>
              <w:br/>
              <w:t>F2: Disclose sponsored/promoted ranking when implemented and legally required.; Support patient choice where marketplace model permits.</w:t>
              <w:br/>
              <w:t>F3: Support quality complaints and temporary delisting.; Maintain audit of listing/ranking configuration.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MarketplaceAdminService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SRS-OFF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Offboarding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Create offboarding plan with contract end date and responsible owners.; Freeze new commercial usage according to agreed staged plan without corrupting care continuity.</w:t>
              <w:br/>
              <w:t>F2: Disable integrations/credentials in controlled sequence.; Revoke users/service accounts after transition.</w:t>
              <w:br/>
              <w:t>F3: Preserve audit/security records per retention policy.; Close outstanding financial/support obligations.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OffboardingService</w:t>
            </w:r>
          </w:p>
        </w:tc>
      </w:tr>
    </w:tbl>
    <w:p>
      <w:pPr>
        <w:pStyle w:val="Heading1"/>
      </w:pPr>
      <w:r>
        <w:t>5. End-to-End Workflow Design</w:t>
      </w:r>
    </w:p>
    <w:p>
      <w:pPr>
        <w:pStyle w:val="ListNumber"/>
      </w:pPr>
      <w:r>
        <w:t>WF-9-01  Commercial account -&gt; contract -&gt; subscription/entitlement -&gt; tenant provision -&gt; onboarding -&gt; go-live -&gt; renewal/offboard</w:t>
      </w:r>
    </w:p>
    <w:p>
      <w:pPr>
        <w:pStyle w:val="ListNumber"/>
      </w:pPr>
      <w:r>
        <w:t>WF-9-02  Implementation project -&gt; discovery -&gt; blueprint -&gt; config/integration/migration/training -&gt; UAT -&gt; cutover -&gt; hypercare</w:t>
      </w:r>
    </w:p>
    <w:p>
      <w:pPr>
        <w:pStyle w:val="ListNumber"/>
      </w:pPr>
      <w:r>
        <w:t>WF-9-03  Migration source -&gt; mapping -&gt; trial -&gt; reconcile -&gt; freeze/delta -&gt; cutover -&gt; sign-off</w:t>
      </w:r>
    </w:p>
    <w:p>
      <w:pPr>
        <w:pStyle w:val="ListNumber"/>
      </w:pPr>
      <w:r>
        <w:t>WF-9-04  Interface/device -&gt; register -&gt; test -&gt; certify -&gt; activate -&gt; monitor/decommission</w:t>
      </w:r>
    </w:p>
    <w:p>
      <w:pPr>
        <w:pStyle w:val="ListNumber"/>
      </w:pPr>
      <w:r>
        <w:t>WF-9-05  Training -&gt; assignment -&gt; competency -&gt; readiness -&gt; adoption monitoring</w:t>
      </w:r>
    </w:p>
    <w:p>
      <w:pPr>
        <w:pStyle w:val="ListNumber"/>
      </w:pPr>
      <w:r>
        <w:t>WF-9-06  Support case -&gt; triage -&gt; troubleshoot -&gt; escalation/problem -&gt; resolution -&gt; knowledge</w:t>
      </w:r>
    </w:p>
    <w:p>
      <w:pPr>
        <w:pStyle w:val="ListNumber"/>
      </w:pPr>
      <w:r>
        <w:t>WF-9-07  Release -&gt; readiness -&gt; canary -&gt; deploy -&gt; monitor -&gt; rollback/close</w:t>
      </w:r>
    </w:p>
    <w:p>
      <w:pPr>
        <w:pStyle w:val="ListNumber"/>
      </w:pPr>
      <w:r>
        <w:t>WF-9-08  Partner -&gt; verify -&gt; listing -&gt; transactions/quality -&gt; suspend/reverify</w:t>
      </w:r>
    </w:p>
    <w:p>
      <w:pPr>
        <w:pStyle w:val="ListNumber"/>
      </w:pPr>
      <w:r>
        <w:t>WF-9-09  Offboarding -&gt; export -&gt; revoke -&gt; retain/delete -&gt; evidence -&gt; complete</w:t>
      </w:r>
    </w:p>
    <w:p>
      <w:r>
        <w:t>Workflow implementation rule: each arrow represents either a command within the owning bounded context or an explicit API/event/workflow transition. A workflow definition may coordinate the sequence, but it must never become the authoritative record for clinical, financial, inventory, payer or OT state.</w:t>
      </w:r>
    </w:p>
    <w:p>
      <w:pPr>
        <w:pStyle w:val="Heading1"/>
      </w:pPr>
      <w:r>
        <w:t>6. Canonical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Aggregate / process</w:t>
            </w:r>
          </w:p>
        </w:tc>
        <w:tc>
          <w:tcPr>
            <w:tcW w:type="dxa" w:w="84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State model and invariant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Customer account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PROSPECT -&gt; CONTRACTING -&gt; ONBOARDING -&gt; ACTIVE -&gt; SUSPENDED/OFFBOARDING -&gt; TERMINATED.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Implementation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PLANNED -&gt; DISCOVERY -&gt; BUILD/CONFIG -&gt; TEST -&gt; READY -&gt; GO_LIVE -&gt; HYPERCARE -&gt; CLOSED.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Migration run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PREPARED -&gt; EXTRACTED -&gt; TRANSFORMED -&gt; LOADED -&gt; RECONCILED -&gt; SIGNED_OFF/FAILED.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Support case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NEW -&gt; TRIAGED -&gt; IN_PROGRESS -&gt; WAITING -&gt; RESOLVED -&gt; CLOSED/REOPENED.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Release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PLANNED -&gt; READY -&gt; APPROVED -&gt; CANARY -&gt; DEPLOYED -&gt; HYPERCARE -&gt; CLOSED/ROLLED_BACK.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Partner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APPLIED -&gt; VERIFYING -&gt; APPROVED -&gt; ACTIVE -&gt; SUSPENDED/TERMINATED.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Offboarding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PLANNED -&gt; EXPORTING -&gt; ACCESS_REVOKE -&gt; RETENTION_DELETE -&gt; VERIFIED -&gt; COMPLETE.</w:t>
            </w:r>
          </w:p>
        </w:tc>
      </w:tr>
    </w:tbl>
    <w:p>
      <w:pPr>
        <w:pStyle w:val="Heading1"/>
      </w:pPr>
      <w:r>
        <w:t>7. Domain and Data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2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Family</w:t>
            </w:r>
          </w:p>
        </w:tc>
        <w:tc>
          <w:tcPr>
            <w:tcW w:type="dxa" w:w="295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Primary aggregate(s)</w:t>
            </w:r>
          </w:p>
        </w:tc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Logical schema</w:t>
            </w:r>
          </w:p>
        </w:tc>
        <w:tc>
          <w:tcPr>
            <w:tcW w:type="dxa" w:w="388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Required data conventions</w:t>
            </w:r>
          </w:p>
        </w:tc>
        <w:tc>
          <w:tcPr>
            <w:tcW w:type="dxa" w:w="230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Mutation rule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SRS-SAAS-ACC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CustomerAccount / TenantLink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saas_acc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SRS-SAAS-SUB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Subscription / Entitlement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saas_sub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SRS-SAAS-MTR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UsageMeter / Statement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saas_mtr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SRS-IMP-PRJ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ImplementationProject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imp_prj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SRS-IMP-DIS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SolutionBlueprint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imp_dis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SRS-IMP-ENV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EnvironmentProvisioning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imp_env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SRS-MIG-MAP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MigrationMapping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mig_map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SRS-MIG-RUN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MigrationRun / Reconciliation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mig_run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SRS-MIG-ARC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LegacyArchiveRecord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mig_arc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SRS-ONB-INT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InterfaceOnboarding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onb_int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SRS-ONB-DEV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DeviceCommissioning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onb_dev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SRS-TRAIN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TrainingAssignment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train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SRS-ADOPT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AdoptionMetric / Intervention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adopt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SRS-SUP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SupportCase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sup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SRS-PRB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Problem / KnownError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prb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SRS-SUP-ACC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SupportAccessGrant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sup_acc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SRS-SLA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SlaContract / Measurement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sla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SRS-CSM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CustomerHealth / SuccessPlan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csm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SRS-REL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Release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rel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SRS-CHG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ChangeRequest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chg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SRS-CFG-PRO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ConfigurationPackage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cfg_pro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SRS-PART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Partner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part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SRS-MKT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MarketplaceListing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mkt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SRS-OFF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OffboardingPlan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off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</w:tbl>
    <w:p>
      <w:pPr>
        <w:pStyle w:val="ListBullet"/>
        <w:spacing w:after="14"/>
      </w:pPr>
      <w:r>
        <w:t>No feature may model the Patient as one giant aggregate. Use identifiers and explicit references across aggregates.</w:t>
      </w:r>
    </w:p>
    <w:p>
      <w:pPr>
        <w:pStyle w:val="ListBullet"/>
        <w:spacing w:after="14"/>
      </w:pPr>
      <w:r>
        <w:t>Financial, inventory, consent/disclosure and other ledger-like histories are append-oriented; corrections use reversal/compensation.</w:t>
      </w:r>
    </w:p>
    <w:p>
      <w:pPr>
        <w:pStyle w:val="ListBullet"/>
        <w:spacing w:after="14"/>
      </w:pPr>
      <w:r>
        <w:t>Clinical signed/finalized content uses addendum/amendment semantics.</w:t>
      </w:r>
    </w:p>
    <w:p>
      <w:pPr>
        <w:pStyle w:val="ListBullet"/>
        <w:spacing w:after="14"/>
      </w:pPr>
      <w:r>
        <w:t>Cross-context reporting uses read models/analytics, never direct cross-schema mutation.</w:t>
      </w:r>
    </w:p>
    <w:p>
      <w:pPr>
        <w:pStyle w:val="ListBullet"/>
        <w:spacing w:after="14"/>
      </w:pPr>
      <w:r>
        <w:t>Indexes, partitioning and lock strategy are chosen from measured query/volume patterns but must retain tenant-leading access paths.</w:t>
      </w:r>
    </w:p>
    <w:p>
      <w:pPr>
        <w:pStyle w:val="Heading1"/>
      </w:pPr>
      <w:r>
        <w:t>8. Protobuf / ConnectRPC Contract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Service</w:t>
            </w:r>
          </w:p>
        </w:tc>
        <w:tc>
          <w:tcPr>
            <w:tcW w:type="dxa" w:w="806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Representative Wave RPCs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AccountService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CreateAccount; LinkTenant; UpdateLifecycle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EntitlementService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Grant; Revoke; ScheduleChange; CheckEntitlement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MeteringService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RecordUsage; Aggregate; GetStatement; Reconcile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ImplementationService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CreateProject; UpdateMilestone; RecordDecision; GetReadiness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MigrationService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CreateMapping; RunTrial; RunCutover; GetReconciliation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InterfaceOnboardingService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Register; Validate; Certify; Activate; Suspend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TrainingService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CreateCurriculum; Assign; RecordCompletion; Assess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SupportService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CreateCase; Assign; Escalate; Resolve; Reopen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SlaService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GetTargets; Measure; RecordBreach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ReleaseService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CreateRelease; Approve; DeployWave; Rollback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ConfigPromotionService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Package; Diff; Validate; Promote; Rollback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PartnerService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Onboard; Verify; Suspend; Reverify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OffboardingService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Start; Export; Revoke; Complete</w:t>
            </w:r>
          </w:p>
        </w:tc>
      </w:tr>
    </w:tbl>
    <w:p>
      <w:pPr>
        <w:pStyle w:val="ListBullet"/>
        <w:spacing w:after="14"/>
      </w:pPr>
      <w:r>
        <w:t>Canonical package: healthcare.&lt;bounded_context&gt;.v1; stable field numbers; unspecified enum value = 0.</w:t>
      </w:r>
    </w:p>
    <w:p>
      <w:pPr>
        <w:pStyle w:val="ListBullet"/>
        <w:spacing w:after="14"/>
      </w:pPr>
      <w:r>
        <w:t>Commands that may be retried carry an idempotency key and return the prior successful result where contract allows.</w:t>
      </w:r>
    </w:p>
    <w:p>
      <w:pPr>
        <w:pStyle w:val="ListBullet"/>
        <w:spacing w:after="14"/>
      </w:pPr>
      <w:r>
        <w:t>Tenant/user/service/facility/purpose context comes from authenticated transport metadata, not an untrusted request-body tenant field.</w:t>
      </w:r>
    </w:p>
    <w:p>
      <w:pPr>
        <w:pStyle w:val="ListBullet"/>
        <w:spacing w:after="14"/>
      </w:pPr>
      <w:r>
        <w:t>All RPCs return structured error details with stable domain error code, retryability and correlation ID.</w:t>
      </w:r>
    </w:p>
    <w:p>
      <w:pPr>
        <w:pStyle w:val="ListBullet"/>
        <w:spacing w:after="14"/>
      </w:pPr>
      <w:r>
        <w:t>External FHIR/NHCX/DICOM/vendor schemas map through adapters and do not become internal domain objects.</w:t>
      </w:r>
    </w:p>
    <w:p>
      <w:pPr>
        <w:pStyle w:val="Heading1"/>
      </w:pPr>
      <w:r>
        <w:t>9. Domain Events and Asynchronous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ID</w:t>
            </w:r>
          </w:p>
        </w:tc>
        <w:tc>
          <w:tcPr>
            <w:tcW w:type="dxa" w:w="252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Event</w:t>
            </w:r>
          </w:p>
        </w:tc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Producer domain</w:t>
            </w:r>
          </w:p>
        </w:tc>
        <w:tc>
          <w:tcPr>
            <w:tcW w:type="dxa" w:w="460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Minimum envelope</w:t>
            </w:r>
          </w:p>
        </w:tc>
        <w:tc>
          <w:tcPr>
            <w:tcW w:type="dxa" w:w="201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Delivery rule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W9-EVT-001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customer.account_created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W9-EVT-002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tenant.provisioned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tenant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W9-EVT-003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subscription.activated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subscription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W9-EVT-004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entitlement.changed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entitlement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W9-EVT-005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implementation.project_started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implementation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W9-EVT-006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migration.trial_completed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W9-EVT-007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migration.cutover_completed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W9-EVT-008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interface.certified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interface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W9-EVT-009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training.completed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training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W9-EVT-010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support.case_escalated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support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W9-EVT-011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sla.breached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sla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W9-EVT-012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release.deployed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release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W9-EVT-013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release.rolled_back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release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W9-EVT-014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configuration.promoted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configuration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W9-EVT-015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partner.verified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partner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W9-EVT-016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customer.offboarding_completed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</w:tbl>
    <w:p>
      <w:pPr>
        <w:pStyle w:val="Heading1"/>
      </w:pPr>
      <w:r>
        <w:t>10. Authorization and Security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Permission</w:t>
            </w:r>
          </w:p>
        </w:tc>
        <w:tc>
          <w:tcPr>
            <w:tcW w:type="dxa" w:w="547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ABAC context</w:t>
            </w:r>
          </w:p>
        </w:tc>
        <w:tc>
          <w:tcPr>
            <w:tcW w:type="dxa" w:w="25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Audit rule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saas.account.manage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subscription.manage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metering.reconcile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implementation.manage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migration.run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migration.approve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interface.certify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training.manage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support.case.manage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 + elevated/restricted policy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support.jit_access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 + elevated/restricted policy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sla.manage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release.approve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release.deploy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 + elevated/restricted policy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configuration.promote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partner.verify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offboarding.execute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</w:tbl>
    <w:p>
      <w:pPr>
        <w:pStyle w:val="ListBullet"/>
        <w:spacing w:after="14"/>
      </w:pPr>
      <w:r>
        <w:t>UI visibility is never authorization.</w:t>
      </w:r>
    </w:p>
    <w:p>
      <w:pPr>
        <w:pStyle w:val="ListBullet"/>
        <w:spacing w:after="14"/>
      </w:pPr>
      <w:r>
        <w:t>Break-glass is an explicit policy path with reason, time-bound elevation and post-event review.</w:t>
      </w:r>
    </w:p>
    <w:p>
      <w:pPr>
        <w:pStyle w:val="ListBullet"/>
        <w:spacing w:after="14"/>
      </w:pPr>
      <w:r>
        <w:t>Cross-tenant resource substitution must fail in automated negative tests.</w:t>
      </w:r>
    </w:p>
    <w:p>
      <w:pPr>
        <w:pStyle w:val="ListBullet"/>
        <w:spacing w:after="14"/>
      </w:pPr>
      <w:r>
        <w:t>Sensitive exports/downloads use short-lived authorized object grants; routine logs exclude raw PHI/secrets.</w:t>
      </w:r>
    </w:p>
    <w:p>
      <w:pPr>
        <w:pStyle w:val="Heading1"/>
      </w:pPr>
      <w:r>
        <w:t>11. UX / Workspace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Screen group</w:t>
            </w:r>
          </w:p>
        </w:tc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Workspace</w:t>
            </w:r>
          </w:p>
        </w:tc>
        <w:tc>
          <w:tcPr>
            <w:tcW w:type="dxa" w:w="48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shared patterns</w:t>
            </w:r>
          </w:p>
        </w:tc>
        <w:tc>
          <w:tcPr>
            <w:tcW w:type="dxa" w:w="24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states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UX-W9-01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Commercial Admin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UX-W9-02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Implementation Cockpit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UX-W9-03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Migration Workbench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UX-W9-04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Integration/Device Onboarding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UX-W9-05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Training &amp; Adoption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UX-W9-06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Customer Support Portal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UX-W9-07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Support Operations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UX-W9-08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SLA/Customer Success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UX-W9-09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Release/Change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UX-W9-10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Configuration Promotion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UX-W9-11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Partner/Marketplace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UX-W9-12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Offboarding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</w:tbl>
    <w:p>
      <w:pPr>
        <w:pStyle w:val="ListBullet"/>
        <w:spacing w:after="14"/>
      </w:pPr>
      <w:r>
        <w:t>Every detailed screen produced during feature design must cite canonical SRS IDs, user/role, entry point, context, APIs, fields/actions, audit, accessibility and acceptance criteria.</w:t>
      </w:r>
    </w:p>
    <w:p>
      <w:pPr>
        <w:pStyle w:val="ListBullet"/>
        <w:spacing w:after="14"/>
      </w:pPr>
      <w:r>
        <w:t>Status, urgency, clinical interpretation, technical state and SLA state use separate semantic tokens.</w:t>
      </w:r>
    </w:p>
    <w:p>
      <w:pPr>
        <w:pStyle w:val="ListBullet"/>
        <w:spacing w:after="14"/>
      </w:pPr>
      <w:r>
        <w:t>Wrong-patient prevention and patient-context re-confirmation are mandatory in high-risk clinical workflows.</w:t>
      </w:r>
    </w:p>
    <w:p>
      <w:pPr>
        <w:pStyle w:val="ListBullet"/>
        <w:spacing w:after="14"/>
      </w:pPr>
      <w:r>
        <w:t>No feature team may create a new visual pattern when an approved design-system component fits the use case without design review.</w:t>
      </w:r>
    </w:p>
    <w:p>
      <w:pPr>
        <w:pStyle w:val="Heading1"/>
      </w:pPr>
      <w:r>
        <w:t>12. External and Cross-Wave Dependencies</w:t>
      </w:r>
    </w:p>
    <w:p>
      <w:pPr>
        <w:pStyle w:val="ListBullet"/>
        <w:spacing w:after="14"/>
      </w:pPr>
      <w:r>
        <w:t>Wave 0/7 platform services and environment provisioning</w:t>
      </w:r>
    </w:p>
    <w:p>
      <w:pPr>
        <w:pStyle w:val="ListBullet"/>
        <w:spacing w:after="14"/>
      </w:pPr>
      <w:r>
        <w:t>All functional waves as implementation/migration targets</w:t>
      </w:r>
    </w:p>
    <w:p>
      <w:pPr>
        <w:pStyle w:val="ListBullet"/>
        <w:spacing w:after="14"/>
      </w:pPr>
      <w:r>
        <w:t>Master engineering registry/RTM</w:t>
      </w:r>
    </w:p>
    <w:p>
      <w:pPr>
        <w:pStyle w:val="ListBullet"/>
        <w:spacing w:after="14"/>
      </w:pPr>
      <w:r>
        <w:t>Customer-specific contractual and data-residency configuration</w:t>
      </w:r>
    </w:p>
    <w:p>
      <w:pPr>
        <w:pStyle w:val="ListBullet"/>
        <w:spacing w:after="14"/>
      </w:pPr>
      <w:r>
        <w:t>Security JIT support-access controls</w:t>
      </w:r>
    </w:p>
    <w:p>
      <w:r>
        <w:t>Dependency rule: unavailable optional dependencies must degrade safely. A feature may not silently reinterpret a dependency outage as a valid negative business/clinical result.</w:t>
      </w:r>
    </w:p>
    <w:p>
      <w:pPr>
        <w:pStyle w:val="Heading1"/>
      </w:pPr>
      <w:r>
        <w:t>13. Requirement-linked Verification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223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Requirement range</w:t>
            </w:r>
          </w:p>
        </w:tc>
        <w:tc>
          <w:tcPr>
            <w:tcW w:type="dxa" w:w="9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Profile</w:t>
            </w:r>
          </w:p>
        </w:tc>
        <w:tc>
          <w:tcPr>
            <w:tcW w:type="dxa" w:w="705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Minimum evidence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SRS-SAAS-ACC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SRS-SAAS-ACC-001 … SRS-SAAS-ACC-012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SRS-SAAS-SUB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SRS-SAAS-SUB-001 … SRS-SAAS-SUB-015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SRS-SAAS-MTR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SRS-SAAS-MTR-001 … SRS-SAAS-MTR-015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SRS-IMP-PRJ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SRS-IMP-PRJ-001 … SRS-IMP-PRJ-014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SRS-IMP-DIS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SRS-IMP-DIS-001 … SRS-IMP-DIS-013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SRS-IMP-ENV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SRS-IMP-ENV-001 … SRS-IMP-ENV-012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SRS-MIG-MAP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SRS-MIG-MAP-001 … SRS-MIG-MAP-012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SRS-MIG-RUN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SRS-MIG-RUN-001 … SRS-MIG-RUN-016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SRS-MIG-ARC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SRS-MIG-ARC-001 … SRS-MIG-ARC-009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SRS-ONB-INT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SRS-ONB-INT-001 … SRS-ONB-INT-014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VP-INT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IT + E2E + SEC + PERF + DRT/UAT as applicable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SRS-ONB-DEV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SRS-ONB-DEV-001 … SRS-ONB-DEV-012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VP-INT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IT + E2E + SEC + PERF + DRT/UAT as applicable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SRS-TRAIN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SRS-TRAIN-001 … SRS-TRAIN-012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VP-DAT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IT + SEC + PERF + MVT/UAT as applicable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SRS-ADOPT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SRS-ADOPT-001 … SRS-ADOPT-012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SRS-SUP-001 … SRS-SUP-015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SRS-PRB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SRS-PRB-001 … SRS-PRB-010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SRS-SUP-ACC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SRS-SUP-ACC-001 … SRS-SUP-ACC-010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VP-SEC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CT + IT + SEC + E2E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SRS-SLA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SRS-SLA-001 … SRS-SLA-010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SRS-CSM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SRS-CSM-001 … SRS-CSM-010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SRS-REL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SRS-REL-001 … SRS-REL-014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SRS-CHG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SRS-CHG-001 … SRS-CHG-012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SRS-CFG-PRO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SRS-CFG-PRO-001 … SRS-CFG-PRO-011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VP-PLT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RIT/CT + IT + SEC + PERF + DRT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SRS-PART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SRS-PART-001 … SRS-PART-012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SRS-MKT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SRS-MKT-001 … SRS-MKT-012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SRS-OFF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SRS-OFF-001 … SRS-OFF-014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</w:tbl>
    <w:p>
      <w:r>
        <w:t>Test ID convention: TST-&lt;canonical requirement ID&gt;-&lt;class&gt;-&lt;sequence&gt;. Before Wave 9 reaches G4 Validation, every atomic requirement in Section 15 must have concrete test IDs and objective expected results; family profiles above are minimums only.</w:t>
      </w:r>
    </w:p>
    <w:p>
      <w:pPr>
        <w:pStyle w:val="Heading1"/>
      </w:pPr>
      <w:r>
        <w:t>14. Implementation Sequence and Engineering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7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Step</w:t>
            </w:r>
          </w:p>
        </w:tc>
        <w:tc>
          <w:tcPr>
            <w:tcW w:type="dxa" w:w="10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Engineering gate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Confirm domain owner, requirement coverage, state model and security/data class.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B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Produce/update proto contract, aggregate/schema design and UX flow for the feature slice.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Write domain/unit tests and contract/repository test skeleton before or with implementation.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Implement vertical slice: UI -&gt; RPC -&gt; application -&gt; domain -&gt; repository -&gt; outbox/audit.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Run integration/security/tenant-isolation tests and failure-path scenarios.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F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Complete UAT/clinical/domain validation and operational readiness.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G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Canary/pilot release with telemetry and rollback; mark requirements Released only after verification evidence.</w:t>
            </w:r>
          </w:p>
        </w:tc>
      </w:tr>
    </w:tbl>
    <w:p>
      <w:pPr>
        <w:pStyle w:val="Heading1"/>
      </w:pPr>
      <w:r>
        <w:t>15. Atomic Requirement Coverage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9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Source</w:t>
            </w:r>
          </w:p>
        </w:tc>
        <w:tc>
          <w:tcPr>
            <w:tcW w:type="dxa" w:w="136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Original family</w:t>
            </w:r>
          </w:p>
        </w:tc>
        <w:tc>
          <w:tcPr>
            <w:tcW w:type="dxa" w:w="151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Canonical family</w:t>
            </w:r>
          </w:p>
        </w:tc>
        <w:tc>
          <w:tcPr>
            <w:tcW w:type="dxa" w:w="6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Count</w:t>
            </w:r>
          </w:p>
        </w:tc>
        <w:tc>
          <w:tcPr>
            <w:tcW w:type="dxa" w:w="237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Canonical ID range</w:t>
            </w:r>
          </w:p>
        </w:tc>
        <w:tc>
          <w:tcPr>
            <w:tcW w:type="dxa" w:w="432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SRS-SAAS-ACC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SRS-SAAS-ACC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12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SRS-SAAS-ACC-001 – SRS-SAAS-ACC-012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and Account Master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SRS-SAAS-SUB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SRS-SAAS-SUB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SRS-SAAS-SUB-001 – SRS-SAAS-SUB-015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Product Catalog, Subscription and Entitlements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SRS-SAAS-MTR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SRS-SAAS-MTR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SRS-SAAS-MTR-001 – SRS-SAAS-MTR-015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SaaS Metering and Customer Billing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SRS-IMP-PRJ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SRS-IMP-PRJ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SRS-IMP-PRJ-001 – SRS-IMP-PRJ-014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Implementation Project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SRS-IMP-DIS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SRS-IMP-DIS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13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SRS-IMP-DIS-001 – SRS-IMP-DIS-013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Discovery and Solution Blueprint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SRS-IMP-ENV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SRS-IMP-ENV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12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SRS-IMP-ENV-001 – SRS-IMP-ENV-012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Environment and Tenant Provisioning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SRS-MIG-MAP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SRS-MIG-MAP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12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SRS-MIG-MAP-001 – SRS-MIG-MAP-012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 Source and Mapping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SRS-MIG-RUN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SRS-MIG-RUN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16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SRS-MIG-RUN-001 – SRS-MIG-RUN-016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 Execution and Reconciliation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SRS-MIG-ARC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SRS-MIG-ARC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9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SRS-MIG-ARC-001 – SRS-MIG-ARC-009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Legacy Archive and Read-only Access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SRS-ONB-INT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SRS-ONB-INT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SRS-ONB-INT-001 – SRS-ONB-INT-014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Interface Onboarding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SRS-ONB-DEV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SRS-ONB-DEV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12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SRS-ONB-DEV-001 – SRS-ONB-DEV-012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Device / Analyzer / SCADA Commissioning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SRS-TRN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SRS-TRAIN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12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SRS-TRAIN-001 – SRS-TRAIN-012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Training Management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SRS-ADOPT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SRS-ADOPT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12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SRS-ADOPT-001 – SRS-ADOPT-012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Adoption and Change Management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SRS-SUP-001 – SRS-SUP-015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Service Desk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SRS-PRB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SRS-PRB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SRS-PRB-001 – SRS-PRB-010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Problem and Known Error Management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SRS-SUP-ACC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SRS-SUP-ACC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SRS-SUP-ACC-001 – SRS-SUP-ACC-010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Support Access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SRS-SLA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SRS-SLA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SRS-SLA-001 – SRS-SLA-010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SLA Management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SRS-CSM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SRS-CSM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SRS-CSM-001 – SRS-CSM-010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Success and Health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SRS-REL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SRS-REL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SRS-REL-001 – SRS-REL-014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Release Management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SRS-CHG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SRS-CHG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12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SRS-CHG-001 – SRS-CHG-012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Change Management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SRS-CFG-PRO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SRS-CFG-PRO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11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SRS-CFG-PRO-001 – SRS-CFG-PRO-011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Configuration Promotion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SRS-PART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SRS-PART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12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SRS-PART-001 – SRS-PART-012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Partner Onboarding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SRS-MKT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SRS-MKT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12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SRS-MKT-001 – SRS-MKT-012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Marketplace Governance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8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SRS-OFF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SRS-OFF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SRS-OFF-001 – SRS-OFF-014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Customer Offboarding</w:t>
            </w:r>
          </w:p>
        </w:tc>
      </w:tr>
    </w:tbl>
    <w:p>
      <w:r>
        <w:t>Coverage total for Wave 9: 298 atomic requirements. The source SRS remains authoritative for each requirement’s full normative text. Canonical aliases preserve suffix numbers and are used in new engineering/test artifacts.</w:t>
      </w:r>
    </w:p>
    <w:p>
      <w:pPr>
        <w:pStyle w:val="Heading1"/>
      </w:pPr>
      <w:r>
        <w:t>16. Definition of Ready and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51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Gate</w:t>
            </w:r>
          </w:p>
        </w:tc>
        <w:tc>
          <w:tcPr>
            <w:tcW w:type="dxa" w:w="957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Criterion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Ready-1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SRS IDs, user/actor, workflow and source-domain owner identified.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Ready-2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State transitions, invariants and failure paths agreed.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Ready-3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UX states and API/data/authorization impact designed.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Ready-4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Test classes and critical test data/environment identified.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Done-1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Code/config merged with peer review and trace links.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Done-2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Unit/repository/contract/integration/security tests pass.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Done-3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Applicable CST/A11Y/PERF/DR/MVT/MIG/UAT evidence passes.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Done-4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Observability, audit, runbook/release/support knowledge complete.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Done-5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Every included SRS requirement is Verified; no undocumented blocker/critical defect or waiver.</w:t>
            </w:r>
          </w:p>
        </w:tc>
      </w:tr>
    </w:tbl>
    <w:p>
      <w:pPr>
        <w:pStyle w:val="Heading1"/>
      </w:pPr>
      <w:r>
        <w:t>17. Baseline Statement</w:t>
      </w:r>
    </w:p>
    <w:p>
      <w:r>
        <w:t>This Wave 9 Detailed Engineering Specification is the implementation baseline for SaaS Commercial &amp; Rollout Control. It elaborates 298 source requirements without replacing the Master SRS. Any change to requirement intent, canonical ownership, security boundary or state-machine invariant must be processed through controlled change and reflected in the Master Index/Traceability and Testing Master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Wave 9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SaaS — Wave 9 Detailed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Wave 9 Detailed Engineering Specification</dc:title>
  <dc:subject>Wave 9 SaaS Commercial &amp; Rollout Control implementation-ready elaboration</dc:subject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