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hyperlink r:id="rId6">
        <w:r w:rsidDel="00000000" w:rsidR="00000000" w:rsidRPr="00000000">
          <w:rPr>
            <w:color w:val="1155cc"/>
            <w:u w:val="single"/>
            <w:rtl w:val="0"/>
          </w:rPr>
          <w:t xml:space="preserve">https://stackoverflow.com/questions/41586429/opencv-saving-images-to-a-particular-folder-of-choice</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Introduction: overview of the assignment in enough detail that people with no background could understand what you did.</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Method: description of what you did (not at a line of code level, but at a major task level). This section should include example training and testing images, as well as a basic description of how eigenfaces work along with the mean face and first three eigenfaces from your training set. Include discussion of what these eigenfaces tell you about how the images in your training set varied.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Results: include a table of the metrics you collected for your test set before and after implementing face alignment. Show qualitative results (images) illustrating successful and unsuccessful recognition.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Conclusions: discuss the metrics you collected. What do these numbers tell you? Why would we want so many different metrics; couldn’t we just use accuracy? Discuss how aligning images affected your results. Consider a recognition application that controls access to some important resource (e.g., your bank account). Discuss whether it would be preferable to have high precision or recall. (For our purposes, we’ll say that the application returns “positive” when it thinks it has identified you and “negative” when it thinks it is not you.) Give some details to justify your answer.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41586429/opencv-saving-images-to-a-particular-folder-of-cho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