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body>
    <w:p>
      <w:pPr>
        <w:pStyle w:val="Heading1"/>
        <w:spacing w:before="348" w:after="210"/>
        <w:rPr>
          <w:rFonts w:ascii="Times New Roman" w:hAnsi="Times New Roman" w:eastAsia="宋体" w:cs="Times New Roman"/>
          <w:sz w:val="48"/>
        </w:rPr>
      </w:pPr>
      <w:r>
        <w:rPr>
          <w:rFonts w:eastAsia="宋体" w:cs="Times New Roman" w:ascii="Times New Roman" w:hAnsi="Times New Roman"/>
          <w:sz w:val="48"/>
        </w:rPr>
        <w:t>Weekly-Report</w:t>
      </w:r>
    </w:p>
    <w:p>
      <w:pPr>
        <w:pStyle w:val="Dingdocnormal1"/>
        <w:rPr>
          <w:rFonts w:ascii="Times New Roman" w:hAnsi="Times New Roman" w:eastAsia="宋体" w:cs="Times New Roman"/>
          <w:b/>
          <w:b/>
          <w:color w:val="000000"/>
          <w:sz w:val="28"/>
        </w:rPr>
      </w:pPr>
      <w:r>
        <w:rPr>
          <w:rFonts w:ascii="Times New Roman" w:hAnsi="Times New Roman" w:cs="Times New Roman" w:eastAsia="宋体"/>
          <w:b/>
          <w:color w:val="000000"/>
          <w:sz w:val="28"/>
        </w:rPr>
        <w:t>汇报工作时段：2026.07.06— 2026.07.19</w:t>
      </w:r>
      <w:r>
        <w:rPr>
          <w:rFonts w:eastAsia="宋体" w:cs="Times New Roman" w:ascii="Times New Roman" w:hAnsi="Times New Roman"/>
          <w:b/>
          <w:color w:val="000000"/>
          <w:sz w:val="28"/>
        </w:rPr>
      </w:r>
    </w:p>
    <w:tbl>
      <w:tblPr>
        <w:tblW w:w="1065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380"/>
        <w:gridCol w:w="1507"/>
        <w:gridCol w:w="7763"/>
      </w:tblGrid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本周工作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文献阅读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60" w:before="10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eastAsia="宋体" w:cs="Times New Roman" w:ascii="Times New Roman" w:hAnsi="Times New Roman"/>
                <w:color w:val="000000"/>
                <w:sz w:val="22"/>
                <w:szCs w:val="20"/>
                <w:lang w:val="en-US" w:eastAsia="zh-CN"/>
              </w:rPr>
              <w:t>本周重新核对了 DeepTPI 论文中的实验设置，主要确认每个电路插入的测试点数量，以及论文报告的最终 TC。</w:t>
            </w:r>
          </w:p>
        </w:tc>
      </w:tr>
      <w:tr>
        <w:trPr>
          <w:trHeight w:val="4458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研究工作进展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前一周主要优化世界模型选择测试点的能力，八电路平均覆盖率增益从原来的 +5.386% 提高到 +7.331%。后面检查结果时发现，之前使用的 DeepTPI 最终 TC 数据不对，而且部分测试点是 AIG 转换产生的临时节点，因此这组结果不能直接作为最终对比。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本周重新恢复了 b15、b17、b20、b21、b22 五个电路的原始门级网表，并限制测试点只能插在原始网表中真实存在的门节点上。重新生成的 3431 个测试点全部满足要求。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为了保证比较公平，五个电路使用相同的模型和测试点选择方法，测试点数量与 DeepTPI 保持一致，均使用 300000 patterns 和 seed 2026。i2c、max 和 mem_ctrl 三个电路还没有完成原始网表映射，因此本次暂不列入对比。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目前已完成五个 ITC'99 电路的统一实验，本方法与 DeepTPI 的最终 TC 对比如下。</w:t>
            </w:r>
          </w:p>
          <w:p>
            <w:pPr>
              <w:spacing w:before="70" w:after="45"/>
              <w:jc w:val="center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表 1  本方法与 DeepTPI 最终 TC 对比（统一配置）</w:t>
            </w:r>
          </w:p>
          <w:tbl>
            <w:tblPr>
              <w:tblW w:w="0" w:type="auto"/>
              <w:jc w:val="center"/>
              <w:tblBorders>
                <w:top w:val="single" w:sz="4" w:space="0" w:color="B7B7B7"/>
                <w:left w:val="single" w:sz="4" w:space="0" w:color="B7B7B7"/>
                <w:bottom w:val="single" w:sz="4" w:space="0" w:color="B7B7B7"/>
                <w:right w:val="single" w:sz="4" w:space="0" w:color="B7B7B7"/>
                <w:insideH w:val="single" w:sz="4" w:space="0" w:color="B7B7B7"/>
                <w:insideV w:val="single" w:sz="4" w:space="0" w:color="B7B7B7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700"/>
              <w:gridCol w:w="650"/>
              <w:gridCol w:w="1450"/>
              <w:gridCol w:w="1600"/>
              <w:gridCol w:w="950"/>
              <w:gridCol w:w="900"/>
            </w:tblGrid>
            <w:tr>
              <w:tc>
                <w:tcPr>
                  <w:tcW w:w="7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电路</w:t>
                  </w:r>
                </w:p>
              </w:tc>
              <w:tc>
                <w:tcPr>
                  <w:tcW w:w="6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#TP</w:t>
                  </w:r>
                </w:p>
              </w:tc>
              <w:tc>
                <w:tcPr>
                  <w:tcW w:w="14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本方法最终 TC</w:t>
                  </w:r>
                </w:p>
              </w:tc>
              <w:tc>
                <w:tcPr>
                  <w:tcW w:w="16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DeepTPI 最终 TC</w:t>
                  </w:r>
                </w:p>
              </w:tc>
              <w:tc>
                <w:tcPr>
                  <w:tcW w:w="9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差值</w:t>
                  </w:r>
                </w:p>
              </w:tc>
              <w:tc>
                <w:tcPr>
                  <w:tcW w:w="9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结果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b15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278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93.936%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93.200%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+0.736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b20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616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94.630%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95.020%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-0.390</w:t>
                  </w:r>
                </w:p>
              </w:tc>
              <w:tc>
                <w:tcPr>
                  <w:tcW w:w="900" w:type="dxa"/>
                  <w:shd w:val="clear" w:color="auto" w:fill="FCE4D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未超过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b21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628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95.399%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94.510%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+0.889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b22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915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95.698%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95.590%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+0.108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b17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994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90.692%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91.670%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-0.978</w:t>
                  </w:r>
                </w:p>
              </w:tc>
              <w:tc>
                <w:tcPr>
                  <w:tcW w:w="900" w:type="dxa"/>
                  <w:shd w:val="clear" w:color="auto" w:fill="FCE4D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未超过</w:t>
                  </w:r>
                </w:p>
              </w:tc>
            </w:tr>
            <w:tr>
              <w:tc>
                <w:tcPr>
                  <w:tcW w:w="7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平均</w:t>
                  </w:r>
                </w:p>
              </w:tc>
              <w:tc>
                <w:tcPr>
                  <w:tcW w:w="6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3431</w:t>
                  </w:r>
                </w:p>
              </w:tc>
              <w:tc>
                <w:tcPr>
                  <w:tcW w:w="14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94.071%</w:t>
                  </w:r>
                </w:p>
              </w:tc>
              <w:tc>
                <w:tcPr>
                  <w:tcW w:w="16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93.998%</w:t>
                  </w:r>
                </w:p>
              </w:tc>
              <w:tc>
                <w:tcPr>
                  <w:tcW w:w="9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+0.073</w:t>
                  </w:r>
                </w:p>
              </w:tc>
              <w:tc>
                <w:tcPr>
                  <w:tcW w:w="9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3/5</w:t>
                  </w:r>
                </w:p>
              </w:tc>
            </w:tr>
          </w:tbl>
          <w:p>
            <w:pPr>
              <w:pStyle w:val="ListParagraph"/>
              <w:widowControl w:val="false"/>
              <w:spacing w:lineRule="auto" w:line="288" w:before="24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主要研究成果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spacing w:before="0" w:after="0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  <w:r>
              <w:t>当前五个电路的平均最终 TC 为 94.071%，DeepTPI 为 93.998%，平均高 0.073 个百分点。其中 b15、b21、b22 已经超过 DeepTPI，b20 和 b17 还分别低 0.390 和 0.978 个百分点，因此目前只是平均结果超过，还没有做到五个电路全部超过。</w:t>
            </w:r>
          </w:p>
        </w:tc>
      </w:tr>
      <w:tr>
        <w:trPr>
          <w:trHeight w:val="753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Cs w:val="20"/>
              </w:rPr>
            </w:pPr>
            <w:r>
              <w:rPr>
                <w:rFonts w:eastAsia="宋体" w:cs="Times New Roman" w:ascii="Times New Roman" w:hAnsi="Times New Roman"/>
                <w:color w:val="000000"/>
                <w:szCs w:val="20"/>
              </w:rPr>
              <w:t xml:space="preserve"> 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其他工作进度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tabs>
                <w:tab w:val="clear" w:pos="420"/>
                <w:tab w:val="left" w:pos="1193" w:leader="none"/>
              </w:tabs>
              <w:spacing w:before="100" w:after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补充原始网表映射、测试点合法性检查和实验结果汇总脚本；截至 7 月 17 日，项目定向测试为 29 passed。</w:t>
            </w:r>
          </w:p>
        </w:tc>
      </w:tr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下周计划</w:t>
            </w:r>
          </w:p>
        </w:tc>
        <w:tc>
          <w:tcPr>
            <w:tcW w:w="9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szCs w:val="20"/>
                <w:lang w:val="en-US" w:eastAsia="zh-CN"/>
              </w:rPr>
              <w:t>继续优化 b20 和 b17，先完成五个电路全部超过 DeepTPI 的目标；同时继续处理 i2c、max 和 mem_ctrl 的原始网表映射。</w:t>
            </w:r>
          </w:p>
        </w:tc>
      </w:tr>
    </w:tbl>
    <w:p>
      <w:pPr>
        <w:pStyle w:val="Dingdocnormal1"/>
        <w:rPr/>
      </w:pPr>
      <w:r>
        <w:rPr/>
      </w:r>
    </w:p>
    <w:sectPr>
      <w:type w:val="nextPage"/>
      <w:pgSz w:w="13380" w:h="16905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微软雅黑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"/>
      <w:lvlJc w:val="left"/>
      <w:pPr>
        <w:tabs>
          <w:tab w:val="num" w:pos="0"/>
        </w:tabs>
        <w:ind w:left="3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0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4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900" w:hanging="44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qFormat/>
    <w:pPr>
      <w:keepNext w:val="true"/>
      <w:keepLines/>
      <w:widowControl/>
      <w:numPr>
        <w:ilvl w:val="0"/>
        <w:numId w:val="0"/>
      </w:numPr>
      <w:kinsoku w:val="true"/>
      <w:overflowPunct w:val="true"/>
      <w:autoSpaceDE w:val="true"/>
      <w:bidi w:val="0"/>
      <w:spacing w:before="348" w:after="210"/>
      <w:jc w:val="left"/>
      <w:outlineLvl w:val="0"/>
    </w:pPr>
    <w:rPr>
      <w:rFonts w:ascii="等线" w:hAnsi="等线" w:eastAsia="等线" w:cs="Times New Roman"/>
      <w:b/>
      <w:color w:val="auto"/>
      <w:kern w:val="2"/>
      <w:sz w:val="34"/>
      <w:szCs w:val="20"/>
      <w:lang w:val="en-US" w:eastAsia="zh-CN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415" w:before="260" w:after="260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80" w:after="280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spacing w:before="280" w:after="280"/>
      <w:outlineLvl w:val="3"/>
    </w:pPr>
    <w:rPr>
      <w:rFonts w:ascii="宋体" w:hAnsi="宋体" w:eastAsia="宋体" w:cs="Times New Roman"/>
      <w:b/>
      <w:bCs/>
      <w:kern w:val="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HeaderChar">
    <w:name w:val="Header Char"/>
    <w:basedOn w:val="DefaultParagraphFont"/>
    <w:link w:val="Header"/>
    <w:qFormat/>
    <w:rPr>
      <w:sz w:val="18"/>
      <w:szCs w:val="18"/>
    </w:rPr>
  </w:style>
  <w:style w:type="character" w:styleId="FooterChar">
    <w:name w:val="Footer Char"/>
    <w:basedOn w:val="DefaultParagraphFont"/>
    <w:link w:val="Footer"/>
    <w:qFormat/>
    <w:rPr>
      <w:sz w:val="18"/>
      <w:szCs w:val="18"/>
    </w:rPr>
  </w:style>
  <w:style w:type="character" w:styleId="Dingdocnormal">
    <w:name w:val="dingdocnormal 字符"/>
    <w:basedOn w:val="DefaultParagraphFont"/>
    <w:link w:val="Dingdocnormal1"/>
    <w:qFormat/>
    <w:rPr/>
  </w:style>
  <w:style w:type="character" w:styleId="71e7dc791ff745e8997d0ebda3762b91">
    <w:name w:val="71e7dc79-1ff7-45e8-997d-0ebda3762b91 字符"/>
    <w:basedOn w:val="Dingdocnormal"/>
    <w:link w:val="71e7dc791ff745e8997d0ebda3762b911"/>
    <w:qFormat/>
    <w:rPr>
      <w:rFonts w:ascii="微软雅黑" w:hAnsi="微软雅黑" w:eastAsia="微软雅黑" w:cs="Times New Roman"/>
      <w:b/>
      <w:bCs/>
      <w:color w:val="000000"/>
      <w:sz w:val="28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等线 Light" w:hAnsi="等线 Light" w:eastAsia="等线 Light" w:cs="Times New Roman"/>
      <w:b/>
      <w:bCs/>
      <w:sz w:val="32"/>
      <w:szCs w:val="32"/>
    </w:rPr>
  </w:style>
  <w:style w:type="character" w:styleId="Acbfdd8be11b4d3688ff6049b138f862">
    <w:name w:val="acbfdd8b-e11b-4d36-88ff-6049b138f862 字符"/>
    <w:basedOn w:val="Dingdocnormal"/>
    <w:link w:val="Acbfdd8be11b4d3688ff6049b138f8621"/>
    <w:qFormat/>
    <w:rPr>
      <w:rFonts w:ascii="微软雅黑" w:hAnsi="微软雅黑" w:eastAsia="微软雅黑" w:cs="Times New Roman"/>
      <w:color w:val="000000"/>
      <w:sz w:val="22"/>
    </w:rPr>
  </w:style>
  <w:style w:type="character" w:styleId="BodyTextChar">
    <w:name w:val="Body Text Char"/>
    <w:basedOn w:val="DefaultParagraphFont"/>
    <w:qFormat/>
    <w:rPr/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等线" w:cs="Courier New"/>
      <w:kern w:val="2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Heading5Char">
    <w:name w:val="Heading 5 Char"/>
    <w:basedOn w:val="DefaultParagraphFont"/>
    <w:link w:val="Heading5"/>
    <w:qFormat/>
    <w:rPr>
      <w:rFonts w:ascii="等线" w:hAnsi="等线" w:eastAsia="等线" w:cs="Times New Roman"/>
      <w:b/>
      <w:bCs/>
      <w:kern w:val="2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Style9">
    <w:name w:val="钉钉文档引用"/>
    <w:qFormat/>
    <w:pPr>
      <w:widowControl/>
      <w:pBdr>
        <w:left w:val="single" w:sz="30" w:space="9" w:color="F0F0F0"/>
      </w:pBdr>
      <w:kinsoku w:val="true"/>
      <w:overflowPunct w:val="true"/>
      <w:autoSpaceDE w:val="true"/>
      <w:bidi w:val="0"/>
      <w:spacing w:before="0" w:after="0"/>
      <w:jc w:val="left"/>
    </w:pPr>
    <w:rPr>
      <w:rFonts w:ascii="微软雅黑" w:hAnsi="微软雅黑" w:eastAsia="微软雅黑" w:cs="微软雅黑"/>
      <w:color w:val="ADADAD"/>
      <w:kern w:val="0"/>
      <w:sz w:val="22"/>
      <w:szCs w:val="20"/>
      <w:lang w:val="en-US" w:eastAsia="zh-CN" w:bidi="ar-SA"/>
    </w:rPr>
  </w:style>
  <w:style w:type="paragraph" w:styleId="Dingdocnormal1">
    <w:name w:val="dingdocnormal"/>
    <w:link w:val="Dingdoc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71e7dc791ff745e8997d0ebda3762b911">
    <w:name w:val="71e7dc79-1ff7-45e8-997d-0ebda3762b91"/>
    <w:basedOn w:val="Heading2"/>
    <w:next w:val="Acbfdd8be11b4d3688ff6049b138f8621"/>
    <w:link w:val="71e7dc791ff745e8997d0ebda3762b91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8"/>
    </w:rPr>
  </w:style>
  <w:style w:type="paragraph" w:styleId="Acbfdd8be11b4d3688ff6049b138f8621">
    <w:name w:val="acbfdd8b-e11b-4d36-88ff-6049b138f862"/>
    <w:basedOn w:val="TextBody"/>
    <w:link w:val="Acbfdd8be11b4d3688ff6049b138f862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2"/>
    </w:rPr>
  </w:style>
  <w:style w:type="paragraph" w:styleId="ListParagraph">
    <w:name w:val="List Paragraph"/>
    <w:basedOn w:val="Normal"/>
    <w:qFormat/>
    <w:pPr>
      <w:ind w:left="0" w:right="0"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LibreOffice/7.3.7.2$Linux_X86_64 LibreOffice_project/30$Build-2</Application>
  <AppVersion>15.0000</AppVersion>
  <Pages>1</Pages>
  <Words>373</Words>
  <Characters>711</Characters>
  <CharactersWithSpaces>794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2024-11-17T15:06:00Z</dcterms:created>
  <dc:creator>DingTalk</dc:creator>
  <dc:description>DingTalk Document</dc:description>
  <dc:language>en-US</dc:language>
  <cp:lastModifiedBy>彭青松</cp:lastModifiedBy>
  <cp:lastPrinted>2024-11-10T15:33:00Z</cp:lastPrinted>
  <dcterms:modified xsi:type="dcterms:W3CDTF">2026-06-28T21:05:15Z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5C0709A4897F4AB19258A4CD69D93106_13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eyJoZGlkIjoiODAwNjVkNzg0ZDg3OGIxNjBjNmEyYzgxOWI1YzM3OGIiLCJ1c2VySWQiOiIxNjM3Mjc3NDUyIn0=</vt:lpwstr>
  </property>
</Properties>
</file>