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 w15">
  <w:body>
    <w:p>
      <w:pPr>
        <w:pStyle w:val="Heading1"/>
        <w:spacing w:before="348" w:after="210"/>
        <w:rPr>
          <w:rFonts w:ascii="Times New Roman" w:hAnsi="Times New Roman" w:eastAsia="宋体" w:cs="Times New Roman"/>
          <w:sz w:val="48"/>
        </w:rPr>
      </w:pPr>
      <w:r>
        <w:rPr>
          <w:rFonts w:eastAsia="宋体" w:cs="Times New Roman" w:ascii="Times New Roman" w:hAnsi="Times New Roman"/>
          <w:sz w:val="48"/>
        </w:rPr>
        <w:t>Weekly-Report</w:t>
      </w:r>
    </w:p>
    <w:p>
      <w:pPr>
        <w:pStyle w:val="Dingdocnormal1"/>
        <w:rPr>
          <w:rFonts w:ascii="Times New Roman" w:hAnsi="Times New Roman" w:eastAsia="宋体" w:cs="Times New Roman"/>
          <w:b/>
          <w:b/>
          <w:color w:val="000000"/>
          <w:sz w:val="28"/>
        </w:rPr>
      </w:pPr>
      <w:r>
        <w:rPr>
          <w:rFonts w:ascii="Times New Roman" w:hAnsi="Times New Roman" w:cs="Times New Roman" w:eastAsia="宋体"/>
          <w:b/>
          <w:color w:val="000000"/>
          <w:sz w:val="28"/>
        </w:rPr>
        <w:t>汇报工作时段：2026.07.06— 2026.07.19</w:t>
      </w:r>
      <w:r>
        <w:rPr>
          <w:rFonts w:eastAsia="宋体" w:cs="Times New Roman" w:ascii="Times New Roman" w:hAnsi="Times New Roman"/>
          <w:b/>
          <w:color w:val="000000"/>
          <w:sz w:val="28"/>
        </w:rPr>
      </w:r>
    </w:p>
    <w:tbl>
      <w:tblPr>
        <w:tblW w:w="10650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380"/>
        <w:gridCol w:w="1507"/>
        <w:gridCol w:w="7763"/>
      </w:tblGrid>
      <w:tr>
        <w:trPr>
          <w:trHeight w:val="90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B05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B050"/>
                <w:szCs w:val="20"/>
              </w:rPr>
              <w:t>本周工作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0000"/>
                <w:szCs w:val="20"/>
              </w:rPr>
              <w:t>文献阅读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istParagraph"/>
              <w:widowControl w:val="false"/>
              <w:spacing w:lineRule="auto" w:line="260" w:before="100" w:after="0"/>
              <w:ind w:left="0" w:right="0" w:hanging="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eastAsia="宋体" w:cs="Times New Roman" w:ascii="Times New Roman" w:hAnsi="Times New Roman"/>
                <w:color w:val="000000"/>
                <w:sz w:val="22"/>
                <w:szCs w:val="20"/>
                <w:lang w:val="en-US" w:eastAsia="zh-CN"/>
              </w:rPr>
              <w:t>本周重新核对了 DeepTPI 论文中的实验设置，主要确认每个电路插入的测试点数量，以及论文报告的最终 TC。</w:t>
            </w:r>
          </w:p>
        </w:tc>
      </w:tr>
      <w:tr>
        <w:trPr>
          <w:trHeight w:val="4458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szCs w:val="20"/>
              </w:rPr>
            </w:pPr>
            <w:r>
              <w:rPr>
                <w:rFonts w:eastAsia="宋体" w:cs="Times New Roman" w:ascii="Times New Roman" w:hAnsi="Times New Roman"/>
                <w:szCs w:val="20"/>
              </w:rPr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</w:rPr>
              <w:t>研究工作进展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  <w:lang w:val="en-US" w:eastAsia="zh-CN"/>
              </w:rPr>
              <w:t>前一周主要优化世界模型选择测试点的能力，八电路平均覆盖率增益从原来的 +5.386% 提高到 +7.331%。后面检查结果时发现，之前使用的 DeepTPI 最终 TC 数据不对，而且部分测试点是 AIG 转换产生的临时节点，因此这组结果不能直接作为最终对比。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</w:rPr>
              <w:t>本周重新恢复了 b15、b17、b20、b21、b22 五个电路的原始门级网表，并限制测试点只能插在原始网表中真实存在的门节点上。重新生成的 3431 个测试点全部满足要求。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</w:rPr>
              <w:t>为了保证比较公平，五个电路使用相同的模型和测试点选择方法，测试点数量与 DeepTPI 保持一致，均使用 300000 patterns 和 seed 2026。i2c、max 和 mem_ctrl 三个电路还没有完成原始网表映射，因此本次暂不列入对比。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60" w:before="100" w:after="0"/>
              <w:ind w:left="420" w:right="0" w:hanging="42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  <w:lang w:val="en-US" w:eastAsia="zh-CN"/>
              </w:rPr>
              <w:t>目前已完成五个 ITC'99 电路的统一实验，同时也汇总了每个电路目前找到的最好结果。当前最好结果在不同电路上使用了不同配置，表示现阶段能够达到的最好水平；具体对比如下。</w:t>
            </w:r>
          </w:p>
          <w:p>
            <w:pPr>
              <w:spacing w:before="70" w:after="45"/>
              <w:jc w:val="center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表 1  统一配置、当前最好结果与 DeepTPI 最终 TC 对比</w:t>
            </w:r>
          </w:p>
          <w:tbl>
            <w:tblPr>
              <w:tblW w:w="0" w:type="auto"/>
              <w:jc w:val="center"/>
              <w:tblBorders>
                <w:top w:val="single" w:sz="4" w:space="0" w:color="B7B7B7"/>
                <w:left w:val="single" w:sz="4" w:space="0" w:color="B7B7B7"/>
                <w:bottom w:val="single" w:sz="4" w:space="0" w:color="B7B7B7"/>
                <w:right w:val="single" w:sz="4" w:space="0" w:color="B7B7B7"/>
                <w:insideH w:val="single" w:sz="4" w:space="0" w:color="B7B7B7"/>
                <w:insideV w:val="single" w:sz="4" w:space="0" w:color="B7B7B7"/>
              </w:tblBorders>
              <w:tblCellMar>
                <w:top w:w="20" w:type="dxa"/>
                <w:left w:w="20" w:type="dxa"/>
                <w:bottom w:w="20" w:type="dxa"/>
                <w:right w:w="20" w:type="dxa"/>
              </w:tblCellMar>
            </w:tblPr>
            <w:tblGrid>
              <w:gridCol w:w="620"/>
              <w:gridCol w:w="600"/>
              <w:gridCol w:w="1200"/>
              <w:gridCol w:w="1200"/>
              <w:gridCol w:w="1450"/>
              <w:gridCol w:w="1000"/>
            </w:tblGrid>
            <w:tr>
              <w:tc>
                <w:tcPr>
                  <w:tcW w:w="62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电路</w:t>
                  </w:r>
                </w:p>
              </w:tc>
              <w:tc>
                <w:tcPr>
                  <w:tcW w:w="60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#TP</w:t>
                  </w:r>
                </w:p>
              </w:tc>
              <w:tc>
                <w:tcPr>
                  <w:tcW w:w="120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统一配置 TC</w:t>
                  </w:r>
                </w:p>
              </w:tc>
              <w:tc>
                <w:tcPr>
                  <w:tcW w:w="120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当前最好 TC</w:t>
                  </w:r>
                </w:p>
              </w:tc>
              <w:tc>
                <w:tcPr>
                  <w:tcW w:w="145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DeepTPI 最终 TC</w:t>
                  </w:r>
                </w:p>
              </w:tc>
              <w:tc>
                <w:tcPr>
                  <w:tcW w:w="1000" w:type="dxa"/>
                  <w:shd w:val="clear" w:color="auto" w:fill="D9EAF7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17"/>
                      <w:szCs w:val="17"/>
                    </w:rPr>
                    <w:t>最好差值</w:t>
                  </w:r>
                </w:p>
              </w:tc>
            </w:tr>
            <w:tr>
              <w:tc>
                <w:tcPr>
                  <w:tcW w:w="62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b15</w:t>
                  </w:r>
                </w:p>
              </w:tc>
              <w:tc>
                <w:tcPr>
                  <w:tcW w:w="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278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93.936%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94.614%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93.200%</w:t>
                  </w:r>
                </w:p>
              </w:tc>
              <w:tc>
                <w:tcPr>
                  <w:tcW w:w="1000" w:type="dxa"/>
                  <w:shd w:val="clear" w:color="auto" w:fill="E2F0D9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+1.414</w:t>
                  </w:r>
                </w:p>
              </w:tc>
            </w:tr>
            <w:tr>
              <w:tc>
                <w:tcPr>
                  <w:tcW w:w="62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b20</w:t>
                  </w:r>
                </w:p>
              </w:tc>
              <w:tc>
                <w:tcPr>
                  <w:tcW w:w="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616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94.630%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96.538%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95.020%</w:t>
                  </w:r>
                </w:p>
              </w:tc>
              <w:tc>
                <w:tcPr>
                  <w:tcW w:w="1000" w:type="dxa"/>
                  <w:shd w:val="clear" w:color="auto" w:fill="E2F0D9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+1.518</w:t>
                  </w:r>
                </w:p>
              </w:tc>
            </w:tr>
            <w:tr>
              <w:tc>
                <w:tcPr>
                  <w:tcW w:w="62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b21</w:t>
                  </w:r>
                </w:p>
              </w:tc>
              <w:tc>
                <w:tcPr>
                  <w:tcW w:w="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628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95.399%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95.752%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94.510%</w:t>
                  </w:r>
                </w:p>
              </w:tc>
              <w:tc>
                <w:tcPr>
                  <w:tcW w:w="1000" w:type="dxa"/>
                  <w:shd w:val="clear" w:color="auto" w:fill="E2F0D9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+1.242</w:t>
                  </w:r>
                </w:p>
              </w:tc>
            </w:tr>
            <w:tr>
              <w:tc>
                <w:tcPr>
                  <w:tcW w:w="62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b22</w:t>
                  </w:r>
                </w:p>
              </w:tc>
              <w:tc>
                <w:tcPr>
                  <w:tcW w:w="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915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95.698%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96.615%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95.590%</w:t>
                  </w:r>
                </w:p>
              </w:tc>
              <w:tc>
                <w:tcPr>
                  <w:tcW w:w="1000" w:type="dxa"/>
                  <w:shd w:val="clear" w:color="auto" w:fill="E2F0D9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+1.025</w:t>
                  </w:r>
                </w:p>
              </w:tc>
            </w:tr>
            <w:tr>
              <w:tc>
                <w:tcPr>
                  <w:tcW w:w="62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b17</w:t>
                  </w:r>
                </w:p>
              </w:tc>
              <w:tc>
                <w:tcPr>
                  <w:tcW w:w="6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994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90.692%</w:t>
                  </w:r>
                </w:p>
              </w:tc>
              <w:tc>
                <w:tcPr>
                  <w:tcW w:w="120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91.546%</w:t>
                  </w:r>
                </w:p>
              </w:tc>
              <w:tc>
                <w:tcPr>
                  <w:tcW w:w="1450" w:type="dxa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91.670%</w:t>
                  </w:r>
                </w:p>
              </w:tc>
              <w:tc>
                <w:tcPr>
                  <w:tcW w:w="1000" w:type="dxa"/>
                  <w:shd w:val="clear" w:color="auto" w:fill="FCE4D6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-0.124</w:t>
                  </w:r>
                </w:p>
              </w:tc>
            </w:tr>
            <w:tr>
              <w:tc>
                <w:tcPr>
                  <w:tcW w:w="62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平均</w:t>
                  </w:r>
                </w:p>
              </w:tc>
              <w:tc>
                <w:tcPr>
                  <w:tcW w:w="60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3431</w:t>
                  </w:r>
                </w:p>
              </w:tc>
              <w:tc>
                <w:tcPr>
                  <w:tcW w:w="120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94.071%</w:t>
                  </w:r>
                </w:p>
              </w:tc>
              <w:tc>
                <w:tcPr>
                  <w:tcW w:w="120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95.013%</w:t>
                  </w:r>
                </w:p>
              </w:tc>
              <w:tc>
                <w:tcPr>
                  <w:tcW w:w="145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93.998%</w:t>
                  </w:r>
                </w:p>
              </w:tc>
              <w:tc>
                <w:tcPr>
                  <w:tcW w:w="1000" w:type="dxa"/>
                  <w:shd w:val="clear" w:color="auto" w:fill="FFF2CC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>
                  <w:pPr>
                    <w:spacing w:before="0" w:after="0" w:line="190" w:lineRule="auto"/>
                    <w:jc w:val="center"/>
                  </w:pPr>
                  <w:r>
                    <w:rPr>
                      <w:rFonts w:ascii="Times New Roman" w:hAnsi="Times New Roman" w:eastAsia="宋体"/>
                      <w:sz w:val="17"/>
                      <w:szCs w:val="17"/>
                    </w:rPr>
                    <w:t>+1.015</w:t>
                  </w:r>
                </w:p>
              </w:tc>
            </w:tr>
          </w:tbl>
          <w:p>
            <w:pPr>
              <w:pStyle w:val="ListParagraph"/>
              <w:widowControl w:val="false"/>
              <w:spacing w:lineRule="auto" w:line="288" w:before="240" w:after="0"/>
              <w:ind w:left="0" w:right="0" w:hanging="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</w:rPr>
            </w:pPr>
          </w:p>
        </w:tc>
      </w:tr>
      <w:tr>
        <w:trPr/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0000"/>
                <w:szCs w:val="20"/>
              </w:rPr>
              <w:t>主要研究成果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Dingdocnormal1"/>
              <w:widowControl/>
              <w:spacing w:before="0" w:after="0"/>
              <w:jc w:val="both"/>
              <w:rPr>
                <w:rFonts w:ascii="Times New Roman" w:hAnsi="Times New Roman" w:eastAsia="宋体" w:cs="Times New Roman"/>
                <w:szCs w:val="20"/>
              </w:rPr>
            </w:pPr>
            <w:r>
              <w:rPr>
                <w:rFonts w:eastAsia="宋体" w:cs="Times New Roman" w:ascii="Times New Roman" w:hAnsi="Times New Roman"/>
                <w:szCs w:val="20"/>
              </w:rPr>
            </w:r>
            <w:r>
              <w:t>按每个电路目前找到的最好结果计算，五电路平均最终 TC 为 95.013%，比 DeepTPI 的 93.998% 高 1.015 个百分点。其中 b15、b20、b21、b22 已经超过 DeepTPI，只有 b17 还低 0.124 个百分点。统一配置目前为 3/5 个电路超过，说明下一步还需要把各电路上的有效方法整理成一套统一方案。</w:t>
            </w:r>
          </w:p>
        </w:tc>
      </w:tr>
      <w:tr>
        <w:trPr>
          <w:trHeight w:val="753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color w:val="000000"/>
                <w:szCs w:val="20"/>
              </w:rPr>
            </w:pPr>
            <w:r>
              <w:rPr>
                <w:rFonts w:eastAsia="宋体" w:cs="Times New Roman" w:ascii="Times New Roman" w:hAnsi="Times New Roman"/>
                <w:color w:val="000000"/>
                <w:szCs w:val="20"/>
              </w:rPr>
              <w:t xml:space="preserve"> 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0000"/>
                <w:szCs w:val="20"/>
              </w:rPr>
              <w:t>其他工作进度</w:t>
            </w:r>
          </w:p>
        </w:tc>
        <w:tc>
          <w:tcPr>
            <w:tcW w:w="7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Dingdocnormal1"/>
              <w:widowControl/>
              <w:tabs>
                <w:tab w:val="clear" w:pos="420"/>
                <w:tab w:val="left" w:pos="1193" w:leader="none"/>
              </w:tabs>
              <w:spacing w:before="100" w:after="0"/>
              <w:jc w:val="both"/>
              <w:rPr>
                <w:rFonts w:ascii="Times New Roman" w:hAnsi="Times New Roman" w:eastAsia="宋体" w:cs="Times New Roman"/>
                <w:color w:val="000000"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color w:val="000000"/>
                <w:sz w:val="22"/>
                <w:szCs w:val="20"/>
                <w:lang w:val="en-US" w:eastAsia="zh-CN"/>
              </w:rPr>
              <w:t>补充原始网表映射、测试点合法性检查和实验结果汇总脚本；截至 7 月 17 日，项目定向测试为 29 passed。</w:t>
            </w:r>
          </w:p>
        </w:tc>
      </w:tr>
      <w:tr>
        <w:trPr>
          <w:trHeight w:val="90" w:hRule="atLeast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spacing w:before="0" w:after="0"/>
              <w:jc w:val="left"/>
              <w:rPr>
                <w:rFonts w:ascii="Times New Roman" w:hAnsi="Times New Roman" w:eastAsia="宋体" w:cs="Times New Roman"/>
                <w:b/>
                <w:b/>
                <w:color w:val="00B050"/>
                <w:szCs w:val="20"/>
              </w:rPr>
            </w:pPr>
            <w:r>
              <w:rPr>
                <w:rFonts w:ascii="Times New Roman" w:hAnsi="Times New Roman" w:cs="Times New Roman" w:eastAsia="宋体"/>
                <w:b/>
                <w:color w:val="00B050"/>
                <w:szCs w:val="20"/>
              </w:rPr>
              <w:t>下周计划</w:t>
            </w:r>
          </w:p>
        </w:tc>
        <w:tc>
          <w:tcPr>
            <w:tcW w:w="92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Dingdocnormal1"/>
              <w:widowControl/>
              <w:numPr>
                <w:ilvl w:val="0"/>
                <w:numId w:val="3"/>
              </w:numPr>
              <w:spacing w:before="0" w:after="0"/>
              <w:jc w:val="left"/>
              <w:rPr>
                <w:rFonts w:ascii="Times New Roman" w:hAnsi="Times New Roman" w:eastAsia="宋体" w:cs="Times New Roman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eastAsia="宋体"/>
                <w:szCs w:val="20"/>
                <w:lang w:val="en-US" w:eastAsia="zh-CN"/>
              </w:rPr>
              <w:t>继续优化 b17，并整理一套五个电路都适用的统一配置；同时继续处理 i2c、max 和 mem_ctrl 的原始网表映射。</w:t>
            </w:r>
          </w:p>
        </w:tc>
      </w:tr>
    </w:tbl>
    <w:p>
      <w:pPr>
        <w:pStyle w:val="Dingdocnormal1"/>
        <w:rPr/>
      </w:pPr>
      <w:r>
        <w:rPr/>
      </w:r>
    </w:p>
    <w:sectPr>
      <w:type w:val="nextPage"/>
      <w:pgSz w:w="13380" w:h="16905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宋体">
    <w:charset w:val="01"/>
    <w:family w:val="roman"/>
    <w:pitch w:val="variable"/>
  </w:font>
  <w:font w:name="Courier New">
    <w:charset w:val="01"/>
    <w:family w:val="roman"/>
    <w:pitch w:val="variable"/>
  </w:font>
  <w:font w:name="微软雅黑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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"/>
      <w:lvlJc w:val="left"/>
      <w:pPr>
        <w:tabs>
          <w:tab w:val="num" w:pos="0"/>
        </w:tabs>
        <w:ind w:left="3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7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0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4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900" w:hanging="44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0" w:after="0"/>
      <w:jc w:val="left"/>
    </w:pPr>
    <w:rPr>
      <w:rFonts w:ascii="等线" w:hAnsi="等线" w:eastAsia="等线" w:cs="Times New Roman"/>
      <w:color w:val="auto"/>
      <w:kern w:val="2"/>
      <w:sz w:val="21"/>
      <w:szCs w:val="20"/>
      <w:lang w:val="en-US" w:eastAsia="zh-CN" w:bidi="ar-SA"/>
    </w:rPr>
  </w:style>
  <w:style w:type="paragraph" w:styleId="Heading1">
    <w:name w:val="Heading 1"/>
    <w:qFormat/>
    <w:pPr>
      <w:keepNext w:val="true"/>
      <w:keepLines/>
      <w:widowControl/>
      <w:numPr>
        <w:ilvl w:val="0"/>
        <w:numId w:val="0"/>
      </w:numPr>
      <w:kinsoku w:val="true"/>
      <w:overflowPunct w:val="true"/>
      <w:autoSpaceDE w:val="true"/>
      <w:bidi w:val="0"/>
      <w:spacing w:before="348" w:after="210"/>
      <w:jc w:val="left"/>
      <w:outlineLvl w:val="0"/>
    </w:pPr>
    <w:rPr>
      <w:rFonts w:ascii="等线" w:hAnsi="等线" w:eastAsia="等线" w:cs="Times New Roman"/>
      <w:b/>
      <w:color w:val="auto"/>
      <w:kern w:val="2"/>
      <w:sz w:val="34"/>
      <w:szCs w:val="20"/>
      <w:lang w:val="en-US" w:eastAsia="zh-CN" w:bidi="ar-SA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lineRule="auto" w:line="415" w:before="260" w:after="260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numPr>
        <w:ilvl w:val="0"/>
        <w:numId w:val="0"/>
      </w:numPr>
      <w:spacing w:before="280" w:after="280"/>
      <w:outlineLvl w:val="2"/>
    </w:pPr>
    <w:rPr>
      <w:rFonts w:ascii="宋体" w:hAnsi="宋体" w:eastAsia="宋体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qFormat/>
    <w:pPr>
      <w:numPr>
        <w:ilvl w:val="0"/>
        <w:numId w:val="0"/>
      </w:numPr>
      <w:spacing w:before="280" w:after="280"/>
      <w:outlineLvl w:val="3"/>
    </w:pPr>
    <w:rPr>
      <w:rFonts w:ascii="宋体" w:hAnsi="宋体" w:eastAsia="宋体" w:cs="Times New Roman"/>
      <w:b/>
      <w:bCs/>
      <w:kern w:val="0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lineRule="auto" w:line="374" w:before="280" w:after="290"/>
      <w:outlineLvl w:val="4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InternetLink">
    <w:name w:val="Hyperlink"/>
    <w:basedOn w:val="DefaultParagraphFont"/>
    <w:rPr>
      <w:color w:val="0000FF"/>
      <w:u w:val="single"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character" w:styleId="HeaderChar">
    <w:name w:val="Header Char"/>
    <w:basedOn w:val="DefaultParagraphFont"/>
    <w:link w:val="Header"/>
    <w:qFormat/>
    <w:rPr>
      <w:sz w:val="18"/>
      <w:szCs w:val="18"/>
    </w:rPr>
  </w:style>
  <w:style w:type="character" w:styleId="FooterChar">
    <w:name w:val="Footer Char"/>
    <w:basedOn w:val="DefaultParagraphFont"/>
    <w:link w:val="Footer"/>
    <w:qFormat/>
    <w:rPr>
      <w:sz w:val="18"/>
      <w:szCs w:val="18"/>
    </w:rPr>
  </w:style>
  <w:style w:type="character" w:styleId="Dingdocnormal">
    <w:name w:val="dingdocnormal 字符"/>
    <w:basedOn w:val="DefaultParagraphFont"/>
    <w:link w:val="Dingdocnormal1"/>
    <w:qFormat/>
    <w:rPr/>
  </w:style>
  <w:style w:type="character" w:styleId="71e7dc791ff745e8997d0ebda3762b91">
    <w:name w:val="71e7dc79-1ff7-45e8-997d-0ebda3762b91 字符"/>
    <w:basedOn w:val="Dingdocnormal"/>
    <w:link w:val="71e7dc791ff745e8997d0ebda3762b911"/>
    <w:qFormat/>
    <w:rPr>
      <w:rFonts w:ascii="微软雅黑" w:hAnsi="微软雅黑" w:eastAsia="微软雅黑" w:cs="Times New Roman"/>
      <w:b/>
      <w:bCs/>
      <w:color w:val="000000"/>
      <w:sz w:val="28"/>
      <w:szCs w:val="32"/>
    </w:rPr>
  </w:style>
  <w:style w:type="character" w:styleId="Heading2Char">
    <w:name w:val="Heading 2 Char"/>
    <w:basedOn w:val="DefaultParagraphFont"/>
    <w:link w:val="Heading2"/>
    <w:qFormat/>
    <w:rPr>
      <w:rFonts w:ascii="等线 Light" w:hAnsi="等线 Light" w:eastAsia="等线 Light" w:cs="Times New Roman"/>
      <w:b/>
      <w:bCs/>
      <w:sz w:val="32"/>
      <w:szCs w:val="32"/>
    </w:rPr>
  </w:style>
  <w:style w:type="character" w:styleId="Acbfdd8be11b4d3688ff6049b138f862">
    <w:name w:val="acbfdd8b-e11b-4d36-88ff-6049b138f862 字符"/>
    <w:basedOn w:val="Dingdocnormal"/>
    <w:link w:val="Acbfdd8be11b4d3688ff6049b138f8621"/>
    <w:qFormat/>
    <w:rPr>
      <w:rFonts w:ascii="微软雅黑" w:hAnsi="微软雅黑" w:eastAsia="微软雅黑" w:cs="Times New Roman"/>
      <w:color w:val="000000"/>
      <w:sz w:val="22"/>
    </w:rPr>
  </w:style>
  <w:style w:type="character" w:styleId="BodyTextChar">
    <w:name w:val="Body Text Char"/>
    <w:basedOn w:val="DefaultParagraphFont"/>
    <w:qFormat/>
    <w:rPr/>
  </w:style>
  <w:style w:type="character" w:styleId="HTMLPreformattedChar">
    <w:name w:val="HTML Preformatted Char"/>
    <w:basedOn w:val="DefaultParagraphFont"/>
    <w:link w:val="HTMLPreformatted"/>
    <w:qFormat/>
    <w:rPr>
      <w:rFonts w:ascii="Courier New" w:hAnsi="Courier New" w:eastAsia="等线" w:cs="Courier New"/>
      <w:kern w:val="2"/>
    </w:rPr>
  </w:style>
  <w:style w:type="character" w:styleId="UnresolvedMention1">
    <w:name w:val="Unresolved Mention1"/>
    <w:basedOn w:val="DefaultParagraphFont"/>
    <w:qFormat/>
    <w:rPr>
      <w:color w:val="605E5C"/>
      <w:shd w:fill="E1DFDD" w:val="clear"/>
    </w:rPr>
  </w:style>
  <w:style w:type="character" w:styleId="Heading5Char">
    <w:name w:val="Heading 5 Char"/>
    <w:basedOn w:val="DefaultParagraphFont"/>
    <w:link w:val="Heading5"/>
    <w:qFormat/>
    <w:rPr>
      <w:rFonts w:ascii="等线" w:hAnsi="等线" w:eastAsia="等线" w:cs="Times New Roman"/>
      <w:b/>
      <w:bCs/>
      <w:kern w:val="2"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eader">
    <w:name w:val="Header"/>
    <w:basedOn w:val="Normal"/>
    <w:link w:val="HeaderChar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HTMLPreformatted">
    <w:name w:val="HTML Preformatted"/>
    <w:basedOn w:val="Normal"/>
    <w:link w:val="HTMLPreformattedChar"/>
    <w:qFormat/>
    <w:pPr/>
    <w:rPr>
      <w:rFonts w:ascii="Courier New" w:hAnsi="Courier New" w:cs="Courier New"/>
      <w:sz w:val="20"/>
    </w:rPr>
  </w:style>
  <w:style w:type="paragraph" w:styleId="NormalWeb">
    <w:name w:val="Normal (Web)"/>
    <w:basedOn w:val="Normal"/>
    <w:qFormat/>
    <w:pPr/>
    <w:rPr>
      <w:rFonts w:ascii="Times New Roman" w:hAnsi="Times New Roman" w:cs="Times New Roman"/>
      <w:sz w:val="24"/>
      <w:szCs w:val="24"/>
    </w:rPr>
  </w:style>
  <w:style w:type="paragraph" w:styleId="Style9">
    <w:name w:val="钉钉文档引用"/>
    <w:qFormat/>
    <w:pPr>
      <w:widowControl/>
      <w:pBdr>
        <w:left w:val="single" w:sz="30" w:space="9" w:color="F0F0F0"/>
      </w:pBdr>
      <w:kinsoku w:val="true"/>
      <w:overflowPunct w:val="true"/>
      <w:autoSpaceDE w:val="true"/>
      <w:bidi w:val="0"/>
      <w:spacing w:before="0" w:after="0"/>
      <w:jc w:val="left"/>
    </w:pPr>
    <w:rPr>
      <w:rFonts w:ascii="微软雅黑" w:hAnsi="微软雅黑" w:eastAsia="微软雅黑" w:cs="微软雅黑"/>
      <w:color w:val="ADADAD"/>
      <w:kern w:val="0"/>
      <w:sz w:val="22"/>
      <w:szCs w:val="20"/>
      <w:lang w:val="en-US" w:eastAsia="zh-CN" w:bidi="ar-SA"/>
    </w:rPr>
  </w:style>
  <w:style w:type="paragraph" w:styleId="Dingdocnormal1">
    <w:name w:val="dingdocnormal"/>
    <w:link w:val="Dingdoc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等线" w:hAnsi="等线" w:eastAsia="等线" w:cs="Times New Roman"/>
      <w:color w:val="auto"/>
      <w:kern w:val="2"/>
      <w:sz w:val="21"/>
      <w:szCs w:val="20"/>
      <w:lang w:val="en-US" w:eastAsia="zh-CN" w:bidi="ar-SA"/>
    </w:rPr>
  </w:style>
  <w:style w:type="paragraph" w:styleId="71e7dc791ff745e8997d0ebda3762b911">
    <w:name w:val="71e7dc79-1ff7-45e8-997d-0ebda3762b91"/>
    <w:basedOn w:val="Heading2"/>
    <w:next w:val="Acbfdd8be11b4d3688ff6049b138f8621"/>
    <w:link w:val="71e7dc791ff745e8997d0ebda3762b91"/>
    <w:qFormat/>
    <w:pPr>
      <w:spacing w:lineRule="auto" w:line="288" w:before="0" w:after="0"/>
    </w:pPr>
    <w:rPr>
      <w:rFonts w:ascii="微软雅黑" w:hAnsi="微软雅黑" w:eastAsia="微软雅黑" w:cs="Times New Roman"/>
      <w:color w:val="000000"/>
      <w:sz w:val="28"/>
    </w:rPr>
  </w:style>
  <w:style w:type="paragraph" w:styleId="Acbfdd8be11b4d3688ff6049b138f8621">
    <w:name w:val="acbfdd8b-e11b-4d36-88ff-6049b138f862"/>
    <w:basedOn w:val="TextBody"/>
    <w:link w:val="Acbfdd8be11b4d3688ff6049b138f862"/>
    <w:qFormat/>
    <w:pPr>
      <w:spacing w:lineRule="auto" w:line="288" w:before="0" w:after="0"/>
    </w:pPr>
    <w:rPr>
      <w:rFonts w:ascii="微软雅黑" w:hAnsi="微软雅黑" w:eastAsia="微软雅黑" w:cs="Times New Roman"/>
      <w:color w:val="000000"/>
      <w:sz w:val="22"/>
    </w:rPr>
  </w:style>
  <w:style w:type="paragraph" w:styleId="ListParagraph">
    <w:name w:val="List Paragraph"/>
    <w:basedOn w:val="Normal"/>
    <w:qFormat/>
    <w:pPr>
      <w:ind w:left="0" w:right="0" w:firstLine="42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Application>LibreOffice/7.3.7.2$Linux_X86_64 LibreOffice_project/30$Build-2</Application>
  <AppVersion>15.0000</AppVersion>
  <Pages>1</Pages>
  <Words>373</Words>
  <Characters>711</Characters>
  <CharactersWithSpaces>794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2024-11-17T15:06:00Z</dcterms:created>
  <dc:creator>DingTalk</dc:creator>
  <dc:description>DingTalk Document</dc:description>
  <dc:language>en-US</dc:language>
  <cp:lastModifiedBy>彭青松</cp:lastModifiedBy>
  <cp:lastPrinted>2024-11-10T15:33:00Z</cp:lastPrinted>
  <dcterms:modified xsi:type="dcterms:W3CDTF">2026-06-28T21:05:15Z</dcterms:modified>
  <cp:revision>213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5C0709A4897F4AB19258A4CD69D93106_13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eyJoZGlkIjoiODAwNjVkNzg0ZDg3OGIxNjBjNmEyYzgxOWI1YzM3OGIiLCJ1c2VySWQiOiIxNjM3Mjc3NDUyIn0=</vt:lpwstr>
  </property>
</Properties>
</file>