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 w15">
  <w:body>
    <w:p>
      <w:pPr>
        <w:pStyle w:val="Heading1"/>
        <w:spacing w:before="348" w:after="210"/>
        <w:rPr>
          <w:rFonts w:ascii="Times New Roman" w:hAnsi="Times New Roman" w:eastAsia="宋体" w:cs="Times New Roman"/>
          <w:sz w:val="48"/>
        </w:rPr>
      </w:pPr>
      <w:r>
        <w:rPr>
          <w:rFonts w:eastAsia="宋体" w:cs="Times New Roman" w:ascii="Times New Roman" w:hAnsi="Times New Roman"/>
          <w:sz w:val="48"/>
        </w:rPr>
        <w:t>Weekly-Report</w:t>
      </w:r>
    </w:p>
    <w:p>
      <w:pPr>
        <w:pStyle w:val="Dingdocnormal1"/>
        <w:rPr>
          <w:rFonts w:ascii="Times New Roman" w:hAnsi="Times New Roman" w:eastAsia="宋体" w:cs="Times New Roman"/>
          <w:b/>
          <w:b/>
          <w:color w:val="000000"/>
          <w:sz w:val="28"/>
        </w:rPr>
      </w:pPr>
      <w:r>
        <w:rPr>
          <w:rFonts w:ascii="Times New Roman" w:hAnsi="Times New Roman" w:cs="Times New Roman" w:eastAsia="宋体"/>
          <w:b/>
          <w:color w:val="000000"/>
          <w:sz w:val="28"/>
        </w:rPr>
        <w:t>汇报工作时段：2026.07.06— 2026.07.19</w:t>
      </w:r>
      <w:r>
        <w:rPr>
          <w:rFonts w:eastAsia="宋体" w:cs="Times New Roman" w:ascii="Times New Roman" w:hAnsi="Times New Roman"/>
          <w:b/>
          <w:color w:val="000000"/>
          <w:sz w:val="28"/>
        </w:rPr>
      </w:r>
    </w:p>
    <w:tbl>
      <w:tblPr>
        <w:tblW w:w="10650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1380"/>
        <w:gridCol w:w="1507"/>
        <w:gridCol w:w="7763"/>
      </w:tblGrid>
      <w:tr>
        <w:trPr>
          <w:trHeight w:val="90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B05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B050"/>
                <w:szCs w:val="20"/>
              </w:rPr>
              <w:t>本周工作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0000"/>
                <w:szCs w:val="20"/>
              </w:rPr>
              <w:t>文献阅读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istParagraph"/>
              <w:widowControl w:val="false"/>
              <w:spacing w:lineRule="auto" w:line="260" w:before="100" w:after="0"/>
              <w:ind w:left="0" w:right="0" w:hanging="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eastAsia="宋体" w:cs="Times New Roman" w:ascii="Times New Roman" w:hAnsi="Times New Roman"/>
                <w:color w:val="000000"/>
                <w:sz w:val="22"/>
                <w:szCs w:val="20"/>
                <w:lang w:val="en-US" w:eastAsia="zh-CN"/>
              </w:rPr>
              <w:t>本周重新核对了 DeepTPI 论文中的实验设置，主要确认每个电路插入的测试点数量，以及论文报告的最终 TC。</w:t>
            </w:r>
          </w:p>
        </w:tc>
      </w:tr>
      <w:tr>
        <w:trPr>
          <w:trHeight w:val="4458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szCs w:val="20"/>
              </w:rPr>
            </w:pPr>
            <w:r>
              <w:rPr>
                <w:rFonts w:eastAsia="宋体" w:cs="Times New Roman" w:ascii="Times New Roman" w:hAnsi="Times New Roman"/>
                <w:szCs w:val="20"/>
              </w:rPr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</w:rPr>
              <w:t>研究工作进展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  <w:lang w:val="en-US" w:eastAsia="zh-CN"/>
              </w:rPr>
              <w:t>前一周主要优化世界模型选择测试点的能力，八电路平均覆盖率增益从原来的 +5.386% 提高到 +7.331%。后面检查结果时发现，之前使用的 DeepTPI 最终 TC 数据不对，而且部分测试点是 AIG 转换产生的临时节点，因此这组结果不能直接作为最终对比。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</w:rPr>
              <w:t>本周重新恢复了 b15、b17、b20、b21、b22 五个电路的原始门级网表，并限制测试点只能插在原始网表中真实存在的门节点上。重新生成的 3431 个测试点全部满足要求。i2c、max 和 mem_ctrl 还没有完成原始网表映射，因此本次暂不列入对比。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</w:rPr>
              <w:t>当前统一方法先把剩余 hard fault 按所在区域聚成多个 cluster，再从这些区域中生成 48 个候选测试点。世界模型不只看单个候选的预测分数，还比较它在当前候选集合中的相对位置，然后选择一个测试点插入；插入后重新生成候选并继续选择，直到达到测试点预算。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  <w:lang w:val="en-US" w:eastAsia="zh-CN"/>
              </w:rPr>
              <w:t>这条路线的创新主要有三点：第一，在规划前就用原始门级白名单限制候选，保证测试点真实可插；第二，把 hard fault 区域召回和世界模型排序分开，先保证有效候选能够进入候选池，再由模型选择；第三，用真实 Delta TC 训练 action ranking，并加入候选集合上下文，使模型更关注同一步中哪个动作更值得选择。五个电路均使用同一个 checkpoint、候选策略、候选数量、排序方式和 greedy planner，结果如下。</w:t>
            </w:r>
          </w:p>
          <w:p>
            <w:pPr>
              <w:spacing w:before="70" w:after="45"/>
              <w:jc w:val="center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表 1  统一方法与 DeepTPI 最终 TC 对比</w:t>
            </w:r>
          </w:p>
          <w:tbl>
            <w:tblPr>
              <w:tblW w:w="0" w:type="auto"/>
              <w:jc w:val="center"/>
              <w:tblBorders>
                <w:top w:val="single" w:sz="4" w:space="0" w:color="B7B7B7"/>
                <w:left w:val="single" w:sz="4" w:space="0" w:color="B7B7B7"/>
                <w:bottom w:val="single" w:sz="4" w:space="0" w:color="B7B7B7"/>
                <w:right w:val="single" w:sz="4" w:space="0" w:color="B7B7B7"/>
                <w:insideH w:val="single" w:sz="4" w:space="0" w:color="B7B7B7"/>
                <w:insideV w:val="single" w:sz="4" w:space="0" w:color="B7B7B7"/>
              </w:tblBorders>
              <w:tblCellMar>
                <w:top w:w="20" w:type="dxa"/>
                <w:left w:w="20" w:type="dxa"/>
                <w:bottom w:w="20" w:type="dxa"/>
                <w:right w:w="20" w:type="dxa"/>
              </w:tblCellMar>
            </w:tblPr>
            <w:tblGrid>
              <w:gridCol w:w="700"/>
              <w:gridCol w:w="650"/>
              <w:gridCol w:w="1450"/>
              <w:gridCol w:w="1600"/>
              <w:gridCol w:w="950"/>
              <w:gridCol w:w="900"/>
            </w:tblGrid>
            <w:tr>
              <w:tc>
                <w:tcPr>
                  <w:tcW w:w="70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电路</w:t>
                  </w:r>
                </w:p>
              </w:tc>
              <w:tc>
                <w:tcPr>
                  <w:tcW w:w="65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#TP</w:t>
                  </w:r>
                </w:p>
              </w:tc>
              <w:tc>
                <w:tcPr>
                  <w:tcW w:w="145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本方法最终 TC</w:t>
                  </w:r>
                </w:p>
              </w:tc>
              <w:tc>
                <w:tcPr>
                  <w:tcW w:w="160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DeepTPI 最终 TC</w:t>
                  </w:r>
                </w:p>
              </w:tc>
              <w:tc>
                <w:tcPr>
                  <w:tcW w:w="95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差值</w:t>
                  </w:r>
                </w:p>
              </w:tc>
              <w:tc>
                <w:tcPr>
                  <w:tcW w:w="90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结果</w:t>
                  </w:r>
                </w:p>
              </w:tc>
            </w:tr>
            <w:tr>
              <w:tc>
                <w:tcPr>
                  <w:tcW w:w="7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b15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278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93.885%</w:t>
                  </w:r>
                </w:p>
              </w:tc>
              <w:tc>
                <w:tcPr>
                  <w:tcW w:w="1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93.200%</w:t>
                  </w:r>
                </w:p>
              </w:tc>
              <w:tc>
                <w:tcPr>
                  <w:tcW w:w="9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+0.685</w:t>
                  </w:r>
                </w:p>
              </w:tc>
              <w:tc>
                <w:tcPr>
                  <w:tcW w:w="900" w:type="dxa"/>
                  <w:shd w:val="clear" w:color="auto" w:fill="E2F0D9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超过</w:t>
                  </w:r>
                </w:p>
              </w:tc>
            </w:tr>
            <w:tr>
              <w:tc>
                <w:tcPr>
                  <w:tcW w:w="7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b20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616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95.343%</w:t>
                  </w:r>
                </w:p>
              </w:tc>
              <w:tc>
                <w:tcPr>
                  <w:tcW w:w="1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95.020%</w:t>
                  </w:r>
                </w:p>
              </w:tc>
              <w:tc>
                <w:tcPr>
                  <w:tcW w:w="9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+0.323</w:t>
                  </w:r>
                </w:p>
              </w:tc>
              <w:tc>
                <w:tcPr>
                  <w:tcW w:w="900" w:type="dxa"/>
                  <w:shd w:val="clear" w:color="auto" w:fill="E2F0D9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超过</w:t>
                  </w:r>
                </w:p>
              </w:tc>
            </w:tr>
            <w:tr>
              <w:tc>
                <w:tcPr>
                  <w:tcW w:w="7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b21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628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95.512%</w:t>
                  </w:r>
                </w:p>
              </w:tc>
              <w:tc>
                <w:tcPr>
                  <w:tcW w:w="1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94.510%</w:t>
                  </w:r>
                </w:p>
              </w:tc>
              <w:tc>
                <w:tcPr>
                  <w:tcW w:w="9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+1.002</w:t>
                  </w:r>
                </w:p>
              </w:tc>
              <w:tc>
                <w:tcPr>
                  <w:tcW w:w="900" w:type="dxa"/>
                  <w:shd w:val="clear" w:color="auto" w:fill="E2F0D9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超过</w:t>
                  </w:r>
                </w:p>
              </w:tc>
            </w:tr>
            <w:tr>
              <w:tc>
                <w:tcPr>
                  <w:tcW w:w="7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b22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915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95.056%</w:t>
                  </w:r>
                </w:p>
              </w:tc>
              <w:tc>
                <w:tcPr>
                  <w:tcW w:w="1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95.590%</w:t>
                  </w:r>
                </w:p>
              </w:tc>
              <w:tc>
                <w:tcPr>
                  <w:tcW w:w="9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-0.534</w:t>
                  </w:r>
                </w:p>
              </w:tc>
              <w:tc>
                <w:tcPr>
                  <w:tcW w:w="900" w:type="dxa"/>
                  <w:shd w:val="clear" w:color="auto" w:fill="FCE4D6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未超过</w:t>
                  </w:r>
                </w:p>
              </w:tc>
            </w:tr>
            <w:tr>
              <w:tc>
                <w:tcPr>
                  <w:tcW w:w="7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b17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994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91.451%</w:t>
                  </w:r>
                </w:p>
              </w:tc>
              <w:tc>
                <w:tcPr>
                  <w:tcW w:w="1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91.670%</w:t>
                  </w:r>
                </w:p>
              </w:tc>
              <w:tc>
                <w:tcPr>
                  <w:tcW w:w="9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-0.219</w:t>
                  </w:r>
                </w:p>
              </w:tc>
              <w:tc>
                <w:tcPr>
                  <w:tcW w:w="900" w:type="dxa"/>
                  <w:shd w:val="clear" w:color="auto" w:fill="FCE4D6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未超过</w:t>
                  </w:r>
                </w:p>
              </w:tc>
            </w:tr>
            <w:tr>
              <w:tc>
                <w:tcPr>
                  <w:tcW w:w="70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平均</w:t>
                  </w:r>
                </w:p>
              </w:tc>
              <w:tc>
                <w:tcPr>
                  <w:tcW w:w="65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3431</w:t>
                  </w:r>
                </w:p>
              </w:tc>
              <w:tc>
                <w:tcPr>
                  <w:tcW w:w="145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94.249%</w:t>
                  </w:r>
                </w:p>
              </w:tc>
              <w:tc>
                <w:tcPr>
                  <w:tcW w:w="160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93.998%</w:t>
                  </w:r>
                </w:p>
              </w:tc>
              <w:tc>
                <w:tcPr>
                  <w:tcW w:w="95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+0.251</w:t>
                  </w:r>
                </w:p>
              </w:tc>
              <w:tc>
                <w:tcPr>
                  <w:tcW w:w="90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3/5</w:t>
                  </w:r>
                </w:p>
              </w:tc>
            </w:tr>
          </w:tbl>
          <w:p>
            <w:pPr>
              <w:pStyle w:val="ListParagraph"/>
              <w:widowControl w:val="false"/>
              <w:spacing w:lineRule="auto" w:line="288" w:before="240" w:after="0"/>
              <w:ind w:left="0" w:right="0" w:hanging="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0000"/>
                <w:szCs w:val="20"/>
              </w:rPr>
              <w:t>主要研究成果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Dingdocnormal1"/>
              <w:widowControl/>
              <w:spacing w:before="0" w:after="0"/>
              <w:jc w:val="both"/>
              <w:rPr>
                <w:rFonts w:ascii="Times New Roman" w:hAnsi="Times New Roman" w:eastAsia="宋体" w:cs="Times New Roman"/>
                <w:szCs w:val="20"/>
              </w:rPr>
            </w:pPr>
            <w:r>
              <w:rPr>
                <w:rFonts w:eastAsia="宋体" w:cs="Times New Roman" w:ascii="Times New Roman" w:hAnsi="Times New Roman"/>
                <w:szCs w:val="20"/>
              </w:rPr>
            </w:r>
            <w:r>
              <w:t>当前统一方法在五个电路上的平均最终 TC 为 94.249%，比 DeepTPI 的 93.998% 高 0.251 个百分点。其中 b15、b20、b21 已经超过 DeepTPI，b22 和 b17 还分别低 0.534 和 0.219 个百分点。说明该方法的平均结果已经超过 DeepTPI，但还需要继续提高在不同电路上的稳定性。</w:t>
            </w:r>
          </w:p>
        </w:tc>
      </w:tr>
      <w:tr>
        <w:trPr>
          <w:trHeight w:val="753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color w:val="000000"/>
                <w:szCs w:val="20"/>
              </w:rPr>
            </w:pPr>
            <w:r>
              <w:rPr>
                <w:rFonts w:eastAsia="宋体" w:cs="Times New Roman" w:ascii="Times New Roman" w:hAnsi="Times New Roman"/>
                <w:color w:val="000000"/>
                <w:szCs w:val="20"/>
              </w:rPr>
              <w:t xml:space="preserve"> 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0000"/>
                <w:szCs w:val="20"/>
              </w:rPr>
              <w:t>其他工作进度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Dingdocnormal1"/>
              <w:widowControl/>
              <w:tabs>
                <w:tab w:val="clear" w:pos="420"/>
                <w:tab w:val="left" w:pos="1193" w:leader="none"/>
              </w:tabs>
              <w:spacing w:before="100" w:after="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  <w:lang w:val="en-US" w:eastAsia="zh-CN"/>
              </w:rPr>
              <w:t>补充原始网表映射、测试点合法性检查和实验结果汇总脚本；截至 7 月 17 日，项目定向测试为 29 passed。</w:t>
            </w:r>
          </w:p>
        </w:tc>
      </w:tr>
      <w:tr>
        <w:trPr>
          <w:trHeight w:val="90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B05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B050"/>
                <w:szCs w:val="20"/>
              </w:rPr>
              <w:t>下周计划</w:t>
            </w:r>
          </w:p>
        </w:tc>
        <w:tc>
          <w:tcPr>
            <w:tcW w:w="92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numPr>
                <w:ilvl w:val="0"/>
                <w:numId w:val="3"/>
              </w:numPr>
              <w:spacing w:before="0" w:after="0"/>
              <w:jc w:val="left"/>
              <w:rPr>
                <w:rFonts w:ascii="Times New Roman" w:hAnsi="Times New Roman" w:eastAsia="宋体" w:cs="Times New Roman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szCs w:val="20"/>
                <w:lang w:val="en-US" w:eastAsia="zh-CN"/>
              </w:rPr>
              <w:t>保持同一套模型和参数，继续改进候选生成与排序方法，重点解决 b22 和 b17；同时继续处理 i2c、max 和 mem_ctrl 的原始网表映射。</w:t>
            </w:r>
          </w:p>
        </w:tc>
      </w:tr>
    </w:tbl>
    <w:p>
      <w:pPr>
        <w:pStyle w:val="Dingdocnormal1"/>
        <w:rPr/>
      </w:pPr>
      <w:r>
        <w:rPr/>
      </w:r>
    </w:p>
    <w:sectPr>
      <w:type w:val="nextPage"/>
      <w:pgSz w:w="13380" w:h="16905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宋体">
    <w:charset w:val="01"/>
    <w:family w:val="roman"/>
    <w:pitch w:val="variable"/>
  </w:font>
  <w:font w:name="Courier New">
    <w:charset w:val="01"/>
    <w:family w:val="roman"/>
    <w:pitch w:val="variable"/>
  </w:font>
  <w:font w:name="微软雅黑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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"/>
      <w:lvlJc w:val="left"/>
      <w:pPr>
        <w:tabs>
          <w:tab w:val="num" w:pos="0"/>
        </w:tabs>
        <w:ind w:left="3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2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7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1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0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4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900" w:hanging="44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0" w:after="0"/>
      <w:jc w:val="left"/>
    </w:pPr>
    <w:rPr>
      <w:rFonts w:ascii="等线" w:hAnsi="等线" w:eastAsia="等线" w:cs="Times New Roman"/>
      <w:color w:val="auto"/>
      <w:kern w:val="2"/>
      <w:sz w:val="21"/>
      <w:szCs w:val="20"/>
      <w:lang w:val="en-US" w:eastAsia="zh-CN" w:bidi="ar-SA"/>
    </w:rPr>
  </w:style>
  <w:style w:type="paragraph" w:styleId="Heading1">
    <w:name w:val="Heading 1"/>
    <w:qFormat/>
    <w:pPr>
      <w:keepNext w:val="true"/>
      <w:keepLines/>
      <w:widowControl/>
      <w:numPr>
        <w:ilvl w:val="0"/>
        <w:numId w:val="0"/>
      </w:numPr>
      <w:kinsoku w:val="true"/>
      <w:overflowPunct w:val="true"/>
      <w:autoSpaceDE w:val="true"/>
      <w:bidi w:val="0"/>
      <w:spacing w:before="348" w:after="210"/>
      <w:jc w:val="left"/>
      <w:outlineLvl w:val="0"/>
    </w:pPr>
    <w:rPr>
      <w:rFonts w:ascii="等线" w:hAnsi="等线" w:eastAsia="等线" w:cs="Times New Roman"/>
      <w:b/>
      <w:color w:val="auto"/>
      <w:kern w:val="2"/>
      <w:sz w:val="34"/>
      <w:szCs w:val="20"/>
      <w:lang w:val="en-US" w:eastAsia="zh-CN" w:bidi="ar-SA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lineRule="auto" w:line="415" w:before="260" w:after="260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numPr>
        <w:ilvl w:val="0"/>
        <w:numId w:val="0"/>
      </w:numPr>
      <w:spacing w:before="280" w:after="280"/>
      <w:outlineLvl w:val="2"/>
    </w:pPr>
    <w:rPr>
      <w:rFonts w:ascii="宋体" w:hAnsi="宋体" w:eastAsia="宋体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qFormat/>
    <w:pPr>
      <w:numPr>
        <w:ilvl w:val="0"/>
        <w:numId w:val="0"/>
      </w:numPr>
      <w:spacing w:before="280" w:after="280"/>
      <w:outlineLvl w:val="3"/>
    </w:pPr>
    <w:rPr>
      <w:rFonts w:ascii="宋体" w:hAnsi="宋体" w:eastAsia="宋体" w:cs="Times New Roman"/>
      <w:b/>
      <w:bCs/>
      <w:kern w:val="0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lineRule="auto" w:line="374" w:before="280" w:after="290"/>
      <w:outlineLvl w:val="4"/>
    </w:pPr>
    <w:rPr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InternetLink">
    <w:name w:val="Hyperlink"/>
    <w:basedOn w:val="DefaultParagraphFont"/>
    <w:rPr>
      <w:color w:val="0000FF"/>
      <w:u w:val="single"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character" w:styleId="HeaderChar">
    <w:name w:val="Header Char"/>
    <w:basedOn w:val="DefaultParagraphFont"/>
    <w:link w:val="Header"/>
    <w:qFormat/>
    <w:rPr>
      <w:sz w:val="18"/>
      <w:szCs w:val="18"/>
    </w:rPr>
  </w:style>
  <w:style w:type="character" w:styleId="FooterChar">
    <w:name w:val="Footer Char"/>
    <w:basedOn w:val="DefaultParagraphFont"/>
    <w:link w:val="Footer"/>
    <w:qFormat/>
    <w:rPr>
      <w:sz w:val="18"/>
      <w:szCs w:val="18"/>
    </w:rPr>
  </w:style>
  <w:style w:type="character" w:styleId="Dingdocnormal">
    <w:name w:val="dingdocnormal 字符"/>
    <w:basedOn w:val="DefaultParagraphFont"/>
    <w:link w:val="Dingdocnormal1"/>
    <w:qFormat/>
    <w:rPr/>
  </w:style>
  <w:style w:type="character" w:styleId="71e7dc791ff745e8997d0ebda3762b91">
    <w:name w:val="71e7dc79-1ff7-45e8-997d-0ebda3762b91 字符"/>
    <w:basedOn w:val="Dingdocnormal"/>
    <w:link w:val="71e7dc791ff745e8997d0ebda3762b911"/>
    <w:qFormat/>
    <w:rPr>
      <w:rFonts w:ascii="微软雅黑" w:hAnsi="微软雅黑" w:eastAsia="微软雅黑" w:cs="Times New Roman"/>
      <w:b/>
      <w:bCs/>
      <w:color w:val="000000"/>
      <w:sz w:val="28"/>
      <w:szCs w:val="32"/>
    </w:rPr>
  </w:style>
  <w:style w:type="character" w:styleId="Heading2Char">
    <w:name w:val="Heading 2 Char"/>
    <w:basedOn w:val="DefaultParagraphFont"/>
    <w:link w:val="Heading2"/>
    <w:qFormat/>
    <w:rPr>
      <w:rFonts w:ascii="等线 Light" w:hAnsi="等线 Light" w:eastAsia="等线 Light" w:cs="Times New Roman"/>
      <w:b/>
      <w:bCs/>
      <w:sz w:val="32"/>
      <w:szCs w:val="32"/>
    </w:rPr>
  </w:style>
  <w:style w:type="character" w:styleId="Acbfdd8be11b4d3688ff6049b138f862">
    <w:name w:val="acbfdd8b-e11b-4d36-88ff-6049b138f862 字符"/>
    <w:basedOn w:val="Dingdocnormal"/>
    <w:link w:val="Acbfdd8be11b4d3688ff6049b138f8621"/>
    <w:qFormat/>
    <w:rPr>
      <w:rFonts w:ascii="微软雅黑" w:hAnsi="微软雅黑" w:eastAsia="微软雅黑" w:cs="Times New Roman"/>
      <w:color w:val="000000"/>
      <w:sz w:val="22"/>
    </w:rPr>
  </w:style>
  <w:style w:type="character" w:styleId="BodyTextChar">
    <w:name w:val="Body Text Char"/>
    <w:basedOn w:val="DefaultParagraphFont"/>
    <w:qFormat/>
    <w:rPr/>
  </w:style>
  <w:style w:type="character" w:styleId="HTMLPreformattedChar">
    <w:name w:val="HTML Preformatted Char"/>
    <w:basedOn w:val="DefaultParagraphFont"/>
    <w:link w:val="HTMLPreformatted"/>
    <w:qFormat/>
    <w:rPr>
      <w:rFonts w:ascii="Courier New" w:hAnsi="Courier New" w:eastAsia="等线" w:cs="Courier New"/>
      <w:kern w:val="2"/>
    </w:rPr>
  </w:style>
  <w:style w:type="character" w:styleId="UnresolvedMention1">
    <w:name w:val="Unresolved Mention1"/>
    <w:basedOn w:val="DefaultParagraphFont"/>
    <w:qFormat/>
    <w:rPr>
      <w:color w:val="605E5C"/>
      <w:shd w:fill="E1DFDD" w:val="clear"/>
    </w:rPr>
  </w:style>
  <w:style w:type="character" w:styleId="Heading5Char">
    <w:name w:val="Heading 5 Char"/>
    <w:basedOn w:val="DefaultParagraphFont"/>
    <w:link w:val="Heading5"/>
    <w:qFormat/>
    <w:rPr>
      <w:rFonts w:ascii="等线" w:hAnsi="等线" w:eastAsia="等线" w:cs="Times New Roman"/>
      <w:b/>
      <w:bCs/>
      <w:kern w:val="2"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eader">
    <w:name w:val="Header"/>
    <w:basedOn w:val="Normal"/>
    <w:link w:val="HeaderChar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HTMLPreformatted">
    <w:name w:val="HTML Preformatted"/>
    <w:basedOn w:val="Normal"/>
    <w:link w:val="HTMLPreformattedChar"/>
    <w:qFormat/>
    <w:pPr/>
    <w:rPr>
      <w:rFonts w:ascii="Courier New" w:hAnsi="Courier New" w:cs="Courier New"/>
      <w:sz w:val="20"/>
    </w:rPr>
  </w:style>
  <w:style w:type="paragraph" w:styleId="NormalWeb">
    <w:name w:val="Normal (Web)"/>
    <w:basedOn w:val="Normal"/>
    <w:qFormat/>
    <w:pPr/>
    <w:rPr>
      <w:rFonts w:ascii="Times New Roman" w:hAnsi="Times New Roman" w:cs="Times New Roman"/>
      <w:sz w:val="24"/>
      <w:szCs w:val="24"/>
    </w:rPr>
  </w:style>
  <w:style w:type="paragraph" w:styleId="Style9">
    <w:name w:val="钉钉文档引用"/>
    <w:qFormat/>
    <w:pPr>
      <w:widowControl/>
      <w:pBdr>
        <w:left w:val="single" w:sz="30" w:space="9" w:color="F0F0F0"/>
      </w:pBdr>
      <w:kinsoku w:val="true"/>
      <w:overflowPunct w:val="true"/>
      <w:autoSpaceDE w:val="true"/>
      <w:bidi w:val="0"/>
      <w:spacing w:before="0" w:after="0"/>
      <w:jc w:val="left"/>
    </w:pPr>
    <w:rPr>
      <w:rFonts w:ascii="微软雅黑" w:hAnsi="微软雅黑" w:eastAsia="微软雅黑" w:cs="微软雅黑"/>
      <w:color w:val="ADADAD"/>
      <w:kern w:val="0"/>
      <w:sz w:val="22"/>
      <w:szCs w:val="20"/>
      <w:lang w:val="en-US" w:eastAsia="zh-CN" w:bidi="ar-SA"/>
    </w:rPr>
  </w:style>
  <w:style w:type="paragraph" w:styleId="Dingdocnormal1">
    <w:name w:val="dingdocnormal"/>
    <w:link w:val="Dingdocnormal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等线" w:hAnsi="等线" w:eastAsia="等线" w:cs="Times New Roman"/>
      <w:color w:val="auto"/>
      <w:kern w:val="2"/>
      <w:sz w:val="21"/>
      <w:szCs w:val="20"/>
      <w:lang w:val="en-US" w:eastAsia="zh-CN" w:bidi="ar-SA"/>
    </w:rPr>
  </w:style>
  <w:style w:type="paragraph" w:styleId="71e7dc791ff745e8997d0ebda3762b911">
    <w:name w:val="71e7dc79-1ff7-45e8-997d-0ebda3762b91"/>
    <w:basedOn w:val="Heading2"/>
    <w:next w:val="Acbfdd8be11b4d3688ff6049b138f8621"/>
    <w:link w:val="71e7dc791ff745e8997d0ebda3762b91"/>
    <w:qFormat/>
    <w:pPr>
      <w:spacing w:lineRule="auto" w:line="288" w:before="0" w:after="0"/>
    </w:pPr>
    <w:rPr>
      <w:rFonts w:ascii="微软雅黑" w:hAnsi="微软雅黑" w:eastAsia="微软雅黑" w:cs="Times New Roman"/>
      <w:color w:val="000000"/>
      <w:sz w:val="28"/>
    </w:rPr>
  </w:style>
  <w:style w:type="paragraph" w:styleId="Acbfdd8be11b4d3688ff6049b138f8621">
    <w:name w:val="acbfdd8b-e11b-4d36-88ff-6049b138f862"/>
    <w:basedOn w:val="TextBody"/>
    <w:link w:val="Acbfdd8be11b4d3688ff6049b138f862"/>
    <w:qFormat/>
    <w:pPr>
      <w:spacing w:lineRule="auto" w:line="288" w:before="0" w:after="0"/>
    </w:pPr>
    <w:rPr>
      <w:rFonts w:ascii="微软雅黑" w:hAnsi="微软雅黑" w:eastAsia="微软雅黑" w:cs="Times New Roman"/>
      <w:color w:val="000000"/>
      <w:sz w:val="22"/>
    </w:rPr>
  </w:style>
  <w:style w:type="paragraph" w:styleId="ListParagraph">
    <w:name w:val="List Paragraph"/>
    <w:basedOn w:val="Normal"/>
    <w:qFormat/>
    <w:pPr>
      <w:ind w:left="0" w:right="0" w:firstLine="42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Application>LibreOffice/7.3.7.2$Linux_X86_64 LibreOffice_project/30$Build-2</Application>
  <AppVersion>15.0000</AppVersion>
  <Pages>1</Pages>
  <Words>373</Words>
  <Characters>711</Characters>
  <CharactersWithSpaces>794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2024-11-17T15:06:00Z</dcterms:created>
  <dc:creator>DingTalk</dc:creator>
  <dc:description>DingTalk Document</dc:description>
  <dc:language>en-US</dc:language>
  <cp:lastModifiedBy>彭青松</cp:lastModifiedBy>
  <cp:lastPrinted>2024-11-10T15:33:00Z</cp:lastPrinted>
  <dcterms:modified xsi:type="dcterms:W3CDTF">2026-06-28T21:05:15Z</dcterms:modified>
  <cp:revision>213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5C0709A4897F4AB19258A4CD69D93106_13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eyJoZGlkIjoiODAwNjVkNzg0ZDg3OGIxNjBjNmEyYzgxOWI1YzM3OGIiLCJ1c2VySWQiOiIxNjM3Mjc3NDUyIn0=</vt:lpwstr>
  </property>
</Properties>
</file>