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p14 w15">
  <w:body>
    <w:p>
      <w:pPr>
        <w:pStyle w:val="Heading1"/>
        <w:spacing w:before="348" w:after="210"/>
        <w:rPr>
          <w:rFonts w:ascii="Times New Roman" w:hAnsi="Times New Roman" w:eastAsia="宋体" w:cs="Times New Roman"/>
          <w:sz w:val="48"/>
        </w:rPr>
      </w:pPr>
      <w:r>
        <w:rPr>
          <w:rFonts w:eastAsia="宋体" w:cs="Times New Roman" w:ascii="Times New Roman" w:hAnsi="Times New Roman"/>
          <w:sz w:val="48"/>
        </w:rPr>
        <w:t>Weekly-Report</w:t>
      </w:r>
    </w:p>
    <w:p>
      <w:pPr>
        <w:pStyle w:val="Dingdocnormal1"/>
        <w:rPr>
          <w:rFonts w:ascii="Times New Roman" w:hAnsi="Times New Roman" w:eastAsia="宋体" w:cs="Times New Roman"/>
          <w:b/>
          <w:b/>
          <w:color w:val="000000"/>
          <w:sz w:val="28"/>
        </w:rPr>
      </w:pPr>
      <w:r>
        <w:rPr>
          <w:rFonts w:ascii="Times New Roman" w:hAnsi="Times New Roman" w:cs="Times New Roman" w:eastAsia="宋体"/>
          <w:b/>
          <w:color w:val="000000"/>
          <w:sz w:val="28"/>
        </w:rPr>
        <w:t>汇报工作时段：2026.07.06— 2026.07.19</w:t>
      </w:r>
      <w:r>
        <w:rPr>
          <w:rFonts w:eastAsia="宋体" w:cs="Times New Roman" w:ascii="Times New Roman" w:hAnsi="Times New Roman"/>
          <w:b/>
          <w:color w:val="000000"/>
          <w:sz w:val="28"/>
        </w:rPr>
      </w:r>
    </w:p>
    <w:tbl>
      <w:tblPr>
        <w:tblW w:w="10650" w:type="dxa"/>
        <w:jc w:val="lef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1380"/>
        <w:gridCol w:w="1507"/>
        <w:gridCol w:w="7763"/>
      </w:tblGrid>
      <w:tr>
        <w:trPr>
          <w:trHeight w:val="90" w:hRule="atLeast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b/>
                <w:b/>
                <w:color w:val="00B050"/>
                <w:szCs w:val="20"/>
              </w:rPr>
            </w:pPr>
            <w:r>
              <w:rPr>
                <w:rFonts w:ascii="Times New Roman" w:hAnsi="Times New Roman" w:cs="Times New Roman" w:eastAsia="宋体"/>
                <w:b/>
                <w:color w:val="00B050"/>
                <w:szCs w:val="20"/>
              </w:rPr>
              <w:t>本周工作</w:t>
            </w:r>
          </w:p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b/>
                <w:b/>
                <w:color w:val="000000"/>
                <w:szCs w:val="20"/>
              </w:rPr>
            </w:pPr>
            <w:r>
              <w:rPr>
                <w:rFonts w:ascii="Times New Roman" w:hAnsi="Times New Roman" w:cs="Times New Roman" w:eastAsia="宋体"/>
                <w:b/>
                <w:color w:val="000000"/>
                <w:szCs w:val="20"/>
              </w:rPr>
              <w:t>文献阅读</w:t>
            </w:r>
          </w:p>
        </w:tc>
        <w:tc>
          <w:tcPr>
            <w:tcW w:w="7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istParagraph"/>
              <w:widowControl w:val="false"/>
              <w:spacing w:lineRule="auto" w:line="260" w:before="100" w:after="0"/>
              <w:ind w:left="0" w:right="0" w:hanging="0"/>
              <w:jc w:val="both"/>
              <w:rPr>
                <w:rFonts w:ascii="Times New Roman" w:hAnsi="Times New Roman" w:eastAsia="宋体" w:cs="Times New Roman"/>
                <w:color w:val="000000"/>
                <w:sz w:val="22"/>
                <w:szCs w:val="20"/>
                <w:lang w:val="en-US" w:eastAsia="zh-CN"/>
              </w:rPr>
            </w:pPr>
            <w:r>
              <w:rPr>
                <w:rFonts w:eastAsia="宋体" w:cs="Times New Roman" w:ascii="Times New Roman" w:hAnsi="Times New Roman"/>
                <w:color w:val="000000"/>
                <w:sz w:val="22"/>
                <w:szCs w:val="20"/>
                <w:lang w:val="en-US" w:eastAsia="zh-CN"/>
              </w:rPr>
              <w:t>本周重新核对了 DeepTPI 论文中的 Table II 和 Table IV，重点确认测试点数量、最终 TC 和原始网表中的候选位置。后面的结果统一按照 Table IV 的五个 ITC'99 电路进行比较。</w:t>
            </w:r>
          </w:p>
        </w:tc>
      </w:tr>
      <w:tr>
        <w:trPr>
          <w:trHeight w:val="4458" w:hRule="atLeast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szCs w:val="20"/>
              </w:rPr>
            </w:pPr>
            <w:r>
              <w:rPr>
                <w:rFonts w:eastAsia="宋体" w:cs="Times New Roman" w:ascii="Times New Roman" w:hAnsi="Times New Roman"/>
                <w:szCs w:val="20"/>
              </w:rPr>
            </w:r>
          </w:p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color w:val="000000"/>
                <w:sz w:val="22"/>
                <w:szCs w:val="20"/>
              </w:rPr>
            </w:pPr>
            <w:r>
              <w:rPr>
                <w:rFonts w:ascii="Times New Roman" w:hAnsi="Times New Roman" w:cs="Times New Roman" w:eastAsia="宋体"/>
                <w:color w:val="000000"/>
                <w:sz w:val="22"/>
                <w:szCs w:val="20"/>
              </w:rPr>
              <w:t>研究工作进展</w:t>
            </w:r>
          </w:p>
        </w:tc>
        <w:tc>
          <w:tcPr>
            <w:tcW w:w="7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60" w:before="100" w:after="0"/>
              <w:ind w:left="420" w:right="0" w:hanging="420"/>
              <w:jc w:val="both"/>
              <w:rPr>
                <w:rFonts w:ascii="Times New Roman" w:hAnsi="Times New Roman" w:eastAsia="宋体" w:cs="Times New Roman"/>
                <w:color w:val="000000"/>
                <w:sz w:val="22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 w:eastAsia="宋体"/>
                <w:color w:val="000000"/>
                <w:sz w:val="22"/>
                <w:szCs w:val="20"/>
                <w:lang w:val="en-US" w:eastAsia="zh-CN"/>
              </w:rPr>
              <w:t>前一周完成了 q_rank_v1 和 reward_rank_v1 的八电路评估。在严格 Table-II 预算下，q_rank_v1 的平均 Delta TC 为 +7.331%，reward_rank_v1 为 +6.432%，后者在 8 个电路上均为正。说明把训练目标改成 action ranking 后，插点结果确实比原来的 C_depth2 更好。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60" w:before="100" w:after="0"/>
              <w:ind w:left="420" w:right="0" w:hanging="420"/>
              <w:jc w:val="both"/>
              <w:rPr>
                <w:rFonts w:ascii="Times New Roman" w:hAnsi="Times New Roman" w:eastAsia="宋体" w:cs="Times New Roman"/>
                <w:color w:val="000000"/>
                <w:sz w:val="22"/>
                <w:szCs w:val="20"/>
              </w:rPr>
            </w:pPr>
            <w:r>
              <w:rPr>
                <w:rFonts w:ascii="Times New Roman" w:hAnsi="Times New Roman" w:cs="Times New Roman" w:eastAsia="宋体"/>
                <w:color w:val="000000"/>
                <w:sz w:val="22"/>
                <w:szCs w:val="20"/>
              </w:rPr>
              <w:t>后面检查发现，之前 q_lcb ensemble 的“8/8 超过 DeepTPI”有两个问题：一是 DeepTPI 的对比列用错了，二是插入位置中包含 AIG 转换产生的临时节点。以 b15 为例，原来的 278 个测试点中只有 81 个能对应到原始门，因此这组结果不能继续使用，需要重新评估。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60" w:before="100" w:after="0"/>
              <w:ind w:left="420" w:right="0" w:hanging="420"/>
              <w:jc w:val="both"/>
              <w:rPr>
                <w:rFonts w:ascii="Times New Roman" w:hAnsi="Times New Roman" w:eastAsia="宋体" w:cs="Times New Roman"/>
                <w:color w:val="000000"/>
                <w:sz w:val="22"/>
                <w:szCs w:val="20"/>
              </w:rPr>
            </w:pPr>
            <w:r>
              <w:rPr>
                <w:rFonts w:ascii="Times New Roman" w:hAnsi="Times New Roman" w:cs="Times New Roman" w:eastAsia="宋体"/>
                <w:color w:val="000000"/>
                <w:sz w:val="22"/>
                <w:szCs w:val="20"/>
              </w:rPr>
              <w:t>本周完成了 b15、b17、b20、b21、b22 五个电路的原始门级映射，后续候选点只从原始网表中的合法门位置生成，新评估的 3431 个测试点均通过检查。单独优化时，b15 最好达到 94.614%，超过 DeepTPI 的 93.20%；b17 最好达到 91.546%，仍低 0.124 个百分点。由于两个电路使用的配置不同，目前只作为局部结果。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60" w:before="100" w:after="0"/>
              <w:ind w:left="420" w:right="0" w:hanging="420"/>
              <w:jc w:val="both"/>
              <w:rPr>
                <w:rFonts w:ascii="Times New Roman" w:hAnsi="Times New Roman" w:eastAsia="宋体" w:cs="Times New Roman"/>
                <w:color w:val="000000"/>
                <w:sz w:val="22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 w:eastAsia="宋体"/>
                <w:color w:val="000000"/>
                <w:sz w:val="22"/>
                <w:szCs w:val="20"/>
                <w:lang w:val="en-US" w:eastAsia="zh-CN"/>
              </w:rPr>
              <w:t>为了避免每个电路单独调参数，后面固定同一个 checkpoint、score、candidate 和 planner，在五个电路上重新评估。当前统一配置使用 q_pred_context、hard_fault_cluster、48 个候选和 exact allowlist，结果如下：</w:t>
            </w:r>
          </w:p>
          <w:tbl>
            <w:tblPr>
              <w:tblW w:w="0" w:type="auto"/>
              <w:jc w:val="center"/>
              <w:tblBorders>
                <w:top w:val="single" w:sz="4" w:space="0" w:color="B7B7B7"/>
                <w:left w:val="single" w:sz="4" w:space="0" w:color="B7B7B7"/>
                <w:bottom w:val="single" w:sz="4" w:space="0" w:color="B7B7B7"/>
                <w:right w:val="single" w:sz="4" w:space="0" w:color="B7B7B7"/>
                <w:insideH w:val="single" w:sz="4" w:space="0" w:color="B7B7B7"/>
                <w:insideV w:val="single" w:sz="4" w:space="0" w:color="B7B7B7"/>
              </w:tblBorders>
              <w:tblCellMar>
                <w:top w:w="20" w:type="dxa"/>
                <w:left w:w="20" w:type="dxa"/>
                <w:bottom w:w="20" w:type="dxa"/>
                <w:right w:w="20" w:type="dxa"/>
              </w:tblCellMar>
            </w:tblPr>
            <w:tblGrid>
              <w:gridCol w:w="720"/>
              <w:gridCol w:w="650"/>
              <w:gridCol w:w="1100"/>
              <w:gridCol w:w="1200"/>
              <w:gridCol w:w="850"/>
              <w:gridCol w:w="800"/>
            </w:tblGrid>
            <w:tr>
              <w:tc>
                <w:tcPr>
                  <w:tcW w:w="720" w:type="dxa"/>
                  <w:shd w:val="clear" w:color="auto" w:fill="E7E6E6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15"/>
                      <w:szCs w:val="15"/>
                    </w:rPr>
                    <w:t>电路</w:t>
                  </w:r>
                </w:p>
              </w:tc>
              <w:tc>
                <w:tcPr>
                  <w:tcW w:w="650" w:type="dxa"/>
                  <w:shd w:val="clear" w:color="auto" w:fill="E7E6E6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15"/>
                      <w:szCs w:val="15"/>
                    </w:rPr>
                    <w:t>#TP</w:t>
                  </w:r>
                </w:p>
              </w:tc>
              <w:tc>
                <w:tcPr>
                  <w:tcW w:w="1100" w:type="dxa"/>
                  <w:shd w:val="clear" w:color="auto" w:fill="E7E6E6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15"/>
                      <w:szCs w:val="15"/>
                    </w:rPr>
                    <w:t>当前 TC</w:t>
                  </w:r>
                </w:p>
              </w:tc>
              <w:tc>
                <w:tcPr>
                  <w:tcW w:w="1200" w:type="dxa"/>
                  <w:shd w:val="clear" w:color="auto" w:fill="E7E6E6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15"/>
                      <w:szCs w:val="15"/>
                    </w:rPr>
                    <w:t>DeepTPI TC</w:t>
                  </w:r>
                </w:p>
              </w:tc>
              <w:tc>
                <w:tcPr>
                  <w:tcW w:w="850" w:type="dxa"/>
                  <w:shd w:val="clear" w:color="auto" w:fill="E7E6E6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15"/>
                      <w:szCs w:val="15"/>
                    </w:rPr>
                    <w:t>差值</w:t>
                  </w:r>
                </w:p>
              </w:tc>
              <w:tc>
                <w:tcPr>
                  <w:tcW w:w="800" w:type="dxa"/>
                  <w:shd w:val="clear" w:color="auto" w:fill="E7E6E6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15"/>
                      <w:szCs w:val="15"/>
                    </w:rPr>
                    <w:t>结果</w:t>
                  </w:r>
                </w:p>
              </w:tc>
            </w:tr>
            <w:tr>
              <w:tc>
                <w:tcPr>
                  <w:tcW w:w="72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b15</w:t>
                  </w:r>
                </w:p>
              </w:tc>
              <w:tc>
                <w:tcPr>
                  <w:tcW w:w="6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278</w:t>
                  </w:r>
                </w:p>
              </w:tc>
              <w:tc>
                <w:tcPr>
                  <w:tcW w:w="11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93.936%</w:t>
                  </w:r>
                </w:p>
              </w:tc>
              <w:tc>
                <w:tcPr>
                  <w:tcW w:w="12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93.20%</w:t>
                  </w:r>
                </w:p>
              </w:tc>
              <w:tc>
                <w:tcPr>
                  <w:tcW w:w="8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+0.736</w:t>
                  </w:r>
                </w:p>
              </w:tc>
              <w:tc>
                <w:tcPr>
                  <w:tcW w:w="8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超过</w:t>
                  </w:r>
                </w:p>
              </w:tc>
            </w:tr>
            <w:tr>
              <w:tc>
                <w:tcPr>
                  <w:tcW w:w="72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b20</w:t>
                  </w:r>
                </w:p>
              </w:tc>
              <w:tc>
                <w:tcPr>
                  <w:tcW w:w="6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616</w:t>
                  </w:r>
                </w:p>
              </w:tc>
              <w:tc>
                <w:tcPr>
                  <w:tcW w:w="11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94.630%</w:t>
                  </w:r>
                </w:p>
              </w:tc>
              <w:tc>
                <w:tcPr>
                  <w:tcW w:w="12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95.02%</w:t>
                  </w:r>
                </w:p>
              </w:tc>
              <w:tc>
                <w:tcPr>
                  <w:tcW w:w="8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-0.390</w:t>
                  </w:r>
                </w:p>
              </w:tc>
              <w:tc>
                <w:tcPr>
                  <w:tcW w:w="8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未超过</w:t>
                  </w:r>
                </w:p>
              </w:tc>
            </w:tr>
            <w:tr>
              <w:tc>
                <w:tcPr>
                  <w:tcW w:w="72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b21</w:t>
                  </w:r>
                </w:p>
              </w:tc>
              <w:tc>
                <w:tcPr>
                  <w:tcW w:w="6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628</w:t>
                  </w:r>
                </w:p>
              </w:tc>
              <w:tc>
                <w:tcPr>
                  <w:tcW w:w="11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95.399%</w:t>
                  </w:r>
                </w:p>
              </w:tc>
              <w:tc>
                <w:tcPr>
                  <w:tcW w:w="12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94.51%</w:t>
                  </w:r>
                </w:p>
              </w:tc>
              <w:tc>
                <w:tcPr>
                  <w:tcW w:w="8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+0.889</w:t>
                  </w:r>
                </w:p>
              </w:tc>
              <w:tc>
                <w:tcPr>
                  <w:tcW w:w="8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超过</w:t>
                  </w:r>
                </w:p>
              </w:tc>
            </w:tr>
            <w:tr>
              <w:tc>
                <w:tcPr>
                  <w:tcW w:w="72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b22</w:t>
                  </w:r>
                </w:p>
              </w:tc>
              <w:tc>
                <w:tcPr>
                  <w:tcW w:w="6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915</w:t>
                  </w:r>
                </w:p>
              </w:tc>
              <w:tc>
                <w:tcPr>
                  <w:tcW w:w="11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95.698%</w:t>
                  </w:r>
                </w:p>
              </w:tc>
              <w:tc>
                <w:tcPr>
                  <w:tcW w:w="12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95.59%</w:t>
                  </w:r>
                </w:p>
              </w:tc>
              <w:tc>
                <w:tcPr>
                  <w:tcW w:w="8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+0.108</w:t>
                  </w:r>
                </w:p>
              </w:tc>
              <w:tc>
                <w:tcPr>
                  <w:tcW w:w="8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超过</w:t>
                  </w:r>
                </w:p>
              </w:tc>
            </w:tr>
            <w:tr>
              <w:tc>
                <w:tcPr>
                  <w:tcW w:w="72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b17</w:t>
                  </w:r>
                </w:p>
              </w:tc>
              <w:tc>
                <w:tcPr>
                  <w:tcW w:w="6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994</w:t>
                  </w:r>
                </w:p>
              </w:tc>
              <w:tc>
                <w:tcPr>
                  <w:tcW w:w="11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90.692%</w:t>
                  </w:r>
                </w:p>
              </w:tc>
              <w:tc>
                <w:tcPr>
                  <w:tcW w:w="12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91.67%</w:t>
                  </w:r>
                </w:p>
              </w:tc>
              <w:tc>
                <w:tcPr>
                  <w:tcW w:w="8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-0.978</w:t>
                  </w:r>
                </w:p>
              </w:tc>
              <w:tc>
                <w:tcPr>
                  <w:tcW w:w="8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未超过</w:t>
                  </w:r>
                </w:p>
              </w:tc>
            </w:tr>
            <w:tr>
              <w:tc>
                <w:tcPr>
                  <w:tcW w:w="72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平均</w:t>
                  </w:r>
                </w:p>
              </w:tc>
              <w:tc>
                <w:tcPr>
                  <w:tcW w:w="6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3431</w:t>
                  </w:r>
                </w:p>
              </w:tc>
              <w:tc>
                <w:tcPr>
                  <w:tcW w:w="11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94.071%</w:t>
                  </w:r>
                </w:p>
              </w:tc>
              <w:tc>
                <w:tcPr>
                  <w:tcW w:w="12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93.998%</w:t>
                  </w:r>
                </w:p>
              </w:tc>
              <w:tc>
                <w:tcPr>
                  <w:tcW w:w="8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+0.073</w:t>
                  </w:r>
                </w:p>
              </w:tc>
              <w:tc>
                <w:tcPr>
                  <w:tcW w:w="8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5"/>
                      <w:szCs w:val="15"/>
                    </w:rPr>
                    <w:t>3/5</w:t>
                  </w:r>
                </w:p>
              </w:tc>
            </w:tr>
          </w:tbl>
          <w:p>
            <w:pPr>
              <w:pStyle w:val="ListParagraph"/>
              <w:widowControl w:val="false"/>
              <w:spacing w:lineRule="auto" w:line="288" w:before="240" w:after="0"/>
              <w:ind w:left="0" w:right="0" w:hanging="0"/>
              <w:jc w:val="both"/>
              <w:rPr>
                <w:rFonts w:ascii="Times New Roman" w:hAnsi="Times New Roman" w:eastAsia="宋体" w:cs="Times New Roman"/>
                <w:color w:val="000000"/>
                <w:sz w:val="22"/>
                <w:szCs w:val="20"/>
              </w:rPr>
            </w:pPr>
          </w:p>
        </w:tc>
      </w:tr>
      <w:tr>
        <w:trPr/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b/>
                <w:b/>
                <w:color w:val="000000"/>
                <w:szCs w:val="20"/>
              </w:rPr>
            </w:pPr>
            <w:r>
              <w:rPr>
                <w:rFonts w:ascii="Times New Roman" w:hAnsi="Times New Roman" w:cs="Times New Roman" w:eastAsia="宋体"/>
                <w:b/>
                <w:color w:val="000000"/>
                <w:szCs w:val="20"/>
              </w:rPr>
              <w:t>主要研究成果</w:t>
            </w:r>
          </w:p>
        </w:tc>
        <w:tc>
          <w:tcPr>
            <w:tcW w:w="7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Dingdocnormal1"/>
              <w:widowControl/>
              <w:spacing w:before="0" w:after="0"/>
              <w:jc w:val="both"/>
              <w:rPr>
                <w:rFonts w:ascii="Times New Roman" w:hAnsi="Times New Roman" w:eastAsia="宋体" w:cs="Times New Roman"/>
                <w:szCs w:val="20"/>
              </w:rPr>
            </w:pPr>
            <w:r>
              <w:rPr>
                <w:rFonts w:eastAsia="宋体" w:cs="Times New Roman" w:ascii="Times New Roman" w:hAnsi="Times New Roman"/>
                <w:szCs w:val="20"/>
              </w:rPr>
            </w:r>
            <w:r>
              <w:t>目前统一配置的平均 final TC 已经略高于 DeepTPI，但只有 3/5 个电路超过，b20 和 b17 还需要继续优化。另外训练了四组 real-label calibration 模型，已经完成 b15 上的初步筛选，五电路结果还没有跑完。</w:t>
            </w:r>
          </w:p>
        </w:tc>
      </w:tr>
      <w:tr>
        <w:trPr>
          <w:trHeight w:val="753" w:hRule="atLeast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color w:val="000000"/>
                <w:szCs w:val="20"/>
              </w:rPr>
            </w:pPr>
            <w:r>
              <w:rPr>
                <w:rFonts w:eastAsia="宋体" w:cs="Times New Roman" w:ascii="Times New Roman" w:hAnsi="Times New Roman"/>
                <w:color w:val="000000"/>
                <w:szCs w:val="20"/>
              </w:rPr>
              <w:t xml:space="preserve"> </w:t>
            </w:r>
          </w:p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b/>
                <w:b/>
                <w:color w:val="000000"/>
                <w:szCs w:val="20"/>
              </w:rPr>
            </w:pPr>
            <w:r>
              <w:rPr>
                <w:rFonts w:ascii="Times New Roman" w:hAnsi="Times New Roman" w:cs="Times New Roman" w:eastAsia="宋体"/>
                <w:b/>
                <w:color w:val="000000"/>
                <w:szCs w:val="20"/>
              </w:rPr>
              <w:t>其他工作进度</w:t>
            </w:r>
          </w:p>
        </w:tc>
        <w:tc>
          <w:tcPr>
            <w:tcW w:w="7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Dingdocnormal1"/>
              <w:widowControl/>
              <w:tabs>
                <w:tab w:val="clear" w:pos="420"/>
                <w:tab w:val="left" w:pos="1193" w:leader="none"/>
              </w:tabs>
              <w:spacing w:before="100" w:after="0"/>
              <w:jc w:val="both"/>
              <w:rPr>
                <w:rFonts w:ascii="Times New Roman" w:hAnsi="Times New Roman" w:eastAsia="宋体" w:cs="Times New Roman"/>
                <w:color w:val="000000"/>
                <w:sz w:val="22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 w:eastAsia="宋体"/>
                <w:color w:val="000000"/>
                <w:sz w:val="22"/>
                <w:szCs w:val="20"/>
                <w:lang w:val="en-US" w:eastAsia="zh-CN"/>
              </w:rPr>
              <w:t>补充原始网表映射、计划重映射、exact-legal 结果汇总和统一配置检查脚本；截至 7 月 17 日，项目定向测试为 29 passed。</w:t>
            </w:r>
          </w:p>
        </w:tc>
      </w:tr>
      <w:tr>
        <w:trPr>
          <w:trHeight w:val="90" w:hRule="atLeast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b/>
                <w:b/>
                <w:color w:val="00B050"/>
                <w:szCs w:val="20"/>
              </w:rPr>
            </w:pPr>
            <w:r>
              <w:rPr>
                <w:rFonts w:ascii="Times New Roman" w:hAnsi="Times New Roman" w:cs="Times New Roman" w:eastAsia="宋体"/>
                <w:b/>
                <w:color w:val="00B050"/>
                <w:szCs w:val="20"/>
              </w:rPr>
              <w:t>下周计划</w:t>
            </w:r>
          </w:p>
        </w:tc>
        <w:tc>
          <w:tcPr>
            <w:tcW w:w="92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numPr>
                <w:ilvl w:val="0"/>
                <w:numId w:val="3"/>
              </w:numPr>
              <w:spacing w:before="0" w:after="0"/>
              <w:jc w:val="left"/>
              <w:rPr>
                <w:rFonts w:ascii="Times New Roman" w:hAnsi="Times New Roman" w:eastAsia="宋体" w:cs="Times New Roman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 w:eastAsia="宋体"/>
                <w:szCs w:val="20"/>
                <w:lang w:val="en-US" w:eastAsia="zh-CN"/>
              </w:rPr>
              <w:t>继续优化统一配置，先解决 b20 和 b17；再把 calibration 模型放到五个电路上完整评估。同时补充多 seed/pattern 验证，并继续处理三个 EPFL 电路的原始网表映射。</w:t>
            </w:r>
          </w:p>
        </w:tc>
      </w:tr>
    </w:tbl>
    <w:p>
      <w:pPr>
        <w:pStyle w:val="Dingdocnormal1"/>
        <w:rPr/>
      </w:pPr>
      <w:r>
        <w:rPr/>
      </w:r>
    </w:p>
    <w:sectPr>
      <w:type w:val="nextPage"/>
      <w:pgSz w:w="13380" w:h="16905"/>
      <w:pgMar w:left="1080" w:right="108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等线">
    <w:charset w:val="01"/>
    <w:family w:val="roman"/>
    <w:pitch w:val="variable"/>
  </w:font>
  <w:font w:name="等线 Light">
    <w:charset w:val="01"/>
    <w:family w:val="roman"/>
    <w:pitch w:val="variable"/>
  </w:font>
  <w:font w:name="宋体">
    <w:charset w:val="01"/>
    <w:family w:val="roman"/>
    <w:pitch w:val="variable"/>
  </w:font>
  <w:font w:name="Courier New">
    <w:charset w:val="01"/>
    <w:family w:val="roman"/>
    <w:pitch w:val="variable"/>
  </w:font>
  <w:font w:name="微软雅黑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"/>
      <w:lvlJc w:val="left"/>
      <w:pPr>
        <w:tabs>
          <w:tab w:val="num" w:pos="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"/>
      <w:lvlJc w:val="left"/>
      <w:pPr>
        <w:tabs>
          <w:tab w:val="num" w:pos="0"/>
        </w:tabs>
        <w:ind w:left="3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8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2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17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1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5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0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4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3900" w:hanging="44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before="0" w:after="0"/>
      <w:jc w:val="left"/>
    </w:pPr>
    <w:rPr>
      <w:rFonts w:ascii="等线" w:hAnsi="等线" w:eastAsia="等线" w:cs="Times New Roman"/>
      <w:color w:val="auto"/>
      <w:kern w:val="2"/>
      <w:sz w:val="21"/>
      <w:szCs w:val="20"/>
      <w:lang w:val="en-US" w:eastAsia="zh-CN" w:bidi="ar-SA"/>
    </w:rPr>
  </w:style>
  <w:style w:type="paragraph" w:styleId="Heading1">
    <w:name w:val="Heading 1"/>
    <w:qFormat/>
    <w:pPr>
      <w:keepNext w:val="true"/>
      <w:keepLines/>
      <w:widowControl/>
      <w:numPr>
        <w:ilvl w:val="0"/>
        <w:numId w:val="0"/>
      </w:numPr>
      <w:kinsoku w:val="true"/>
      <w:overflowPunct w:val="true"/>
      <w:autoSpaceDE w:val="true"/>
      <w:bidi w:val="0"/>
      <w:spacing w:before="348" w:after="210"/>
      <w:jc w:val="left"/>
      <w:outlineLvl w:val="0"/>
    </w:pPr>
    <w:rPr>
      <w:rFonts w:ascii="等线" w:hAnsi="等线" w:eastAsia="等线" w:cs="Times New Roman"/>
      <w:b/>
      <w:color w:val="auto"/>
      <w:kern w:val="2"/>
      <w:sz w:val="34"/>
      <w:szCs w:val="20"/>
      <w:lang w:val="en-US" w:eastAsia="zh-CN" w:bidi="ar-SA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lineRule="auto" w:line="415" w:before="260" w:after="260"/>
      <w:outlineLvl w:val="1"/>
    </w:pPr>
    <w:rPr>
      <w:rFonts w:ascii="等线 Light" w:hAnsi="等线 Light" w:eastAsia="等线 Light" w:cs="Times New Roman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numPr>
        <w:ilvl w:val="0"/>
        <w:numId w:val="0"/>
      </w:numPr>
      <w:spacing w:before="280" w:after="280"/>
      <w:outlineLvl w:val="2"/>
    </w:pPr>
    <w:rPr>
      <w:rFonts w:ascii="宋体" w:hAnsi="宋体" w:eastAsia="宋体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next w:val="Normal"/>
    <w:qFormat/>
    <w:pPr>
      <w:numPr>
        <w:ilvl w:val="0"/>
        <w:numId w:val="0"/>
      </w:numPr>
      <w:spacing w:before="280" w:after="280"/>
      <w:outlineLvl w:val="3"/>
    </w:pPr>
    <w:rPr>
      <w:rFonts w:ascii="宋体" w:hAnsi="宋体" w:eastAsia="宋体" w:cs="Times New Roman"/>
      <w:b/>
      <w:bCs/>
      <w:kern w:val="0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lineRule="auto" w:line="374" w:before="280" w:after="290"/>
      <w:outlineLvl w:val="4"/>
    </w:pPr>
    <w:rPr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</w:rPr>
  </w:style>
  <w:style w:type="character" w:styleId="Emphasis">
    <w:name w:val="Emphasis"/>
    <w:basedOn w:val="DefaultParagraphFont"/>
    <w:qFormat/>
    <w:rPr>
      <w:i/>
    </w:rPr>
  </w:style>
  <w:style w:type="character" w:styleId="InternetLink">
    <w:name w:val="Hyperlink"/>
    <w:basedOn w:val="DefaultParagraphFont"/>
    <w:rPr>
      <w:color w:val="0000FF"/>
      <w:u w:val="single"/>
    </w:rPr>
  </w:style>
  <w:style w:type="character" w:styleId="HTMLCode">
    <w:name w:val="HTML Code"/>
    <w:basedOn w:val="DefaultParagraphFont"/>
    <w:qFormat/>
    <w:rPr>
      <w:rFonts w:ascii="Courier New" w:hAnsi="Courier New"/>
      <w:sz w:val="20"/>
    </w:rPr>
  </w:style>
  <w:style w:type="character" w:styleId="HeaderChar">
    <w:name w:val="Header Char"/>
    <w:basedOn w:val="DefaultParagraphFont"/>
    <w:link w:val="Header"/>
    <w:qFormat/>
    <w:rPr>
      <w:sz w:val="18"/>
      <w:szCs w:val="18"/>
    </w:rPr>
  </w:style>
  <w:style w:type="character" w:styleId="FooterChar">
    <w:name w:val="Footer Char"/>
    <w:basedOn w:val="DefaultParagraphFont"/>
    <w:link w:val="Footer"/>
    <w:qFormat/>
    <w:rPr>
      <w:sz w:val="18"/>
      <w:szCs w:val="18"/>
    </w:rPr>
  </w:style>
  <w:style w:type="character" w:styleId="Dingdocnormal">
    <w:name w:val="dingdocnormal 字符"/>
    <w:basedOn w:val="DefaultParagraphFont"/>
    <w:link w:val="Dingdocnormal1"/>
    <w:qFormat/>
    <w:rPr/>
  </w:style>
  <w:style w:type="character" w:styleId="71e7dc791ff745e8997d0ebda3762b91">
    <w:name w:val="71e7dc79-1ff7-45e8-997d-0ebda3762b91 字符"/>
    <w:basedOn w:val="Dingdocnormal"/>
    <w:link w:val="71e7dc791ff745e8997d0ebda3762b911"/>
    <w:qFormat/>
    <w:rPr>
      <w:rFonts w:ascii="微软雅黑" w:hAnsi="微软雅黑" w:eastAsia="微软雅黑" w:cs="Times New Roman"/>
      <w:b/>
      <w:bCs/>
      <w:color w:val="000000"/>
      <w:sz w:val="28"/>
      <w:szCs w:val="32"/>
    </w:rPr>
  </w:style>
  <w:style w:type="character" w:styleId="Heading2Char">
    <w:name w:val="Heading 2 Char"/>
    <w:basedOn w:val="DefaultParagraphFont"/>
    <w:link w:val="Heading2"/>
    <w:qFormat/>
    <w:rPr>
      <w:rFonts w:ascii="等线 Light" w:hAnsi="等线 Light" w:eastAsia="等线 Light" w:cs="Times New Roman"/>
      <w:b/>
      <w:bCs/>
      <w:sz w:val="32"/>
      <w:szCs w:val="32"/>
    </w:rPr>
  </w:style>
  <w:style w:type="character" w:styleId="Acbfdd8be11b4d3688ff6049b138f862">
    <w:name w:val="acbfdd8b-e11b-4d36-88ff-6049b138f862 字符"/>
    <w:basedOn w:val="Dingdocnormal"/>
    <w:link w:val="Acbfdd8be11b4d3688ff6049b138f8621"/>
    <w:qFormat/>
    <w:rPr>
      <w:rFonts w:ascii="微软雅黑" w:hAnsi="微软雅黑" w:eastAsia="微软雅黑" w:cs="Times New Roman"/>
      <w:color w:val="000000"/>
      <w:sz w:val="22"/>
    </w:rPr>
  </w:style>
  <w:style w:type="character" w:styleId="BodyTextChar">
    <w:name w:val="Body Text Char"/>
    <w:basedOn w:val="DefaultParagraphFont"/>
    <w:qFormat/>
    <w:rPr/>
  </w:style>
  <w:style w:type="character" w:styleId="HTMLPreformattedChar">
    <w:name w:val="HTML Preformatted Char"/>
    <w:basedOn w:val="DefaultParagraphFont"/>
    <w:link w:val="HTMLPreformatted"/>
    <w:qFormat/>
    <w:rPr>
      <w:rFonts w:ascii="Courier New" w:hAnsi="Courier New" w:eastAsia="等线" w:cs="Courier New"/>
      <w:kern w:val="2"/>
    </w:rPr>
  </w:style>
  <w:style w:type="character" w:styleId="UnresolvedMention1">
    <w:name w:val="Unresolved Mention1"/>
    <w:basedOn w:val="DefaultParagraphFont"/>
    <w:qFormat/>
    <w:rPr>
      <w:color w:val="605E5C"/>
      <w:shd w:fill="E1DFDD" w:val="clear"/>
    </w:rPr>
  </w:style>
  <w:style w:type="character" w:styleId="Heading5Char">
    <w:name w:val="Heading 5 Char"/>
    <w:basedOn w:val="DefaultParagraphFont"/>
    <w:link w:val="Heading5"/>
    <w:qFormat/>
    <w:rPr>
      <w:rFonts w:ascii="等线" w:hAnsi="等线" w:eastAsia="等线" w:cs="Times New Roman"/>
      <w:b/>
      <w:bCs/>
      <w:kern w:val="2"/>
      <w:sz w:val="28"/>
      <w:szCs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pPr>
      <w:tabs>
        <w:tab w:val="clear" w:pos="4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Header">
    <w:name w:val="Header"/>
    <w:basedOn w:val="Normal"/>
    <w:link w:val="HeaderChar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HTMLPreformatted">
    <w:name w:val="HTML Preformatted"/>
    <w:basedOn w:val="Normal"/>
    <w:link w:val="HTMLPreformattedChar"/>
    <w:qFormat/>
    <w:pPr/>
    <w:rPr>
      <w:rFonts w:ascii="Courier New" w:hAnsi="Courier New" w:cs="Courier New"/>
      <w:sz w:val="20"/>
    </w:rPr>
  </w:style>
  <w:style w:type="paragraph" w:styleId="NormalWeb">
    <w:name w:val="Normal (Web)"/>
    <w:basedOn w:val="Normal"/>
    <w:qFormat/>
    <w:pPr/>
    <w:rPr>
      <w:rFonts w:ascii="Times New Roman" w:hAnsi="Times New Roman" w:cs="Times New Roman"/>
      <w:sz w:val="24"/>
      <w:szCs w:val="24"/>
    </w:rPr>
  </w:style>
  <w:style w:type="paragraph" w:styleId="Style9">
    <w:name w:val="钉钉文档引用"/>
    <w:qFormat/>
    <w:pPr>
      <w:widowControl/>
      <w:pBdr>
        <w:left w:val="single" w:sz="30" w:space="9" w:color="F0F0F0"/>
      </w:pBdr>
      <w:kinsoku w:val="true"/>
      <w:overflowPunct w:val="true"/>
      <w:autoSpaceDE w:val="true"/>
      <w:bidi w:val="0"/>
      <w:spacing w:before="0" w:after="0"/>
      <w:jc w:val="left"/>
    </w:pPr>
    <w:rPr>
      <w:rFonts w:ascii="微软雅黑" w:hAnsi="微软雅黑" w:eastAsia="微软雅黑" w:cs="微软雅黑"/>
      <w:color w:val="ADADAD"/>
      <w:kern w:val="0"/>
      <w:sz w:val="22"/>
      <w:szCs w:val="20"/>
      <w:lang w:val="en-US" w:eastAsia="zh-CN" w:bidi="ar-SA"/>
    </w:rPr>
  </w:style>
  <w:style w:type="paragraph" w:styleId="Dingdocnormal1">
    <w:name w:val="dingdocnormal"/>
    <w:link w:val="Dingdocnormal"/>
    <w:qFormat/>
    <w:pPr>
      <w:widowControl/>
      <w:kinsoku w:val="true"/>
      <w:overflowPunct w:val="true"/>
      <w:autoSpaceDE w:val="true"/>
      <w:bidi w:val="0"/>
      <w:spacing w:before="0" w:after="0"/>
      <w:jc w:val="left"/>
    </w:pPr>
    <w:rPr>
      <w:rFonts w:ascii="等线" w:hAnsi="等线" w:eastAsia="等线" w:cs="Times New Roman"/>
      <w:color w:val="auto"/>
      <w:kern w:val="2"/>
      <w:sz w:val="21"/>
      <w:szCs w:val="20"/>
      <w:lang w:val="en-US" w:eastAsia="zh-CN" w:bidi="ar-SA"/>
    </w:rPr>
  </w:style>
  <w:style w:type="paragraph" w:styleId="71e7dc791ff745e8997d0ebda3762b911">
    <w:name w:val="71e7dc79-1ff7-45e8-997d-0ebda3762b91"/>
    <w:basedOn w:val="Heading2"/>
    <w:next w:val="Acbfdd8be11b4d3688ff6049b138f8621"/>
    <w:link w:val="71e7dc791ff745e8997d0ebda3762b91"/>
    <w:qFormat/>
    <w:pPr>
      <w:spacing w:lineRule="auto" w:line="288" w:before="0" w:after="0"/>
    </w:pPr>
    <w:rPr>
      <w:rFonts w:ascii="微软雅黑" w:hAnsi="微软雅黑" w:eastAsia="微软雅黑" w:cs="Times New Roman"/>
      <w:color w:val="000000"/>
      <w:sz w:val="28"/>
    </w:rPr>
  </w:style>
  <w:style w:type="paragraph" w:styleId="Acbfdd8be11b4d3688ff6049b138f8621">
    <w:name w:val="acbfdd8b-e11b-4d36-88ff-6049b138f862"/>
    <w:basedOn w:val="TextBody"/>
    <w:link w:val="Acbfdd8be11b4d3688ff6049b138f862"/>
    <w:qFormat/>
    <w:pPr>
      <w:spacing w:lineRule="auto" w:line="288" w:before="0" w:after="0"/>
    </w:pPr>
    <w:rPr>
      <w:rFonts w:ascii="微软雅黑" w:hAnsi="微软雅黑" w:eastAsia="微软雅黑" w:cs="Times New Roman"/>
      <w:color w:val="000000"/>
      <w:sz w:val="22"/>
    </w:rPr>
  </w:style>
  <w:style w:type="paragraph" w:styleId="ListParagraph">
    <w:name w:val="List Paragraph"/>
    <w:basedOn w:val="Normal"/>
    <w:qFormat/>
    <w:pPr>
      <w:ind w:left="0" w:right="0" w:firstLine="42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Application>LibreOffice/7.3.7.2$Linux_X86_64 LibreOffice_project/30$Build-2</Application>
  <AppVersion>15.0000</AppVersion>
  <Pages>1</Pages>
  <Words>373</Words>
  <Characters>711</Characters>
  <CharactersWithSpaces>794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2024-11-17T15:06:00Z</dcterms:created>
  <dc:creator>DingTalk</dc:creator>
  <dc:description>DingTalk Document</dc:description>
  <dc:language>en-US</dc:language>
  <cp:lastModifiedBy>彭青松</cp:lastModifiedBy>
  <cp:lastPrinted>2024-11-10T15:33:00Z</cp:lastPrinted>
  <dcterms:modified xsi:type="dcterms:W3CDTF">2026-06-28T21:05:15Z</dcterms:modified>
  <cp:revision>213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5C0709A4897F4AB19258A4CD69D93106_13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eyJoZGlkIjoiODAwNjVkNzg0ZDg3OGIxNjBjNmEyYzgxOWI1YzM3OGIiLCJ1c2VySWQiOiIxNjM3Mjc3NDUyIn0=</vt:lpwstr>
  </property>
</Properties>
</file>